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5C027CF9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613E6C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6D69B0">
        <w:rPr>
          <w:rFonts w:ascii="Source Sans Pro" w:hAnsi="Source Sans Pro" w:cs="Source Sans Pro"/>
          <w:caps/>
          <w:color w:val="0086A8"/>
          <w:sz w:val="22"/>
          <w:szCs w:val="22"/>
        </w:rPr>
        <w:t>-</w:t>
      </w:r>
      <w:r w:rsidR="005B1051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90528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CA79D7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475F5F0F" w:rsidR="00CA79D7" w:rsidRPr="00387EEF" w:rsidRDefault="00DA0FEB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V</w:t>
      </w:r>
      <w:r w:rsidR="00FB677B">
        <w:rPr>
          <w:rFonts w:ascii="Source Sans Pro" w:hAnsi="Source Sans Pro" w:cs="Source Sans Pro"/>
          <w:sz w:val="36"/>
          <w:szCs w:val="36"/>
        </w:rPr>
        <w:t>erhalten bis abwartend</w:t>
      </w:r>
    </w:p>
    <w:p w14:paraId="743073FD" w14:textId="77777777" w:rsidR="003152C9" w:rsidRPr="00387EEF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4A63ACDB" w:rsidR="00CA79D7" w:rsidRPr="00CA79D7" w:rsidRDefault="00A31AAD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4D44B341" wp14:editId="5F85A2D0">
            <wp:extent cx="4011184" cy="2321169"/>
            <wp:effectExtent l="19050" t="19050" r="27940" b="222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34" cy="233942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2CFD0F53" w14:textId="76AAA36B" w:rsidR="007C57E9" w:rsidRDefault="00241149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02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5B1051">
        <w:rPr>
          <w:rFonts w:ascii="Source Sans Pro" w:hAnsi="Source Sans Pro" w:cs="Source Sans Pro"/>
          <w:color w:val="0087A8"/>
          <w:sz w:val="22"/>
          <w:szCs w:val="22"/>
        </w:rPr>
        <w:t>Oktober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2023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 w:rsidRPr="00C654E1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>Das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Quartals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>ergebnis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für die deutschen Top-7-Büromärkte</w:t>
      </w:r>
      <w:r w:rsidR="00113EB2">
        <w:rPr>
          <w:rFonts w:ascii="Source Sans Pro" w:hAnsi="Source Sans Pro" w:cs="Source Sans Pro"/>
          <w:color w:val="auto"/>
          <w:sz w:val="22"/>
          <w:szCs w:val="22"/>
        </w:rPr>
        <w:t xml:space="preserve">, 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>das</w:t>
      </w:r>
      <w:r w:rsidR="00113EB2">
        <w:rPr>
          <w:rFonts w:ascii="Source Sans Pro" w:hAnsi="Source Sans Pro" w:cs="Source Sans Pro"/>
          <w:color w:val="auto"/>
          <w:sz w:val="22"/>
          <w:szCs w:val="22"/>
        </w:rPr>
        <w:t xml:space="preserve"> German Property Partners (GPP)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zur Expo Real</w:t>
      </w:r>
      <w:r w:rsidR="00E745F2">
        <w:rPr>
          <w:rFonts w:ascii="Source Sans Pro" w:hAnsi="Source Sans Pro" w:cs="Source Sans Pro"/>
          <w:color w:val="auto"/>
          <w:sz w:val="22"/>
          <w:szCs w:val="22"/>
        </w:rPr>
        <w:t xml:space="preserve"> berechnet</w:t>
      </w:r>
      <w:r w:rsidR="00113EB2">
        <w:rPr>
          <w:rFonts w:ascii="Source Sans Pro" w:hAnsi="Source Sans Pro" w:cs="Source Sans Pro"/>
          <w:color w:val="auto"/>
          <w:sz w:val="22"/>
          <w:szCs w:val="22"/>
        </w:rPr>
        <w:t xml:space="preserve"> hat, </w:t>
      </w:r>
      <w:r w:rsidR="0046439F">
        <w:rPr>
          <w:rFonts w:ascii="Source Sans Pro" w:hAnsi="Source Sans Pro" w:cs="Source Sans Pro"/>
          <w:color w:val="auto"/>
          <w:sz w:val="22"/>
          <w:szCs w:val="22"/>
        </w:rPr>
        <w:t>war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angesichts der </w:t>
      </w:r>
      <w:r w:rsidR="00402309">
        <w:rPr>
          <w:rFonts w:ascii="Source Sans Pro" w:hAnsi="Source Sans Pro" w:cs="Source Sans Pro"/>
          <w:color w:val="auto"/>
          <w:sz w:val="22"/>
          <w:szCs w:val="22"/>
        </w:rPr>
        <w:t>unlängst von den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 xml:space="preserve"> führenden Forschungsinstitute</w:t>
      </w:r>
      <w:r w:rsidR="00402309">
        <w:rPr>
          <w:rFonts w:ascii="Source Sans Pro" w:hAnsi="Source Sans Pro" w:cs="Source Sans Pro"/>
          <w:color w:val="auto"/>
          <w:sz w:val="22"/>
          <w:szCs w:val="22"/>
        </w:rPr>
        <w:t>n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02309">
        <w:rPr>
          <w:rFonts w:ascii="Source Sans Pro" w:hAnsi="Source Sans Pro" w:cs="Source Sans Pro"/>
          <w:color w:val="auto"/>
          <w:sz w:val="22"/>
          <w:szCs w:val="22"/>
        </w:rPr>
        <w:t>kommunizierten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>K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>orrektur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>en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 xml:space="preserve">der Konjunkturprognosen </w:t>
      </w:r>
      <w:r w:rsidR="009E43CA">
        <w:rPr>
          <w:rFonts w:ascii="Source Sans Pro" w:hAnsi="Source Sans Pro" w:cs="Source Sans Pro"/>
          <w:color w:val="auto"/>
          <w:sz w:val="22"/>
          <w:szCs w:val="22"/>
        </w:rPr>
        <w:t xml:space="preserve">nach unten </w:t>
      </w:r>
      <w:r w:rsidR="0046439F">
        <w:rPr>
          <w:rFonts w:ascii="Source Sans Pro" w:hAnsi="Source Sans Pro" w:cs="Source Sans Pro"/>
          <w:color w:val="auto"/>
          <w:sz w:val="22"/>
          <w:szCs w:val="22"/>
        </w:rPr>
        <w:t>zu erwarten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>:</w:t>
      </w:r>
    </w:p>
    <w:p w14:paraId="10EEB5E6" w14:textId="77777777" w:rsidR="009E43CA" w:rsidRDefault="009E43CA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755204A8" w14:textId="71C084F3" w:rsidR="007C57E9" w:rsidRDefault="0046439F" w:rsidP="007C57E9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Der Top-7-Flächenumsatz ist im Vorj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ahresvergleich 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>anhaltend rückläufig</w:t>
      </w:r>
      <w:r w:rsidR="00AC5961">
        <w:rPr>
          <w:rFonts w:ascii="Source Sans Pro" w:hAnsi="Source Sans Pro" w:cs="Source Sans Pro"/>
          <w:color w:val="auto"/>
          <w:sz w:val="22"/>
          <w:szCs w:val="22"/>
        </w:rPr>
        <w:t xml:space="preserve"> (um 38 %</w:t>
      </w:r>
      <w:r w:rsidR="00113EB2">
        <w:rPr>
          <w:rFonts w:ascii="Source Sans Pro" w:hAnsi="Source Sans Pro" w:cs="Source Sans Pro"/>
          <w:color w:val="auto"/>
          <w:sz w:val="22"/>
          <w:szCs w:val="22"/>
        </w:rPr>
        <w:t xml:space="preserve"> auf 1,66 Mio. m²</w:t>
      </w:r>
      <w:r w:rsidR="00AC5961">
        <w:rPr>
          <w:rFonts w:ascii="Source Sans Pro" w:hAnsi="Source Sans Pro" w:cs="Source Sans Pro"/>
          <w:color w:val="auto"/>
          <w:sz w:val="22"/>
          <w:szCs w:val="22"/>
        </w:rPr>
        <w:t>)</w:t>
      </w:r>
      <w:r w:rsidR="00FD17DA">
        <w:rPr>
          <w:rFonts w:ascii="Source Sans Pro" w:hAnsi="Source Sans Pro" w:cs="Source Sans Pro"/>
          <w:color w:val="auto"/>
          <w:sz w:val="22"/>
          <w:szCs w:val="22"/>
        </w:rPr>
        <w:t>.</w:t>
      </w:r>
      <w:r w:rsidR="009A0806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FD17DA">
        <w:rPr>
          <w:rFonts w:ascii="Source Sans Pro" w:hAnsi="Source Sans Pro" w:cs="Source Sans Pro"/>
          <w:color w:val="auto"/>
          <w:sz w:val="22"/>
          <w:szCs w:val="22"/>
        </w:rPr>
        <w:t xml:space="preserve">An allen Standorten sanken </w:t>
      </w:r>
      <w:r w:rsidR="00985564">
        <w:rPr>
          <w:rFonts w:ascii="Source Sans Pro" w:hAnsi="Source Sans Pro" w:cs="Source Sans Pro"/>
          <w:color w:val="auto"/>
          <w:sz w:val="22"/>
          <w:szCs w:val="22"/>
        </w:rPr>
        <w:t xml:space="preserve">die </w:t>
      </w:r>
      <w:r w:rsidR="00FD17DA">
        <w:rPr>
          <w:rFonts w:ascii="Source Sans Pro" w:hAnsi="Source Sans Pro" w:cs="Source Sans Pro"/>
          <w:color w:val="auto"/>
          <w:sz w:val="22"/>
          <w:szCs w:val="22"/>
        </w:rPr>
        <w:t>Flächenumsätze, wobei</w:t>
      </w:r>
      <w:r w:rsidR="001F4192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114152">
        <w:rPr>
          <w:rFonts w:ascii="Source Sans Pro" w:hAnsi="Source Sans Pro" w:cs="Source Sans Pro"/>
          <w:color w:val="auto"/>
          <w:sz w:val="22"/>
          <w:szCs w:val="22"/>
        </w:rPr>
        <w:t xml:space="preserve">Hamburg </w:t>
      </w:r>
      <w:r w:rsidR="00FD17DA">
        <w:rPr>
          <w:rFonts w:ascii="Source Sans Pro" w:hAnsi="Source Sans Pro" w:cs="Source Sans Pro"/>
          <w:color w:val="auto"/>
          <w:sz w:val="22"/>
          <w:szCs w:val="22"/>
        </w:rPr>
        <w:t xml:space="preserve">erstmals </w:t>
      </w:r>
      <w:r w:rsidR="00114152">
        <w:rPr>
          <w:rFonts w:ascii="Source Sans Pro" w:hAnsi="Source Sans Pro" w:cs="Source Sans Pro"/>
          <w:color w:val="auto"/>
          <w:sz w:val="22"/>
          <w:szCs w:val="22"/>
        </w:rPr>
        <w:t xml:space="preserve">das </w:t>
      </w:r>
      <w:r w:rsidR="00FD17DA">
        <w:rPr>
          <w:rFonts w:ascii="Source Sans Pro" w:hAnsi="Source Sans Pro" w:cs="Source Sans Pro"/>
          <w:color w:val="auto"/>
          <w:sz w:val="22"/>
          <w:szCs w:val="22"/>
        </w:rPr>
        <w:t xml:space="preserve">höchste </w:t>
      </w:r>
      <w:r w:rsidR="00114152">
        <w:rPr>
          <w:rFonts w:ascii="Source Sans Pro" w:hAnsi="Source Sans Pro" w:cs="Source Sans Pro"/>
          <w:color w:val="auto"/>
          <w:sz w:val="22"/>
          <w:szCs w:val="22"/>
        </w:rPr>
        <w:t>Ergebnis aufwies</w:t>
      </w:r>
      <w:r w:rsidR="006C31AE">
        <w:rPr>
          <w:rFonts w:ascii="Source Sans Pro" w:hAnsi="Source Sans Pro" w:cs="Source Sans Pro"/>
          <w:color w:val="auto"/>
          <w:sz w:val="22"/>
          <w:szCs w:val="22"/>
        </w:rPr>
        <w:t>.</w:t>
      </w:r>
    </w:p>
    <w:p w14:paraId="2CF433F4" w14:textId="2AA691B9" w:rsidR="007C57E9" w:rsidRDefault="00BF14CE" w:rsidP="007C57E9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Die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02309">
        <w:rPr>
          <w:rFonts w:ascii="Source Sans Pro" w:hAnsi="Source Sans Pro" w:cs="Source Sans Pro"/>
          <w:color w:val="auto"/>
          <w:sz w:val="22"/>
          <w:szCs w:val="22"/>
        </w:rPr>
        <w:t>Top-7-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>Leerstand</w:t>
      </w:r>
      <w:r>
        <w:rPr>
          <w:rFonts w:ascii="Source Sans Pro" w:hAnsi="Source Sans Pro" w:cs="Source Sans Pro"/>
          <w:color w:val="auto"/>
          <w:sz w:val="22"/>
          <w:szCs w:val="22"/>
        </w:rPr>
        <w:t>squote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klettert</w:t>
      </w:r>
      <w:r w:rsidR="009A0806">
        <w:rPr>
          <w:rFonts w:ascii="Source Sans Pro" w:hAnsi="Source Sans Pro" w:cs="Source Sans Pro"/>
          <w:color w:val="auto"/>
          <w:sz w:val="22"/>
          <w:szCs w:val="22"/>
        </w:rPr>
        <w:t>e</w:t>
      </w:r>
      <w:r w:rsidR="00F02668">
        <w:rPr>
          <w:rFonts w:ascii="Source Sans Pro" w:hAnsi="Source Sans Pro" w:cs="Source Sans Pro"/>
          <w:color w:val="auto"/>
          <w:sz w:val="22"/>
          <w:szCs w:val="22"/>
        </w:rPr>
        <w:t xml:space="preserve"> kontinuierlich nach oben</w:t>
      </w:r>
      <w:r w:rsidR="00AC5961">
        <w:rPr>
          <w:rFonts w:ascii="Source Sans Pro" w:hAnsi="Source Sans Pro" w:cs="Source Sans Pro"/>
          <w:color w:val="auto"/>
          <w:sz w:val="22"/>
          <w:szCs w:val="22"/>
        </w:rPr>
        <w:t xml:space="preserve"> (von </w:t>
      </w:r>
      <w:r w:rsidR="00402309">
        <w:rPr>
          <w:rFonts w:ascii="Source Sans Pro" w:hAnsi="Source Sans Pro" w:cs="Source Sans Pro"/>
          <w:color w:val="auto"/>
          <w:sz w:val="22"/>
          <w:szCs w:val="22"/>
        </w:rPr>
        <w:t xml:space="preserve">4,9 auf </w:t>
      </w:r>
      <w:r w:rsidR="00693CD6">
        <w:rPr>
          <w:rFonts w:ascii="Source Sans Pro" w:hAnsi="Source Sans Pro" w:cs="Source Sans Pro"/>
          <w:color w:val="auto"/>
          <w:sz w:val="22"/>
          <w:szCs w:val="22"/>
        </w:rPr>
        <w:t>5,8</w:t>
      </w:r>
      <w:bookmarkStart w:id="0" w:name="_GoBack"/>
      <w:bookmarkEnd w:id="0"/>
      <w:r w:rsidR="00402309">
        <w:rPr>
          <w:rFonts w:ascii="Source Sans Pro" w:hAnsi="Source Sans Pro" w:cs="Source Sans Pro"/>
          <w:color w:val="auto"/>
          <w:sz w:val="22"/>
          <w:szCs w:val="22"/>
        </w:rPr>
        <w:t xml:space="preserve"> %)</w:t>
      </w:r>
      <w:r w:rsidR="00837482">
        <w:rPr>
          <w:rFonts w:ascii="Source Sans Pro" w:hAnsi="Source Sans Pro" w:cs="Source Sans Pro"/>
          <w:color w:val="auto"/>
          <w:sz w:val="22"/>
          <w:szCs w:val="22"/>
        </w:rPr>
        <w:t xml:space="preserve">, </w:t>
      </w:r>
      <w:r w:rsidR="000E0603">
        <w:rPr>
          <w:rFonts w:ascii="Source Sans Pro" w:hAnsi="Source Sans Pro" w:cs="Source Sans Pro"/>
          <w:color w:val="auto"/>
          <w:sz w:val="22"/>
          <w:szCs w:val="22"/>
        </w:rPr>
        <w:t>der</w:t>
      </w:r>
      <w:r w:rsidR="00837482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E0603">
        <w:rPr>
          <w:rFonts w:ascii="Source Sans Pro" w:hAnsi="Source Sans Pro" w:cs="Source Sans Pro"/>
          <w:color w:val="auto"/>
          <w:sz w:val="22"/>
          <w:szCs w:val="22"/>
        </w:rPr>
        <w:t xml:space="preserve">Leerstand </w:t>
      </w:r>
      <w:r w:rsidR="00FB677B">
        <w:rPr>
          <w:rFonts w:ascii="Source Sans Pro" w:hAnsi="Source Sans Pro" w:cs="Source Sans Pro"/>
          <w:color w:val="auto"/>
          <w:sz w:val="22"/>
          <w:szCs w:val="22"/>
        </w:rPr>
        <w:t>erhöhte sich</w:t>
      </w:r>
      <w:r w:rsidR="00837482">
        <w:rPr>
          <w:rFonts w:ascii="Source Sans Pro" w:hAnsi="Source Sans Pro" w:cs="Source Sans Pro"/>
          <w:color w:val="auto"/>
          <w:sz w:val="22"/>
          <w:szCs w:val="22"/>
        </w:rPr>
        <w:t xml:space="preserve"> auf allen Märkten</w:t>
      </w:r>
      <w:r w:rsidR="007C57E9">
        <w:rPr>
          <w:rFonts w:ascii="Source Sans Pro" w:hAnsi="Source Sans Pro" w:cs="Source Sans Pro"/>
          <w:color w:val="auto"/>
          <w:sz w:val="22"/>
          <w:szCs w:val="22"/>
        </w:rPr>
        <w:t>.</w:t>
      </w:r>
      <w:r w:rsidR="00D35A9C">
        <w:rPr>
          <w:rFonts w:ascii="Source Sans Pro" w:hAnsi="Source Sans Pro" w:cs="Source Sans Pro"/>
          <w:color w:val="auto"/>
          <w:sz w:val="22"/>
          <w:szCs w:val="22"/>
        </w:rPr>
        <w:t xml:space="preserve"> Dennoch blieben alle </w:t>
      </w:r>
      <w:proofErr w:type="spellStart"/>
      <w:r w:rsidR="00D35A9C">
        <w:rPr>
          <w:rFonts w:ascii="Source Sans Pro" w:hAnsi="Source Sans Pro" w:cs="Source Sans Pro"/>
          <w:color w:val="auto"/>
          <w:sz w:val="22"/>
          <w:szCs w:val="22"/>
        </w:rPr>
        <w:t>Leerstandsraten</w:t>
      </w:r>
      <w:proofErr w:type="spellEnd"/>
      <w:r w:rsidR="00D35A9C">
        <w:rPr>
          <w:rFonts w:ascii="Source Sans Pro" w:hAnsi="Source Sans Pro" w:cs="Source Sans Pro"/>
          <w:color w:val="auto"/>
          <w:sz w:val="22"/>
          <w:szCs w:val="22"/>
        </w:rPr>
        <w:t xml:space="preserve"> einstellig.</w:t>
      </w:r>
    </w:p>
    <w:p w14:paraId="3AE77C21" w14:textId="1AE85F2F" w:rsidR="00113EB2" w:rsidRDefault="00113EB2" w:rsidP="007C57E9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Im 3. Quartal gab es an den Top-7-Standorten nur </w:t>
      </w:r>
      <w:r w:rsidR="00D869D1">
        <w:rPr>
          <w:rFonts w:ascii="Source Sans Pro" w:hAnsi="Source Sans Pro" w:cs="Source Sans Pro"/>
          <w:color w:val="auto"/>
          <w:sz w:val="22"/>
          <w:szCs w:val="22"/>
        </w:rPr>
        <w:t>drei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neue Mietverträge </w:t>
      </w:r>
      <w:r w:rsidR="00D869D1">
        <w:rPr>
          <w:rFonts w:ascii="Source Sans Pro" w:hAnsi="Source Sans Pro" w:cs="Source Sans Pro"/>
          <w:color w:val="auto"/>
          <w:sz w:val="22"/>
          <w:szCs w:val="22"/>
        </w:rPr>
        <w:t xml:space="preserve">und ein einziges neues Eigennutzergeschäft </w:t>
      </w:r>
      <w:r>
        <w:rPr>
          <w:rFonts w:ascii="Source Sans Pro" w:hAnsi="Source Sans Pro" w:cs="Source Sans Pro"/>
          <w:color w:val="auto"/>
          <w:sz w:val="22"/>
          <w:szCs w:val="22"/>
        </w:rPr>
        <w:t>über 10.000 m².</w:t>
      </w:r>
    </w:p>
    <w:p w14:paraId="6BCE7747" w14:textId="4EF52A3A" w:rsidR="009E43CA" w:rsidRDefault="009E43CA" w:rsidP="007C57E9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Mit 6 % fiel die Top-7-Eigennutzerquote erneut kaum ins Gewicht.</w:t>
      </w:r>
    </w:p>
    <w:p w14:paraId="2E61D5FA" w14:textId="21F96DB3" w:rsidR="00E55CDD" w:rsidRDefault="00E55CDD" w:rsidP="007C57E9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>Die Abschlüsse verlagerte</w:t>
      </w:r>
      <w:r w:rsidR="00BB44DD">
        <w:rPr>
          <w:rFonts w:ascii="Source Sans Pro" w:hAnsi="Source Sans Pro" w:cs="Source Sans Pro"/>
          <w:color w:val="auto"/>
          <w:sz w:val="22"/>
          <w:szCs w:val="22"/>
        </w:rPr>
        <w:t>n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sich in die kleineren Flächensegmente: in Hamburg zum Beispiel in die Größenklasse bis 1.000 m², in Berlin bis 1.500 m² und in Stuttgart bis 2.000 m². </w:t>
      </w:r>
    </w:p>
    <w:p w14:paraId="63B7A8C4" w14:textId="0CC0568C" w:rsidR="009E43CA" w:rsidRDefault="009E43CA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49C4EE82" w14:textId="62737B28" w:rsidR="00E745F2" w:rsidRDefault="00E745F2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Aus den Daten </w:t>
      </w:r>
      <w:r w:rsidR="00EA1C80">
        <w:rPr>
          <w:rFonts w:ascii="Source Sans Pro" w:hAnsi="Source Sans Pro" w:cs="Source Sans Pro"/>
          <w:color w:val="auto"/>
          <w:sz w:val="22"/>
          <w:szCs w:val="22"/>
        </w:rPr>
        <w:t>geht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B651A0">
        <w:rPr>
          <w:rFonts w:ascii="Source Sans Pro" w:hAnsi="Source Sans Pro" w:cs="Source Sans Pro"/>
          <w:color w:val="auto"/>
          <w:sz w:val="22"/>
          <w:szCs w:val="22"/>
        </w:rPr>
        <w:t>ebenfalls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EA1C80">
        <w:rPr>
          <w:rFonts w:ascii="Source Sans Pro" w:hAnsi="Source Sans Pro" w:cs="Source Sans Pro"/>
          <w:color w:val="auto"/>
          <w:sz w:val="22"/>
          <w:szCs w:val="22"/>
        </w:rPr>
        <w:t>hervor</w:t>
      </w:r>
      <w:r>
        <w:rPr>
          <w:rFonts w:ascii="Source Sans Pro" w:hAnsi="Source Sans Pro" w:cs="Source Sans Pro"/>
          <w:color w:val="auto"/>
          <w:sz w:val="22"/>
          <w:szCs w:val="22"/>
        </w:rPr>
        <w:t>, dass…</w:t>
      </w:r>
    </w:p>
    <w:p w14:paraId="666C4701" w14:textId="248A9D5D" w:rsidR="009E43CA" w:rsidRDefault="001C3694" w:rsidP="009E43CA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… </w:t>
      </w:r>
      <w:r w:rsidR="00E745F2">
        <w:rPr>
          <w:rFonts w:ascii="Source Sans Pro" w:hAnsi="Source Sans Pro" w:cs="Source Sans Pro"/>
          <w:color w:val="auto"/>
          <w:sz w:val="22"/>
          <w:szCs w:val="22"/>
        </w:rPr>
        <w:t>die Spitzenmieten a</w:t>
      </w:r>
      <w:r w:rsidR="009E43CA">
        <w:rPr>
          <w:rFonts w:ascii="Source Sans Pro" w:hAnsi="Source Sans Pro" w:cs="Source Sans Pro"/>
          <w:color w:val="auto"/>
          <w:sz w:val="22"/>
          <w:szCs w:val="22"/>
        </w:rPr>
        <w:t xml:space="preserve">n </w:t>
      </w:r>
      <w:r w:rsidR="009C5482">
        <w:rPr>
          <w:rFonts w:ascii="Source Sans Pro" w:hAnsi="Source Sans Pro" w:cs="Source Sans Pro"/>
          <w:color w:val="auto"/>
          <w:sz w:val="22"/>
          <w:szCs w:val="22"/>
        </w:rPr>
        <w:t xml:space="preserve">sechs </w:t>
      </w:r>
      <w:r w:rsidR="009E43CA">
        <w:rPr>
          <w:rFonts w:ascii="Source Sans Pro" w:hAnsi="Source Sans Pro" w:cs="Source Sans Pro"/>
          <w:color w:val="auto"/>
          <w:sz w:val="22"/>
          <w:szCs w:val="22"/>
        </w:rPr>
        <w:t xml:space="preserve">Standorten </w:t>
      </w:r>
      <w:r w:rsidR="009C5482">
        <w:rPr>
          <w:rFonts w:ascii="Source Sans Pro" w:hAnsi="Source Sans Pro" w:cs="Source Sans Pro"/>
          <w:color w:val="auto"/>
          <w:sz w:val="22"/>
          <w:szCs w:val="22"/>
        </w:rPr>
        <w:t xml:space="preserve">weiter angestiegen und in Frankfurt </w:t>
      </w:r>
      <w:r w:rsidR="009E43CA">
        <w:rPr>
          <w:rFonts w:ascii="Source Sans Pro" w:hAnsi="Source Sans Pro" w:cs="Source Sans Pro"/>
          <w:color w:val="auto"/>
          <w:sz w:val="22"/>
          <w:szCs w:val="22"/>
        </w:rPr>
        <w:t xml:space="preserve">auf hohem Niveau konstant </w:t>
      </w:r>
      <w:r w:rsidR="0005071C">
        <w:rPr>
          <w:rFonts w:ascii="Source Sans Pro" w:hAnsi="Source Sans Pro" w:cs="Source Sans Pro"/>
          <w:color w:val="auto"/>
          <w:sz w:val="22"/>
          <w:szCs w:val="22"/>
        </w:rPr>
        <w:t>ge</w:t>
      </w:r>
      <w:r w:rsidR="009C5482">
        <w:rPr>
          <w:rFonts w:ascii="Source Sans Pro" w:hAnsi="Source Sans Pro" w:cs="Source Sans Pro"/>
          <w:color w:val="auto"/>
          <w:sz w:val="22"/>
          <w:szCs w:val="22"/>
        </w:rPr>
        <w:t>blieben</w:t>
      </w:r>
      <w:r w:rsidR="0005071C" w:rsidRPr="0005071C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5071C">
        <w:rPr>
          <w:rFonts w:ascii="Source Sans Pro" w:hAnsi="Source Sans Pro" w:cs="Source Sans Pro"/>
          <w:color w:val="auto"/>
          <w:sz w:val="22"/>
          <w:szCs w:val="22"/>
        </w:rPr>
        <w:t>sind</w:t>
      </w:r>
      <w:r w:rsidR="009E43CA">
        <w:rPr>
          <w:rFonts w:ascii="Source Sans Pro" w:hAnsi="Source Sans Pro" w:cs="Source Sans Pro"/>
          <w:color w:val="auto"/>
          <w:sz w:val="22"/>
          <w:szCs w:val="22"/>
        </w:rPr>
        <w:t>.</w:t>
      </w:r>
      <w:r w:rsidR="00602082">
        <w:rPr>
          <w:rFonts w:ascii="Source Sans Pro" w:hAnsi="Source Sans Pro" w:cs="Source Sans Pro"/>
          <w:color w:val="auto"/>
          <w:sz w:val="22"/>
          <w:szCs w:val="22"/>
        </w:rPr>
        <w:t xml:space="preserve"> Mit +36 % sta</w:t>
      </w:r>
      <w:r w:rsidR="00EB5422">
        <w:rPr>
          <w:rFonts w:ascii="Source Sans Pro" w:hAnsi="Source Sans Pro" w:cs="Source Sans Pro"/>
          <w:color w:val="auto"/>
          <w:sz w:val="22"/>
          <w:szCs w:val="22"/>
        </w:rPr>
        <w:t>ch hierbei erneut Düsseldorf heraus.</w:t>
      </w:r>
    </w:p>
    <w:p w14:paraId="46135F98" w14:textId="22FD0CE6" w:rsidR="00EB5422" w:rsidRDefault="001C3694" w:rsidP="009E43CA">
      <w:pPr>
        <w:pStyle w:val="EinfAbs"/>
        <w:numPr>
          <w:ilvl w:val="0"/>
          <w:numId w:val="7"/>
        </w:numPr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… </w:t>
      </w:r>
      <w:r w:rsidR="00EB5422">
        <w:rPr>
          <w:rFonts w:ascii="Source Sans Pro" w:hAnsi="Source Sans Pro" w:cs="Source Sans Pro"/>
          <w:color w:val="auto"/>
          <w:sz w:val="22"/>
          <w:szCs w:val="22"/>
        </w:rPr>
        <w:t xml:space="preserve">sich </w:t>
      </w:r>
      <w:r w:rsidR="00EA1C80">
        <w:rPr>
          <w:rFonts w:ascii="Source Sans Pro" w:hAnsi="Source Sans Pro" w:cs="Source Sans Pro"/>
          <w:color w:val="auto"/>
          <w:sz w:val="22"/>
          <w:szCs w:val="22"/>
        </w:rPr>
        <w:t xml:space="preserve">auch </w:t>
      </w:r>
      <w:r w:rsidR="00EB5422">
        <w:rPr>
          <w:rFonts w:ascii="Source Sans Pro" w:hAnsi="Source Sans Pro" w:cs="Source Sans Pro"/>
          <w:color w:val="auto"/>
          <w:sz w:val="22"/>
          <w:szCs w:val="22"/>
        </w:rPr>
        <w:t>die Durchschnittsmieten in Düsseldorf</w:t>
      </w:r>
      <w:r w:rsidR="00DA241F">
        <w:rPr>
          <w:rFonts w:ascii="Source Sans Pro" w:hAnsi="Source Sans Pro" w:cs="Source Sans Pro"/>
          <w:color w:val="auto"/>
          <w:sz w:val="22"/>
          <w:szCs w:val="22"/>
        </w:rPr>
        <w:t xml:space="preserve"> (+15 %)</w:t>
      </w:r>
      <w:r w:rsidR="00EB5422">
        <w:rPr>
          <w:rFonts w:ascii="Source Sans Pro" w:hAnsi="Source Sans Pro" w:cs="Source Sans Pro"/>
          <w:color w:val="auto"/>
          <w:sz w:val="22"/>
          <w:szCs w:val="22"/>
        </w:rPr>
        <w:t>, Stuttgart, Köln und Frankfurt</w:t>
      </w:r>
      <w:r w:rsidR="00EA1C80" w:rsidRPr="00EA1C80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EA1C80">
        <w:rPr>
          <w:rFonts w:ascii="Source Sans Pro" w:hAnsi="Source Sans Pro" w:cs="Source Sans Pro"/>
          <w:color w:val="auto"/>
          <w:sz w:val="22"/>
          <w:szCs w:val="22"/>
        </w:rPr>
        <w:t>nach oben beweg</w:t>
      </w:r>
      <w:r w:rsidR="00073DAD">
        <w:rPr>
          <w:rFonts w:ascii="Source Sans Pro" w:hAnsi="Source Sans Pro" w:cs="Source Sans Pro"/>
          <w:color w:val="auto"/>
          <w:sz w:val="22"/>
          <w:szCs w:val="22"/>
        </w:rPr>
        <w:t>t</w:t>
      </w:r>
      <w:r w:rsidR="00EA1C80">
        <w:rPr>
          <w:rFonts w:ascii="Source Sans Pro" w:hAnsi="Source Sans Pro" w:cs="Source Sans Pro"/>
          <w:color w:val="auto"/>
          <w:sz w:val="22"/>
          <w:szCs w:val="22"/>
        </w:rPr>
        <w:t>en</w:t>
      </w:r>
      <w:r w:rsidR="00EB5422">
        <w:rPr>
          <w:rFonts w:ascii="Source Sans Pro" w:hAnsi="Source Sans Pro" w:cs="Source Sans Pro"/>
          <w:color w:val="auto"/>
          <w:sz w:val="22"/>
          <w:szCs w:val="22"/>
        </w:rPr>
        <w:t>.</w:t>
      </w:r>
    </w:p>
    <w:p w14:paraId="02F083D5" w14:textId="77777777" w:rsidR="00EA1C80" w:rsidRDefault="00EA1C80" w:rsidP="00EA1C80">
      <w:pPr>
        <w:pStyle w:val="EinfAbs"/>
        <w:tabs>
          <w:tab w:val="left" w:pos="200"/>
        </w:tabs>
        <w:snapToGrid w:val="0"/>
        <w:spacing w:line="280" w:lineRule="exact"/>
        <w:ind w:left="360"/>
        <w:jc w:val="both"/>
        <w:rPr>
          <w:rFonts w:ascii="Source Sans Pro" w:hAnsi="Source Sans Pro" w:cs="Source Sans Pro"/>
          <w:color w:val="auto"/>
          <w:sz w:val="22"/>
          <w:szCs w:val="22"/>
        </w:rPr>
      </w:pPr>
    </w:p>
    <w:p w14:paraId="73FD4094" w14:textId="7EEC8C92" w:rsidR="00AB63A1" w:rsidRDefault="000C7797" w:rsidP="00AA498E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i/>
          <w:sz w:val="22"/>
          <w:szCs w:val="22"/>
        </w:rPr>
        <w:t>„</w:t>
      </w:r>
      <w:r w:rsidR="006F3F58">
        <w:rPr>
          <w:rFonts w:ascii="Source Sans Pro" w:hAnsi="Source Sans Pro" w:cs="Source Sans Pro"/>
          <w:i/>
          <w:sz w:val="22"/>
          <w:szCs w:val="22"/>
        </w:rPr>
        <w:t>Momentan ist d</w:t>
      </w:r>
      <w:r>
        <w:rPr>
          <w:rFonts w:ascii="Source Sans Pro" w:hAnsi="Source Sans Pro" w:cs="Source Sans Pro"/>
          <w:i/>
          <w:sz w:val="22"/>
          <w:szCs w:val="22"/>
        </w:rPr>
        <w:t xml:space="preserve">ie </w:t>
      </w:r>
      <w:r w:rsidR="00627B43">
        <w:rPr>
          <w:rFonts w:ascii="Source Sans Pro" w:hAnsi="Source Sans Pro" w:cs="Source Sans Pro"/>
          <w:i/>
          <w:sz w:val="22"/>
          <w:szCs w:val="22"/>
        </w:rPr>
        <w:t xml:space="preserve">Stimmung in der </w:t>
      </w:r>
      <w:r w:rsidR="00B375AF">
        <w:rPr>
          <w:rFonts w:ascii="Source Sans Pro" w:hAnsi="Source Sans Pro" w:cs="Source Sans Pro"/>
          <w:i/>
          <w:sz w:val="22"/>
          <w:szCs w:val="22"/>
        </w:rPr>
        <w:t xml:space="preserve">Wirtschaft </w:t>
      </w:r>
      <w:r w:rsidR="006F3F58">
        <w:rPr>
          <w:rFonts w:ascii="Source Sans Pro" w:hAnsi="Source Sans Pro" w:cs="Source Sans Pro"/>
          <w:i/>
          <w:sz w:val="22"/>
          <w:szCs w:val="22"/>
        </w:rPr>
        <w:t>gedämpft</w:t>
      </w:r>
      <w:r w:rsidR="00B375AF">
        <w:rPr>
          <w:rFonts w:ascii="Source Sans Pro" w:hAnsi="Source Sans Pro" w:cs="Source Sans Pro"/>
          <w:i/>
          <w:sz w:val="22"/>
          <w:szCs w:val="22"/>
        </w:rPr>
        <w:t xml:space="preserve">, was sich in geringeren Flächenumsätzen widerspiegelt. </w:t>
      </w:r>
      <w:r w:rsidR="0080637A">
        <w:rPr>
          <w:rFonts w:ascii="Source Sans Pro" w:hAnsi="Source Sans Pro" w:cs="Source Sans Pro"/>
          <w:i/>
          <w:sz w:val="22"/>
          <w:szCs w:val="22"/>
        </w:rPr>
        <w:t>In den</w:t>
      </w:r>
      <w:r w:rsidR="001651D9">
        <w:rPr>
          <w:rFonts w:ascii="Source Sans Pro" w:hAnsi="Source Sans Pro" w:cs="Source Sans Pro"/>
          <w:i/>
          <w:sz w:val="22"/>
          <w:szCs w:val="22"/>
        </w:rPr>
        <w:t xml:space="preserve"> zentralen Lagen</w:t>
      </w:r>
      <w:r w:rsidR="0080637A">
        <w:rPr>
          <w:rFonts w:ascii="Source Sans Pro" w:hAnsi="Source Sans Pro" w:cs="Source Sans Pro"/>
          <w:i/>
          <w:sz w:val="22"/>
          <w:szCs w:val="22"/>
        </w:rPr>
        <w:t xml:space="preserve"> ist die Nachfrage aber nach wie vor hoch</w:t>
      </w:r>
      <w:r w:rsidR="00177EDB" w:rsidRPr="00177EDB">
        <w:rPr>
          <w:rFonts w:ascii="Source Sans Pro" w:hAnsi="Source Sans Pro" w:cs="Source Sans Pro"/>
          <w:i/>
          <w:sz w:val="22"/>
          <w:szCs w:val="22"/>
        </w:rPr>
        <w:t>“,</w:t>
      </w:r>
      <w:r w:rsidR="00177EDB">
        <w:rPr>
          <w:rFonts w:ascii="Source Sans Pro" w:hAnsi="Source Sans Pro" w:cs="Source Sans Pro"/>
          <w:sz w:val="22"/>
          <w:szCs w:val="22"/>
        </w:rPr>
        <w:t xml:space="preserve"> </w:t>
      </w:r>
      <w:r w:rsidR="002C7166">
        <w:rPr>
          <w:rFonts w:ascii="Source Sans Pro" w:hAnsi="Source Sans Pro" w:cs="Source Sans Pro"/>
          <w:sz w:val="22"/>
          <w:szCs w:val="22"/>
        </w:rPr>
        <w:t>sagt</w:t>
      </w:r>
      <w:r w:rsidR="00177EDB">
        <w:rPr>
          <w:rFonts w:ascii="Source Sans Pro" w:hAnsi="Source Sans Pro" w:cs="Source Sans Pro"/>
          <w:sz w:val="22"/>
          <w:szCs w:val="22"/>
        </w:rPr>
        <w:t xml:space="preserve"> GPP-Sprecher </w:t>
      </w:r>
      <w:r w:rsidR="00177EDB" w:rsidRPr="00177EDB">
        <w:rPr>
          <w:rFonts w:ascii="Source Sans Pro" w:hAnsi="Source Sans Pro" w:cs="Source Sans Pro"/>
          <w:b/>
          <w:sz w:val="22"/>
          <w:szCs w:val="22"/>
        </w:rPr>
        <w:t>Andreas Rehberg</w:t>
      </w:r>
      <w:r w:rsidR="00177EDB">
        <w:rPr>
          <w:rFonts w:ascii="Source Sans Pro" w:hAnsi="Source Sans Pro" w:cs="Source Sans Pro"/>
          <w:sz w:val="22"/>
          <w:szCs w:val="22"/>
        </w:rPr>
        <w:t>.</w:t>
      </w:r>
      <w:r w:rsidR="000A0761">
        <w:rPr>
          <w:rFonts w:ascii="Source Sans Pro" w:hAnsi="Source Sans Pro" w:cs="Source Sans Pro"/>
          <w:sz w:val="22"/>
          <w:szCs w:val="22"/>
        </w:rPr>
        <w:t xml:space="preserve"> </w:t>
      </w:r>
      <w:r w:rsidR="00FF69A3" w:rsidRPr="00FF69A3">
        <w:rPr>
          <w:rFonts w:ascii="Source Sans Pro" w:hAnsi="Source Sans Pro" w:cs="Source Sans Pro"/>
          <w:i/>
          <w:sz w:val="22"/>
          <w:szCs w:val="22"/>
        </w:rPr>
        <w:t>„</w:t>
      </w:r>
      <w:r w:rsidR="002B5078">
        <w:rPr>
          <w:rFonts w:ascii="Source Sans Pro" w:hAnsi="Source Sans Pro" w:cs="Source Sans Pro"/>
          <w:i/>
          <w:sz w:val="22"/>
          <w:szCs w:val="22"/>
        </w:rPr>
        <w:t xml:space="preserve">Der </w:t>
      </w:r>
      <w:r w:rsidR="002B5078" w:rsidRPr="0067169B">
        <w:rPr>
          <w:rFonts w:ascii="Source Sans Pro" w:hAnsi="Source Sans Pro" w:cs="Source Sans Pro"/>
          <w:i/>
          <w:sz w:val="22"/>
          <w:szCs w:val="22"/>
        </w:rPr>
        <w:t xml:space="preserve">Bedarf </w:t>
      </w:r>
      <w:r w:rsidR="002B5078">
        <w:rPr>
          <w:rFonts w:ascii="Source Sans Pro" w:hAnsi="Source Sans Pro" w:cs="Source Sans Pro"/>
          <w:i/>
          <w:sz w:val="22"/>
          <w:szCs w:val="22"/>
        </w:rPr>
        <w:t xml:space="preserve">an modernen Büros ist </w:t>
      </w:r>
      <w:r w:rsidR="00D952D4">
        <w:rPr>
          <w:rFonts w:ascii="Source Sans Pro" w:hAnsi="Source Sans Pro" w:cs="Source Sans Pro"/>
          <w:i/>
          <w:sz w:val="22"/>
          <w:szCs w:val="22"/>
        </w:rPr>
        <w:t>zwar</w:t>
      </w:r>
      <w:r w:rsidR="0080637A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2B5078">
        <w:rPr>
          <w:rFonts w:ascii="Source Sans Pro" w:hAnsi="Source Sans Pro" w:cs="Source Sans Pro"/>
          <w:i/>
          <w:sz w:val="22"/>
          <w:szCs w:val="22"/>
        </w:rPr>
        <w:t>da</w:t>
      </w:r>
      <w:r w:rsidR="00D952D4">
        <w:rPr>
          <w:rFonts w:ascii="Source Sans Pro" w:hAnsi="Source Sans Pro" w:cs="Source Sans Pro"/>
          <w:i/>
          <w:sz w:val="22"/>
          <w:szCs w:val="22"/>
        </w:rPr>
        <w:t>,</w:t>
      </w:r>
      <w:r w:rsidR="002B5078" w:rsidRPr="0067169B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2B5078">
        <w:rPr>
          <w:rFonts w:ascii="Source Sans Pro" w:hAnsi="Source Sans Pro" w:cs="Source Sans Pro"/>
          <w:i/>
          <w:sz w:val="22"/>
          <w:szCs w:val="22"/>
        </w:rPr>
        <w:t xml:space="preserve">mündet momentan </w:t>
      </w:r>
      <w:r w:rsidR="00D952D4">
        <w:rPr>
          <w:rFonts w:ascii="Source Sans Pro" w:hAnsi="Source Sans Pro" w:cs="Source Sans Pro"/>
          <w:i/>
          <w:sz w:val="22"/>
          <w:szCs w:val="22"/>
        </w:rPr>
        <w:t xml:space="preserve">allerdings </w:t>
      </w:r>
      <w:r w:rsidR="002B5078">
        <w:rPr>
          <w:rFonts w:ascii="Source Sans Pro" w:hAnsi="Source Sans Pro" w:cs="Source Sans Pro"/>
          <w:i/>
          <w:sz w:val="22"/>
          <w:szCs w:val="22"/>
        </w:rPr>
        <w:t>nicht zwingend in Abschlüssen. I</w:t>
      </w:r>
      <w:r w:rsidR="00EB1F5D" w:rsidRPr="00FF69A3">
        <w:rPr>
          <w:rFonts w:ascii="Source Sans Pro" w:hAnsi="Source Sans Pro" w:cs="Source Sans Pro"/>
          <w:i/>
          <w:sz w:val="22"/>
          <w:szCs w:val="22"/>
        </w:rPr>
        <w:t>nsgesamt dauern</w:t>
      </w:r>
      <w:r w:rsidR="00AB63A1">
        <w:rPr>
          <w:rFonts w:ascii="Source Sans Pro" w:hAnsi="Source Sans Pro" w:cs="Source Sans Pro"/>
          <w:i/>
          <w:sz w:val="22"/>
          <w:szCs w:val="22"/>
        </w:rPr>
        <w:t xml:space="preserve"> Verhandlungen </w:t>
      </w:r>
      <w:r w:rsidR="00543479" w:rsidRPr="00FF69A3">
        <w:rPr>
          <w:rFonts w:ascii="Source Sans Pro" w:hAnsi="Source Sans Pro" w:cs="Source Sans Pro"/>
          <w:i/>
          <w:sz w:val="22"/>
          <w:szCs w:val="22"/>
        </w:rPr>
        <w:t>wesentlich länger, werden Entscheidungen weitaus zögerlicher getroffen</w:t>
      </w:r>
      <w:r w:rsidR="00FF69A3" w:rsidRPr="00FF69A3">
        <w:rPr>
          <w:rFonts w:ascii="Source Sans Pro" w:hAnsi="Source Sans Pro" w:cs="Source Sans Pro"/>
          <w:i/>
          <w:sz w:val="22"/>
          <w:szCs w:val="22"/>
        </w:rPr>
        <w:t xml:space="preserve"> und hohe Ansprüche an Ausstattung, Nebenkosten </w:t>
      </w:r>
      <w:r w:rsidR="00FF69A3" w:rsidRPr="00FF69A3">
        <w:rPr>
          <w:rFonts w:ascii="Source Sans Pro" w:hAnsi="Source Sans Pro" w:cs="Source Sans Pro"/>
          <w:i/>
          <w:sz w:val="22"/>
          <w:szCs w:val="22"/>
        </w:rPr>
        <w:lastRenderedPageBreak/>
        <w:t>und Nachhaltigkeit gestellt</w:t>
      </w:r>
      <w:r w:rsidR="00543479" w:rsidRPr="00FF69A3">
        <w:rPr>
          <w:rFonts w:ascii="Source Sans Pro" w:hAnsi="Source Sans Pro" w:cs="Source Sans Pro"/>
          <w:i/>
          <w:sz w:val="22"/>
          <w:szCs w:val="22"/>
        </w:rPr>
        <w:t xml:space="preserve">. Auch Incentives sind mittlerweile wieder </w:t>
      </w:r>
      <w:r w:rsidR="007C1158">
        <w:rPr>
          <w:rFonts w:ascii="Source Sans Pro" w:hAnsi="Source Sans Pro" w:cs="Source Sans Pro"/>
          <w:i/>
          <w:sz w:val="22"/>
          <w:szCs w:val="22"/>
        </w:rPr>
        <w:t>ein Thema</w:t>
      </w:r>
      <w:r w:rsidR="001C3694">
        <w:rPr>
          <w:rFonts w:ascii="Source Sans Pro" w:hAnsi="Source Sans Pro" w:cs="Source Sans Pro"/>
          <w:i/>
          <w:sz w:val="22"/>
          <w:szCs w:val="22"/>
        </w:rPr>
        <w:t>.</w:t>
      </w:r>
      <w:r w:rsidR="00543479" w:rsidRPr="00FF69A3">
        <w:rPr>
          <w:rFonts w:ascii="Source Sans Pro" w:hAnsi="Source Sans Pro" w:cs="Source Sans Pro"/>
          <w:i/>
          <w:sz w:val="22"/>
          <w:szCs w:val="22"/>
        </w:rPr>
        <w:t>“</w:t>
      </w:r>
      <w:r w:rsidR="00CF7719">
        <w:rPr>
          <w:rFonts w:ascii="Source Sans Pro" w:hAnsi="Source Sans Pro" w:cs="Source Sans Pro"/>
          <w:sz w:val="22"/>
          <w:szCs w:val="22"/>
        </w:rPr>
        <w:t xml:space="preserve"> </w:t>
      </w:r>
      <w:r w:rsidR="000C2E53">
        <w:rPr>
          <w:rFonts w:ascii="Source Sans Pro" w:hAnsi="Source Sans Pro" w:cs="Source Sans Pro"/>
          <w:sz w:val="22"/>
          <w:szCs w:val="22"/>
        </w:rPr>
        <w:t xml:space="preserve"> </w:t>
      </w:r>
      <w:r w:rsidR="001E7C5E">
        <w:rPr>
          <w:rFonts w:ascii="Source Sans Pro" w:hAnsi="Source Sans Pro" w:cs="Source Sans Pro"/>
          <w:sz w:val="22"/>
          <w:szCs w:val="22"/>
        </w:rPr>
        <w:t>Zudem</w:t>
      </w:r>
      <w:r w:rsidR="00CF7719">
        <w:rPr>
          <w:rFonts w:ascii="Source Sans Pro" w:hAnsi="Source Sans Pro" w:cs="Source Sans Pro"/>
          <w:sz w:val="22"/>
          <w:szCs w:val="22"/>
        </w:rPr>
        <w:t xml:space="preserve"> </w:t>
      </w:r>
      <w:r w:rsidR="001E7C5E">
        <w:rPr>
          <w:rFonts w:ascii="Source Sans Pro" w:hAnsi="Source Sans Pro" w:cs="Source Sans Pro"/>
          <w:sz w:val="22"/>
          <w:szCs w:val="22"/>
        </w:rPr>
        <w:t xml:space="preserve">kommt es an </w:t>
      </w:r>
      <w:r w:rsidR="00CF7719">
        <w:rPr>
          <w:rFonts w:ascii="Source Sans Pro" w:hAnsi="Source Sans Pro" w:cs="Source Sans Pro"/>
          <w:sz w:val="22"/>
          <w:szCs w:val="22"/>
        </w:rPr>
        <w:t>einigen Top-7-Standorten zu wesentlich mehr Untervermietungen und Vertragsverlängerungen.</w:t>
      </w:r>
    </w:p>
    <w:p w14:paraId="631546EA" w14:textId="77777777" w:rsidR="002B5078" w:rsidRDefault="002B5078" w:rsidP="00BF14CE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362BB96F" w14:textId="35120B67" w:rsidR="00BF14CE" w:rsidRDefault="000E0603" w:rsidP="00BF14CE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auto"/>
          <w:sz w:val="22"/>
          <w:szCs w:val="22"/>
        </w:rPr>
      </w:pPr>
      <w:r>
        <w:rPr>
          <w:rFonts w:ascii="Source Sans Pro" w:hAnsi="Source Sans Pro" w:cs="Source Sans Pro"/>
          <w:color w:val="auto"/>
          <w:sz w:val="22"/>
          <w:szCs w:val="22"/>
        </w:rPr>
        <w:t xml:space="preserve">Angesichts 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>dieser Umstände</w:t>
      </w:r>
      <w:r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>geht</w:t>
      </w:r>
      <w:r w:rsidR="00053C7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6439F">
        <w:rPr>
          <w:rFonts w:ascii="Source Sans Pro" w:hAnsi="Source Sans Pro" w:cs="Source Sans Pro"/>
          <w:color w:val="auto"/>
          <w:sz w:val="22"/>
          <w:szCs w:val="22"/>
        </w:rPr>
        <w:t xml:space="preserve">der Zusammenschluss von </w:t>
      </w:r>
      <w:r w:rsidR="0046439F" w:rsidRPr="00977A0F">
        <w:rPr>
          <w:rFonts w:ascii="Source Sans Pro" w:hAnsi="Source Sans Pro" w:cs="Source Sans Pro"/>
          <w:sz w:val="22"/>
          <w:szCs w:val="22"/>
        </w:rPr>
        <w:t xml:space="preserve">Grossmann &amp; Berger, </w:t>
      </w:r>
      <w:proofErr w:type="spellStart"/>
      <w:r w:rsidR="0046439F" w:rsidRPr="00977A0F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="0046439F" w:rsidRPr="00977A0F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="0046439F" w:rsidRPr="00977A0F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="0046439F" w:rsidRPr="00977A0F">
        <w:rPr>
          <w:rFonts w:ascii="Source Sans Pro" w:hAnsi="Source Sans Pro" w:cs="Source Sans Pro"/>
          <w:sz w:val="22"/>
          <w:szCs w:val="22"/>
        </w:rPr>
        <w:t xml:space="preserve"> und E &amp; G Real Estate</w:t>
      </w:r>
      <w:r w:rsidR="0046439F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 xml:space="preserve">zwar von einem </w:t>
      </w:r>
      <w:r w:rsidR="00BE6CC2">
        <w:rPr>
          <w:rFonts w:ascii="Source Sans Pro" w:hAnsi="Source Sans Pro" w:cs="Source Sans Pro"/>
          <w:color w:val="auto"/>
          <w:sz w:val="22"/>
          <w:szCs w:val="22"/>
        </w:rPr>
        <w:t>relativ regen</w:t>
      </w:r>
      <w:r w:rsidR="00837482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 xml:space="preserve">4. Quartal aus, setzt </w:t>
      </w:r>
      <w:r w:rsidR="00B87B55">
        <w:rPr>
          <w:rFonts w:ascii="Source Sans Pro" w:hAnsi="Source Sans Pro" w:cs="Source Sans Pro"/>
          <w:color w:val="auto"/>
          <w:sz w:val="22"/>
          <w:szCs w:val="22"/>
        </w:rPr>
        <w:t>den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 xml:space="preserve"> erwarteten </w:t>
      </w:r>
      <w:r w:rsidR="001317A1">
        <w:rPr>
          <w:rFonts w:ascii="Source Sans Pro" w:hAnsi="Source Sans Pro" w:cs="Source Sans Pro"/>
          <w:color w:val="auto"/>
          <w:sz w:val="22"/>
          <w:szCs w:val="22"/>
        </w:rPr>
        <w:t>Jahresf</w:t>
      </w:r>
      <w:r w:rsidR="00AA498E">
        <w:rPr>
          <w:rFonts w:ascii="Source Sans Pro" w:hAnsi="Source Sans Pro" w:cs="Source Sans Pro"/>
          <w:color w:val="auto"/>
          <w:sz w:val="22"/>
          <w:szCs w:val="22"/>
        </w:rPr>
        <w:t xml:space="preserve">lächenumsatz </w:t>
      </w:r>
      <w:r w:rsidR="004832A6">
        <w:rPr>
          <w:rFonts w:ascii="Source Sans Pro" w:hAnsi="Source Sans Pro" w:cs="Source Sans Pro"/>
          <w:color w:val="auto"/>
          <w:sz w:val="22"/>
          <w:szCs w:val="22"/>
        </w:rPr>
        <w:t>mit bis zu</w:t>
      </w:r>
      <w:r w:rsidR="000C7797">
        <w:rPr>
          <w:rFonts w:ascii="Source Sans Pro" w:hAnsi="Source Sans Pro" w:cs="Source Sans Pro"/>
          <w:color w:val="auto"/>
          <w:sz w:val="22"/>
          <w:szCs w:val="22"/>
        </w:rPr>
        <w:t xml:space="preserve"> 2,46</w:t>
      </w:r>
      <w:r w:rsidR="00B87B55">
        <w:rPr>
          <w:rFonts w:ascii="Source Sans Pro" w:hAnsi="Source Sans Pro" w:cs="Source Sans Pro"/>
          <w:color w:val="auto"/>
          <w:sz w:val="22"/>
          <w:szCs w:val="22"/>
        </w:rPr>
        <w:t xml:space="preserve"> Mio. m² </w:t>
      </w:r>
      <w:r w:rsidR="007039B8">
        <w:rPr>
          <w:rFonts w:ascii="Source Sans Pro" w:hAnsi="Source Sans Pro" w:cs="Source Sans Pro"/>
          <w:color w:val="auto"/>
          <w:sz w:val="22"/>
          <w:szCs w:val="22"/>
        </w:rPr>
        <w:t>aber erneut niedriger an.</w:t>
      </w:r>
    </w:p>
    <w:p w14:paraId="637CE2D6" w14:textId="5F6AED28" w:rsidR="00821685" w:rsidRDefault="00821685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24190501" w14:textId="77777777" w:rsidR="00C87FAA" w:rsidRDefault="00C87FAA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</w:p>
    <w:p w14:paraId="700A8FF0" w14:textId="3AECD5AC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t xml:space="preserve">Top bekannte </w:t>
      </w:r>
      <w:r w:rsidR="008E018E">
        <w:rPr>
          <w:rFonts w:ascii="Source Sans Pro" w:hAnsi="Source Sans Pro" w:cs="Arial"/>
          <w:b/>
          <w:sz w:val="20"/>
        </w:rPr>
        <w:t>Abschlüsse</w:t>
      </w:r>
      <w:r w:rsidR="004A2D54" w:rsidRPr="004A2D54">
        <w:rPr>
          <w:rFonts w:ascii="Source Sans Pro" w:hAnsi="Source Sans Pro" w:cs="Arial"/>
          <w:b/>
          <w:sz w:val="20"/>
        </w:rPr>
        <w:t xml:space="preserve"> </w:t>
      </w:r>
      <w:r w:rsidR="004144E8">
        <w:rPr>
          <w:rFonts w:ascii="Source Sans Pro" w:hAnsi="Source Sans Pro" w:cs="Arial"/>
          <w:b/>
          <w:sz w:val="20"/>
        </w:rPr>
        <w:t xml:space="preserve">über 10.000 m² </w:t>
      </w:r>
      <w:r w:rsidR="004A2D54" w:rsidRPr="004A2D54">
        <w:rPr>
          <w:rFonts w:ascii="Source Sans Pro" w:hAnsi="Source Sans Pro" w:cs="Arial"/>
          <w:b/>
          <w:sz w:val="20"/>
        </w:rPr>
        <w:t>| Top-7-Standorte | 1.</w:t>
      </w:r>
      <w:r w:rsidR="006D69B0">
        <w:rPr>
          <w:rFonts w:ascii="Source Sans Pro" w:hAnsi="Source Sans Pro" w:cs="Arial"/>
          <w:b/>
          <w:sz w:val="20"/>
        </w:rPr>
        <w:t>-</w:t>
      </w:r>
      <w:r w:rsidR="005B1051">
        <w:rPr>
          <w:rFonts w:ascii="Source Sans Pro" w:hAnsi="Source Sans Pro" w:cs="Arial"/>
          <w:b/>
          <w:sz w:val="20"/>
        </w:rPr>
        <w:t>3</w:t>
      </w:r>
      <w:r w:rsidR="006D69B0">
        <w:rPr>
          <w:rFonts w:ascii="Source Sans Pro" w:hAnsi="Source Sans Pro" w:cs="Arial"/>
          <w:b/>
          <w:sz w:val="20"/>
        </w:rPr>
        <w:t>.</w:t>
      </w:r>
      <w:r w:rsidR="004A2D54" w:rsidRPr="004A2D54">
        <w:rPr>
          <w:rFonts w:ascii="Source Sans Pro" w:hAnsi="Source Sans Pro" w:cs="Arial"/>
          <w:b/>
          <w:sz w:val="20"/>
        </w:rPr>
        <w:t xml:space="preserve"> Quartal 202</w:t>
      </w:r>
      <w:r w:rsidR="00790528">
        <w:rPr>
          <w:rFonts w:ascii="Source Sans Pro" w:hAnsi="Source Sans Pro" w:cs="Arial"/>
          <w:b/>
          <w:sz w:val="20"/>
        </w:rPr>
        <w:t>3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85"/>
        <w:gridCol w:w="3869"/>
        <w:gridCol w:w="1023"/>
      </w:tblGrid>
      <w:tr w:rsidR="004A2D54" w:rsidRPr="004A2D54" w14:paraId="423F19E1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4144E8" w:rsidRPr="004A2D54" w14:paraId="0CDACFF5" w14:textId="77777777" w:rsidTr="004144E8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A46F0" w14:textId="6DEB8AB8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03F7A" w14:textId="27DAF0DE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„Twin Cubes“, Heerdter Lohweg 53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47923" w14:textId="77777777" w:rsid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Deutsche Rückversicherung,</w:t>
            </w:r>
          </w:p>
          <w:p w14:paraId="68700070" w14:textId="3B34CD9C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ÖRAG Rechtsschutzversicherung</w:t>
            </w:r>
            <w:r w:rsidR="00D869D1">
              <w:rPr>
                <w:rFonts w:ascii="Source Sans Pro" w:hAnsi="Source Sans Pro" w:cs="Arial"/>
                <w:bCs/>
                <w:sz w:val="16"/>
                <w:szCs w:val="16"/>
              </w:rPr>
              <w:t xml:space="preserve"> </w:t>
            </w:r>
            <w:r w:rsidR="00D869D1" w:rsidRPr="00D869D1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AFB7" w14:textId="389D4E02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27.100</w:t>
            </w:r>
          </w:p>
        </w:tc>
      </w:tr>
      <w:tr w:rsidR="00371F87" w:rsidRPr="004144E8" w14:paraId="7E1E4C34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5B5E2299" w:rsidR="00371F87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6643EE43" w:rsidR="00371F87" w:rsidRPr="004144E8" w:rsidRDefault="00256932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„AP 15“, </w:t>
            </w:r>
            <w:r w:rsidR="004E52C1" w:rsidRPr="004144E8">
              <w:rPr>
                <w:rFonts w:ascii="Source Sans Pro" w:hAnsi="Source Sans Pro" w:cs="Arial"/>
                <w:bCs/>
                <w:sz w:val="16"/>
                <w:szCs w:val="16"/>
              </w:rPr>
              <w:t>Am Postbahnhof 15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4B4B08F3" w:rsidR="00371F87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Boston Consulting Group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2C1645C1" w:rsidR="00371F87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19.600</w:t>
            </w:r>
          </w:p>
        </w:tc>
      </w:tr>
      <w:tr w:rsidR="008E018E" w:rsidRPr="004144E8" w14:paraId="20CCF6F1" w14:textId="77777777" w:rsidTr="004144E8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A6F39" w14:textId="68CD431A" w:rsidR="008E018E" w:rsidRPr="004144E8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A1F8" w14:textId="40B7EB9B" w:rsidR="008E018E" w:rsidRPr="004144E8" w:rsidRDefault="007A74D2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„Marquard &amp; Bahls-Gebäude</w:t>
            </w:r>
            <w:r w:rsidR="008E018E" w:rsidRPr="004144E8">
              <w:rPr>
                <w:rFonts w:ascii="Source Sans Pro" w:hAnsi="Source Sans Pro" w:cs="Arial"/>
                <w:bCs/>
                <w:sz w:val="16"/>
                <w:szCs w:val="16"/>
              </w:rPr>
              <w:t>“, Koreastraße 7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76CC7" w14:textId="3CC333E8" w:rsidR="008E018E" w:rsidRPr="004144E8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 xml:space="preserve">RTL / </w:t>
            </w:r>
            <w:proofErr w:type="spellStart"/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Gruner+Jahr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E548" w14:textId="1937F23C" w:rsidR="008E018E" w:rsidRPr="004144E8" w:rsidRDefault="008E018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17.200</w:t>
            </w:r>
          </w:p>
        </w:tc>
      </w:tr>
      <w:tr w:rsidR="004A2D54" w:rsidRPr="004A2D54" w14:paraId="1A9052AE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36527432" w:rsidR="004A2D54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231ECB86" w:rsidR="004A2D54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Märkische Allee 171 + 173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51F30A14" w:rsidR="004A2D54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 xml:space="preserve">Jobcenter Marzahn-Hellersdorf </w:t>
            </w:r>
            <w:r w:rsidRPr="004144E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4141214E" w:rsidR="004A2D54" w:rsidRPr="004144E8" w:rsidRDefault="004E52C1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12.800</w:t>
            </w:r>
          </w:p>
        </w:tc>
      </w:tr>
      <w:tr w:rsidR="004144E8" w:rsidRPr="004144E8" w14:paraId="52CCA492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01EF7" w14:textId="601BDF85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0F40C" w14:textId="3890DD68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„The Move Orange“, De-Saint-</w:t>
            </w:r>
            <w:proofErr w:type="spellStart"/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Exupèry</w:t>
            </w:r>
            <w:proofErr w:type="spellEnd"/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-</w:t>
            </w:r>
            <w:proofErr w:type="spellStart"/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Straße</w:t>
            </w:r>
            <w:proofErr w:type="spellEnd"/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3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F562F" w14:textId="6650D490" w:rsidR="004144E8" w:rsidRPr="004144E8" w:rsidRDefault="009E627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v</w:t>
            </w:r>
            <w:r w:rsidR="004144E8"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ertraulich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A4383" w14:textId="44891A70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12.000</w:t>
            </w:r>
          </w:p>
        </w:tc>
      </w:tr>
      <w:tr w:rsidR="004144E8" w:rsidRPr="004A2D54" w14:paraId="6DBC87FD" w14:textId="77777777" w:rsidTr="007346B4">
        <w:trPr>
          <w:trHeight w:val="45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A2232" w14:textId="6490C530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BER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EC9D5" w14:textId="190C0422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Potsdamer Platz C2, ehemalige Pfizer-Zentrale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1B8FB" w14:textId="2D73982F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Berlinovo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275C2" w14:textId="75C3C779" w:rsidR="004144E8" w:rsidRPr="004144E8" w:rsidRDefault="004144E8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Cs/>
                <w:sz w:val="16"/>
                <w:szCs w:val="16"/>
              </w:rPr>
              <w:t>10.000</w:t>
            </w:r>
          </w:p>
        </w:tc>
      </w:tr>
    </w:tbl>
    <w:p w14:paraId="475827B1" w14:textId="0F1DE912" w:rsidR="00A67512" w:rsidRPr="008E018E" w:rsidRDefault="004A2D54" w:rsidP="00E130B9">
      <w:pPr>
        <w:widowControl w:val="0"/>
        <w:rPr>
          <w:rFonts w:ascii="Source Sans Pro" w:hAnsi="Source Sans Pro" w:cs="Arial"/>
          <w:sz w:val="16"/>
          <w:szCs w:val="16"/>
        </w:rPr>
      </w:pPr>
      <w:r w:rsidRPr="008E018E">
        <w:rPr>
          <w:rFonts w:ascii="Source Sans Pro" w:hAnsi="Source Sans Pro" w:cs="Arial"/>
          <w:sz w:val="16"/>
          <w:szCs w:val="16"/>
        </w:rPr>
        <w:t>Quelle: German Property Partners (GPP)</w:t>
      </w:r>
      <w:r w:rsidR="008E018E" w:rsidRPr="008E018E">
        <w:rPr>
          <w:rFonts w:ascii="Source Sans Pro" w:hAnsi="Source Sans Pro" w:cs="Arial"/>
          <w:sz w:val="16"/>
          <w:szCs w:val="16"/>
        </w:rPr>
        <w:t xml:space="preserve">; Deals aus </w:t>
      </w:r>
      <w:r w:rsidR="005C27D9">
        <w:rPr>
          <w:rFonts w:ascii="Source Sans Pro" w:hAnsi="Source Sans Pro" w:cs="Arial"/>
          <w:sz w:val="16"/>
          <w:szCs w:val="16"/>
        </w:rPr>
        <w:t>aktuellem</w:t>
      </w:r>
      <w:r w:rsidR="008E018E" w:rsidRPr="008E018E">
        <w:rPr>
          <w:rFonts w:ascii="Source Sans Pro" w:hAnsi="Source Sans Pro" w:cs="Arial"/>
          <w:sz w:val="16"/>
          <w:szCs w:val="16"/>
        </w:rPr>
        <w:t xml:space="preserve"> Quartal farblich hervorgehoben.</w:t>
      </w:r>
    </w:p>
    <w:p w14:paraId="5B9B2836" w14:textId="77777777" w:rsidR="00054FE9" w:rsidRPr="008E018E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40E17A09" w14:textId="1179A869" w:rsidR="00821685" w:rsidRDefault="00821685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033E808A" w14:textId="77777777" w:rsidR="00E130B9" w:rsidRPr="008E018E" w:rsidRDefault="00E130B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</w:rPr>
      </w:pPr>
    </w:p>
    <w:p w14:paraId="1BF7891F" w14:textId="0775DFD5" w:rsidR="004A2D54" w:rsidRPr="0051046D" w:rsidRDefault="004A2D54" w:rsidP="004A2D54">
      <w:pPr>
        <w:rPr>
          <w:rFonts w:ascii="Source Sans Pro" w:hAnsi="Source Sans Pro" w:cs="Arial"/>
          <w:sz w:val="16"/>
          <w:szCs w:val="16"/>
          <w:lang w:val="en-GB"/>
        </w:rPr>
      </w:pPr>
      <w:r w:rsidRPr="0051046D">
        <w:rPr>
          <w:rFonts w:ascii="Source Sans Pro" w:hAnsi="Source Sans Pro" w:cs="Arial"/>
          <w:b/>
          <w:sz w:val="20"/>
          <w:lang w:val="en-GB"/>
        </w:rPr>
        <w:t>Top-7-Standorte | 1.</w:t>
      </w:r>
      <w:r w:rsidR="006D69B0">
        <w:rPr>
          <w:rFonts w:ascii="Source Sans Pro" w:hAnsi="Source Sans Pro" w:cs="Arial"/>
          <w:b/>
          <w:sz w:val="20"/>
          <w:lang w:val="en-GB"/>
        </w:rPr>
        <w:t>-</w:t>
      </w:r>
      <w:r w:rsidR="005B1051">
        <w:rPr>
          <w:rFonts w:ascii="Source Sans Pro" w:hAnsi="Source Sans Pro" w:cs="Arial"/>
          <w:b/>
          <w:sz w:val="20"/>
          <w:lang w:val="en-GB"/>
        </w:rPr>
        <w:t>3</w:t>
      </w:r>
      <w:r w:rsidR="006D69B0">
        <w:rPr>
          <w:rFonts w:ascii="Source Sans Pro" w:hAnsi="Source Sans Pro" w:cs="Arial"/>
          <w:b/>
          <w:sz w:val="20"/>
          <w:lang w:val="en-GB"/>
        </w:rPr>
        <w:t>.</w:t>
      </w:r>
      <w:r w:rsidRPr="0051046D">
        <w:rPr>
          <w:rFonts w:ascii="Source Sans Pro" w:hAnsi="Source Sans Pro" w:cs="Arial"/>
          <w:b/>
          <w:sz w:val="20"/>
          <w:lang w:val="en-GB"/>
        </w:rPr>
        <w:t xml:space="preserve"> </w:t>
      </w:r>
      <w:r w:rsidRPr="0038195C">
        <w:rPr>
          <w:rFonts w:ascii="Source Sans Pro" w:hAnsi="Source Sans Pro" w:cs="Arial"/>
          <w:b/>
          <w:sz w:val="20"/>
        </w:rPr>
        <w:t xml:space="preserve">Quartal </w:t>
      </w:r>
      <w:r w:rsidRPr="0051046D">
        <w:rPr>
          <w:rFonts w:ascii="Source Sans Pro" w:hAnsi="Source Sans Pro" w:cs="Arial"/>
          <w:b/>
          <w:sz w:val="20"/>
          <w:lang w:val="en-GB"/>
        </w:rPr>
        <w:t>202</w:t>
      </w:r>
      <w:r w:rsidR="00790528" w:rsidRPr="0051046D">
        <w:rPr>
          <w:rFonts w:ascii="Source Sans Pro" w:hAnsi="Source Sans Pro" w:cs="Arial"/>
          <w:b/>
          <w:sz w:val="20"/>
          <w:lang w:val="en-GB"/>
        </w:rPr>
        <w:t>3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4A2D54" w:rsidRPr="0051046D" w14:paraId="1F169502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254193F" w14:textId="77777777" w:rsidR="004A2D54" w:rsidRPr="0051046D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6F593517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4C569DD5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31F1C321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22D79F28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45019706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690BA4AF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7EB9AFCD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2" w:type="pct"/>
            <w:vAlign w:val="center"/>
          </w:tcPr>
          <w:p w14:paraId="349A50B2" w14:textId="77777777" w:rsidR="004A2D54" w:rsidRPr="0051046D" w:rsidRDefault="004A2D54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</w:p>
        </w:tc>
      </w:tr>
      <w:tr w:rsidR="004A2D54" w:rsidRPr="004A2D54" w14:paraId="0A45CD03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405F271F" w14:textId="77777777" w:rsidR="004A2D54" w:rsidRPr="005C27D9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C27D9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5C27D9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1D6CAF59" w14:textId="77777777" w:rsidR="004A2D54" w:rsidRPr="005C27D9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C27D9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6D8FB010" w14:textId="645FE781" w:rsidR="004A2D54" w:rsidRPr="00E00213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00213">
              <w:rPr>
                <w:rFonts w:ascii="Source Sans Pro" w:hAnsi="Source Sans Pro" w:cs="Arial"/>
                <w:sz w:val="16"/>
                <w:szCs w:val="16"/>
                <w:u w:val="single"/>
              </w:rPr>
              <w:t>325</w:t>
            </w:r>
            <w:r w:rsidR="0051046D" w:rsidRPr="00E00213">
              <w:rPr>
                <w:rFonts w:ascii="Source Sans Pro" w:hAnsi="Source Sans Pro" w:cs="Arial"/>
                <w:sz w:val="16"/>
                <w:szCs w:val="16"/>
                <w:u w:val="single"/>
              </w:rPr>
              <w:t>.000</w:t>
            </w:r>
          </w:p>
        </w:tc>
        <w:tc>
          <w:tcPr>
            <w:tcW w:w="502" w:type="pct"/>
            <w:vAlign w:val="center"/>
          </w:tcPr>
          <w:p w14:paraId="3C6241A3" w14:textId="09611337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320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207CCC61" w14:textId="7091C2DB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173.700</w:t>
            </w:r>
          </w:p>
        </w:tc>
        <w:tc>
          <w:tcPr>
            <w:tcW w:w="502" w:type="pct"/>
            <w:vAlign w:val="center"/>
          </w:tcPr>
          <w:p w14:paraId="6EB9679F" w14:textId="4A08E449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128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59C93C6A" w14:textId="55779B89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289.000</w:t>
            </w:r>
          </w:p>
        </w:tc>
        <w:tc>
          <w:tcPr>
            <w:tcW w:w="502" w:type="pct"/>
            <w:vAlign w:val="center"/>
          </w:tcPr>
          <w:p w14:paraId="181F9FE1" w14:textId="077BFC1E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108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0452766" w14:textId="72643D35" w:rsidR="004A2D54" w:rsidRPr="00E00213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00213">
              <w:rPr>
                <w:rFonts w:ascii="Source Sans Pro" w:hAnsi="Source Sans Pro" w:cs="Arial"/>
                <w:sz w:val="16"/>
                <w:szCs w:val="16"/>
              </w:rPr>
              <w:t>319.500</w:t>
            </w:r>
          </w:p>
        </w:tc>
        <w:tc>
          <w:tcPr>
            <w:tcW w:w="502" w:type="pct"/>
            <w:vAlign w:val="center"/>
          </w:tcPr>
          <w:p w14:paraId="4805316C" w14:textId="4ABCCE1A" w:rsidR="004A2D54" w:rsidRPr="004144E8" w:rsidRDefault="005C27D9" w:rsidP="004144E8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1.</w:t>
            </w:r>
            <w:r w:rsidR="004144E8">
              <w:rPr>
                <w:rFonts w:ascii="Source Sans Pro" w:hAnsi="Source Sans Pro" w:cs="Arial"/>
                <w:b/>
                <w:sz w:val="16"/>
                <w:szCs w:val="16"/>
              </w:rPr>
              <w:t>663</w:t>
            </w: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.200</w:t>
            </w:r>
          </w:p>
        </w:tc>
      </w:tr>
      <w:tr w:rsidR="004A2D54" w:rsidRPr="004A2D54" w14:paraId="1EA0FAB5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2D69839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6D9A9C05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5F60596F" w14:textId="35DB5B0F" w:rsidR="004A2D54" w:rsidRPr="004144E8" w:rsidRDefault="0051046D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30</w:t>
            </w:r>
          </w:p>
        </w:tc>
        <w:tc>
          <w:tcPr>
            <w:tcW w:w="502" w:type="pct"/>
            <w:vAlign w:val="center"/>
          </w:tcPr>
          <w:p w14:paraId="0E53EDA4" w14:textId="6B703F05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47</w:t>
            </w:r>
          </w:p>
        </w:tc>
        <w:tc>
          <w:tcPr>
            <w:tcW w:w="502" w:type="pct"/>
            <w:vAlign w:val="center"/>
          </w:tcPr>
          <w:p w14:paraId="44D058C9" w14:textId="4CE6BF9C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15</w:t>
            </w:r>
          </w:p>
        </w:tc>
        <w:tc>
          <w:tcPr>
            <w:tcW w:w="502" w:type="pct"/>
            <w:vAlign w:val="center"/>
          </w:tcPr>
          <w:p w14:paraId="07EAF74E" w14:textId="7AD36894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53</w:t>
            </w:r>
          </w:p>
        </w:tc>
        <w:tc>
          <w:tcPr>
            <w:tcW w:w="502" w:type="pct"/>
            <w:vAlign w:val="center"/>
          </w:tcPr>
          <w:p w14:paraId="5C1E2E78" w14:textId="5F8CC8F3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14</w:t>
            </w:r>
          </w:p>
        </w:tc>
        <w:tc>
          <w:tcPr>
            <w:tcW w:w="502" w:type="pct"/>
            <w:vAlign w:val="center"/>
          </w:tcPr>
          <w:p w14:paraId="0CE9A835" w14:textId="1337490E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56</w:t>
            </w:r>
          </w:p>
        </w:tc>
        <w:tc>
          <w:tcPr>
            <w:tcW w:w="502" w:type="pct"/>
            <w:vAlign w:val="center"/>
          </w:tcPr>
          <w:p w14:paraId="7AE6C155" w14:textId="3F776D3D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45</w:t>
            </w:r>
          </w:p>
        </w:tc>
        <w:tc>
          <w:tcPr>
            <w:tcW w:w="502" w:type="pct"/>
            <w:vAlign w:val="center"/>
          </w:tcPr>
          <w:p w14:paraId="0193D00C" w14:textId="6B2C8D98" w:rsidR="004A2D54" w:rsidRPr="004144E8" w:rsidRDefault="005C27D9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-3</w:t>
            </w:r>
            <w:r w:rsidR="004144E8">
              <w:rPr>
                <w:rFonts w:ascii="Source Sans Pro" w:hAnsi="Source Sans Pro" w:cs="Arial"/>
                <w:b/>
                <w:sz w:val="16"/>
                <w:szCs w:val="16"/>
              </w:rPr>
              <w:t>8</w:t>
            </w:r>
          </w:p>
        </w:tc>
      </w:tr>
      <w:tr w:rsidR="004A2D54" w:rsidRPr="004A2D54" w14:paraId="28C0E045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20BEBAE3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5014603B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8BC9DC0" w14:textId="4656FAB0" w:rsidR="004A2D54" w:rsidRPr="004144E8" w:rsidRDefault="0051046D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34,50</w:t>
            </w:r>
          </w:p>
        </w:tc>
        <w:tc>
          <w:tcPr>
            <w:tcW w:w="502" w:type="pct"/>
            <w:vAlign w:val="center"/>
          </w:tcPr>
          <w:p w14:paraId="36FC9688" w14:textId="01BD06E4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43,5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1327B9B3" w14:textId="05735785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39,50</w:t>
            </w:r>
          </w:p>
        </w:tc>
        <w:tc>
          <w:tcPr>
            <w:tcW w:w="502" w:type="pct"/>
            <w:vAlign w:val="center"/>
          </w:tcPr>
          <w:p w14:paraId="760BB6C8" w14:textId="114CE46F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32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3A6FFDAF" w14:textId="719E1A07" w:rsidR="004A2D54" w:rsidRPr="004144E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46,0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7563F31F" w14:textId="5E639C88" w:rsidR="004A2D54" w:rsidRPr="004144E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35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,00</w:t>
            </w:r>
          </w:p>
        </w:tc>
        <w:tc>
          <w:tcPr>
            <w:tcW w:w="502" w:type="pct"/>
            <w:vAlign w:val="center"/>
          </w:tcPr>
          <w:p w14:paraId="1672D038" w14:textId="2453CB1D" w:rsidR="004A2D54" w:rsidRPr="004144E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52,25</w:t>
            </w:r>
          </w:p>
        </w:tc>
        <w:tc>
          <w:tcPr>
            <w:tcW w:w="502" w:type="pct"/>
            <w:vAlign w:val="center"/>
          </w:tcPr>
          <w:p w14:paraId="4DAAB3CF" w14:textId="1DC84771" w:rsidR="004A2D54" w:rsidRPr="004144E8" w:rsidRDefault="0051046D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1F9B5D78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7624939D" w14:textId="77777777" w:rsid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0A688944" w14:textId="3E203F2E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6766B324" w14:textId="0A2438E0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20,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69F36A2E" w14:textId="4D29F9EC" w:rsidR="004A2D54" w:rsidRPr="004144E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2</w:t>
            </w:r>
            <w:r w:rsid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9,65</w:t>
            </w:r>
          </w:p>
        </w:tc>
        <w:tc>
          <w:tcPr>
            <w:tcW w:w="502" w:type="pct"/>
            <w:vAlign w:val="center"/>
          </w:tcPr>
          <w:p w14:paraId="3A3D5B73" w14:textId="3E40AD91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21,5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5EEA2477" w14:textId="2F9ACF50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19,3</w:t>
            </w:r>
            <w:r w:rsidR="0051046D"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5785D354" w14:textId="20CA3288" w:rsidR="004A2D54" w:rsidRPr="004144E8" w:rsidRDefault="004144E8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23,8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44091F26" w14:textId="020EFD3E" w:rsidR="004A2D54" w:rsidRPr="004144E8" w:rsidRDefault="005C27D9" w:rsidP="004144E8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18,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4144E8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502" w:type="pct"/>
            <w:vAlign w:val="center"/>
          </w:tcPr>
          <w:p w14:paraId="2CFCC248" w14:textId="0ED5212D" w:rsidR="004A2D54" w:rsidRPr="004144E8" w:rsidRDefault="005C27D9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24</w:t>
            </w:r>
            <w:r w:rsidR="004144E8">
              <w:rPr>
                <w:rFonts w:ascii="Source Sans Pro" w:hAnsi="Source Sans Pro" w:cs="Arial"/>
                <w:sz w:val="16"/>
                <w:szCs w:val="16"/>
              </w:rPr>
              <w:t>,65</w:t>
            </w:r>
          </w:p>
        </w:tc>
        <w:tc>
          <w:tcPr>
            <w:tcW w:w="502" w:type="pct"/>
            <w:vAlign w:val="center"/>
          </w:tcPr>
          <w:p w14:paraId="77B616F3" w14:textId="4DE91D75" w:rsidR="004A2D54" w:rsidRPr="004144E8" w:rsidRDefault="0051046D" w:rsidP="00B549E4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4A2D54" w:rsidRPr="004A2D54" w14:paraId="497ADABD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7DB90D4B" w14:textId="77777777" w:rsid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265D7B5E" w14:textId="595DC771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6B529685" w14:textId="231E1258" w:rsidR="004A2D54" w:rsidRPr="004144E8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14,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20</w:t>
            </w:r>
          </w:p>
        </w:tc>
        <w:tc>
          <w:tcPr>
            <w:tcW w:w="502" w:type="pct"/>
            <w:vAlign w:val="center"/>
          </w:tcPr>
          <w:p w14:paraId="5A655032" w14:textId="42A15506" w:rsidR="004A2D54" w:rsidRPr="004144E8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21,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70</w:t>
            </w:r>
          </w:p>
        </w:tc>
        <w:tc>
          <w:tcPr>
            <w:tcW w:w="502" w:type="pct"/>
            <w:vAlign w:val="center"/>
          </w:tcPr>
          <w:p w14:paraId="7BC26CF2" w14:textId="0A61A16F" w:rsidR="004A2D54" w:rsidRPr="004144E8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7,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52</w:t>
            </w:r>
          </w:p>
        </w:tc>
        <w:tc>
          <w:tcPr>
            <w:tcW w:w="502" w:type="pct"/>
            <w:vAlign w:val="center"/>
          </w:tcPr>
          <w:p w14:paraId="6CDA777F" w14:textId="3552F2FB" w:rsidR="004A2D54" w:rsidRPr="004144E8" w:rsidRDefault="0051046D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8,1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4</w:t>
            </w:r>
          </w:p>
        </w:tc>
        <w:tc>
          <w:tcPr>
            <w:tcW w:w="502" w:type="pct"/>
            <w:vAlign w:val="center"/>
          </w:tcPr>
          <w:p w14:paraId="14273F72" w14:textId="551DA174" w:rsidR="004A2D54" w:rsidRPr="004144E8" w:rsidRDefault="0051046D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11,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68</w:t>
            </w:r>
          </w:p>
        </w:tc>
        <w:tc>
          <w:tcPr>
            <w:tcW w:w="502" w:type="pct"/>
            <w:vAlign w:val="center"/>
          </w:tcPr>
          <w:p w14:paraId="40B9B914" w14:textId="5B704C0F" w:rsidR="004A2D54" w:rsidRPr="004144E8" w:rsidRDefault="0051046D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8,4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7</w:t>
            </w:r>
          </w:p>
        </w:tc>
        <w:tc>
          <w:tcPr>
            <w:tcW w:w="502" w:type="pct"/>
            <w:vAlign w:val="center"/>
          </w:tcPr>
          <w:p w14:paraId="2FFE04BD" w14:textId="34C2EB50" w:rsidR="004A2D54" w:rsidRPr="004144E8" w:rsidRDefault="00AD4D42" w:rsidP="008E5C25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>
              <w:rPr>
                <w:rFonts w:ascii="Source Sans Pro" w:hAnsi="Source Sans Pro" w:cs="Arial"/>
                <w:sz w:val="16"/>
                <w:szCs w:val="16"/>
                <w:u w:val="single"/>
              </w:rPr>
              <w:t>23,4</w:t>
            </w:r>
            <w:r w:rsidR="00464D30"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502" w:type="pct"/>
            <w:vAlign w:val="center"/>
          </w:tcPr>
          <w:p w14:paraId="3F08A3A6" w14:textId="1A39A43B" w:rsidR="004A2D54" w:rsidRPr="004144E8" w:rsidRDefault="00AD4D42" w:rsidP="005C27D9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95,26</w:t>
            </w:r>
          </w:p>
        </w:tc>
      </w:tr>
      <w:tr w:rsidR="004A2D54" w:rsidRPr="004A2D54" w14:paraId="0AF55D2E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92670C9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22C1869E" w14:textId="547DFA4D" w:rsidR="004A2D54" w:rsidRPr="004144E8" w:rsidRDefault="00AD4D4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595.000</w:t>
            </w:r>
          </w:p>
        </w:tc>
        <w:tc>
          <w:tcPr>
            <w:tcW w:w="502" w:type="pct"/>
            <w:vAlign w:val="center"/>
          </w:tcPr>
          <w:p w14:paraId="75562CB1" w14:textId="06E8AD85" w:rsidR="004A2D54" w:rsidRPr="004144E8" w:rsidRDefault="005C27D9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1.1</w:t>
            </w:r>
            <w:r w:rsidR="00AD4D42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Pr="004144E8">
              <w:rPr>
                <w:rFonts w:ascii="Source Sans Pro" w:hAnsi="Source Sans Pro" w:cs="Arial"/>
                <w:sz w:val="16"/>
                <w:szCs w:val="16"/>
              </w:rPr>
              <w:t>0.000</w:t>
            </w:r>
          </w:p>
        </w:tc>
        <w:tc>
          <w:tcPr>
            <w:tcW w:w="502" w:type="pct"/>
            <w:vAlign w:val="center"/>
          </w:tcPr>
          <w:p w14:paraId="05FD8594" w14:textId="41240561" w:rsidR="004A2D54" w:rsidRPr="004144E8" w:rsidRDefault="00AD4D4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663.000</w:t>
            </w:r>
          </w:p>
        </w:tc>
        <w:tc>
          <w:tcPr>
            <w:tcW w:w="502" w:type="pct"/>
            <w:vAlign w:val="center"/>
          </w:tcPr>
          <w:p w14:paraId="69FA3B3B" w14:textId="0240CC8C" w:rsidR="004A2D54" w:rsidRPr="004144E8" w:rsidRDefault="00AD4D4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323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FBF36AD" w14:textId="01802F77" w:rsidR="004A2D54" w:rsidRPr="004144E8" w:rsidRDefault="00AD4D4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1.075.4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502" w:type="pct"/>
            <w:vAlign w:val="center"/>
          </w:tcPr>
          <w:p w14:paraId="25A1686F" w14:textId="357411E8" w:rsidR="004A2D54" w:rsidRPr="004144E8" w:rsidRDefault="000C7797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437</w:t>
            </w:r>
            <w:r w:rsidR="005C27D9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3C303F25" w14:textId="3A4C6945" w:rsidR="004A2D54" w:rsidRPr="004144E8" w:rsidRDefault="00464D30" w:rsidP="00AD4D42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1.</w:t>
            </w:r>
            <w:r w:rsidR="00AD4D42">
              <w:rPr>
                <w:rFonts w:ascii="Source Sans Pro" w:hAnsi="Source Sans Pro" w:cs="Arial"/>
                <w:sz w:val="16"/>
                <w:szCs w:val="16"/>
                <w:u w:val="single"/>
              </w:rPr>
              <w:t>318</w:t>
            </w: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.</w:t>
            </w:r>
            <w:r w:rsidR="00AD4D42">
              <w:rPr>
                <w:rFonts w:ascii="Source Sans Pro" w:hAnsi="Source Sans Pro" w:cs="Arial"/>
                <w:sz w:val="16"/>
                <w:szCs w:val="16"/>
                <w:u w:val="single"/>
              </w:rPr>
              <w:t>8</w:t>
            </w: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00</w:t>
            </w:r>
          </w:p>
        </w:tc>
        <w:tc>
          <w:tcPr>
            <w:tcW w:w="502" w:type="pct"/>
            <w:vAlign w:val="center"/>
          </w:tcPr>
          <w:p w14:paraId="21F33999" w14:textId="7B895C58" w:rsidR="004A2D54" w:rsidRPr="004144E8" w:rsidRDefault="005C27D9" w:rsidP="000C7797">
            <w:pPr>
              <w:jc w:val="center"/>
              <w:rPr>
                <w:rFonts w:ascii="Source Sans Pro" w:hAnsi="Source Sans Pro" w:cs="Arial"/>
                <w:b/>
                <w:color w:val="FF0000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5.</w:t>
            </w:r>
            <w:r w:rsidR="000C7797">
              <w:rPr>
                <w:rFonts w:ascii="Source Sans Pro" w:hAnsi="Source Sans Pro" w:cs="Arial"/>
                <w:b/>
                <w:sz w:val="16"/>
                <w:szCs w:val="16"/>
              </w:rPr>
              <w:t>562</w:t>
            </w: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.</w:t>
            </w:r>
            <w:r w:rsidR="00AD4D42">
              <w:rPr>
                <w:rFonts w:ascii="Source Sans Pro" w:hAnsi="Source Sans Pro" w:cs="Arial"/>
                <w:b/>
                <w:sz w:val="16"/>
                <w:szCs w:val="16"/>
              </w:rPr>
              <w:t>2</w:t>
            </w: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00</w:t>
            </w:r>
          </w:p>
        </w:tc>
      </w:tr>
      <w:tr w:rsidR="004A2D54" w:rsidRPr="004A2D54" w14:paraId="33CC4AFE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020462D7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Leerstandsrate</w:t>
            </w:r>
            <w:proofErr w:type="spellEnd"/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7D507D43" w14:textId="5A874895" w:rsidR="004A2D54" w:rsidRPr="004144E8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DA6F45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13E26529" w14:textId="01D7C8BC" w:rsidR="004A2D54" w:rsidRPr="004144E8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DA6F45">
              <w:rPr>
                <w:rFonts w:ascii="Source Sans Pro" w:hAnsi="Source Sans Pro" w:cs="Arial"/>
                <w:sz w:val="16"/>
                <w:szCs w:val="16"/>
              </w:rPr>
              <w:t>3</w:t>
            </w:r>
          </w:p>
        </w:tc>
        <w:tc>
          <w:tcPr>
            <w:tcW w:w="502" w:type="pct"/>
            <w:vAlign w:val="center"/>
          </w:tcPr>
          <w:p w14:paraId="6F4F9D00" w14:textId="445DBB02" w:rsidR="004A2D54" w:rsidRPr="004144E8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8,</w:t>
            </w:r>
            <w:r w:rsidR="00DA6F45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5C46F14C" w14:textId="69B8B678" w:rsidR="004A2D54" w:rsidRPr="004144E8" w:rsidRDefault="00DA6F45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4,0</w:t>
            </w:r>
          </w:p>
        </w:tc>
        <w:tc>
          <w:tcPr>
            <w:tcW w:w="502" w:type="pct"/>
            <w:vAlign w:val="center"/>
          </w:tcPr>
          <w:p w14:paraId="28A3EAD2" w14:textId="464F1066" w:rsidR="004A2D54" w:rsidRPr="004144E8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9,2</w:t>
            </w:r>
          </w:p>
        </w:tc>
        <w:tc>
          <w:tcPr>
            <w:tcW w:w="502" w:type="pct"/>
            <w:vAlign w:val="center"/>
          </w:tcPr>
          <w:p w14:paraId="33743795" w14:textId="71DE18AD" w:rsidR="004A2D54" w:rsidRPr="004144E8" w:rsidRDefault="00DA6F45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</w:t>
            </w:r>
            <w:r w:rsidR="000C7797">
              <w:rPr>
                <w:rFonts w:ascii="Source Sans Pro" w:hAnsi="Source Sans Pro" w:cs="Arial"/>
                <w:sz w:val="16"/>
                <w:szCs w:val="16"/>
              </w:rPr>
              <w:t>2</w:t>
            </w:r>
          </w:p>
        </w:tc>
        <w:tc>
          <w:tcPr>
            <w:tcW w:w="502" w:type="pct"/>
            <w:vAlign w:val="center"/>
          </w:tcPr>
          <w:p w14:paraId="0C8518F0" w14:textId="3EC0705B" w:rsidR="004A2D54" w:rsidRPr="004144E8" w:rsidRDefault="00DA6F45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5,6</w:t>
            </w:r>
          </w:p>
        </w:tc>
        <w:tc>
          <w:tcPr>
            <w:tcW w:w="502" w:type="pct"/>
            <w:vAlign w:val="center"/>
          </w:tcPr>
          <w:p w14:paraId="691A5F70" w14:textId="6A72ADDC" w:rsidR="004A2D54" w:rsidRPr="004144E8" w:rsidRDefault="00653B45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5,8</w:t>
            </w:r>
          </w:p>
        </w:tc>
      </w:tr>
      <w:tr w:rsidR="004A2D54" w:rsidRPr="004A2D54" w14:paraId="29AB7F04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F65BD0D" w14:textId="77777777" w:rsidR="004A2D54" w:rsidRPr="004A2D54" w:rsidRDefault="004A2D54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3D128034" w14:textId="5F5228FB" w:rsidR="004A2D54" w:rsidRPr="004A2D54" w:rsidRDefault="00256932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2023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+ 2024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09CD14A0" w14:textId="55AB059A" w:rsidR="004A2D54" w:rsidRPr="004144E8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365</w:t>
            </w:r>
            <w:r w:rsidR="00256932" w:rsidRPr="004144E8">
              <w:rPr>
                <w:rFonts w:ascii="Source Sans Pro" w:hAnsi="Source Sans Pro" w:cs="Arial"/>
                <w:sz w:val="16"/>
                <w:szCs w:val="16"/>
              </w:rPr>
              <w:t>.000</w:t>
            </w:r>
          </w:p>
        </w:tc>
        <w:tc>
          <w:tcPr>
            <w:tcW w:w="502" w:type="pct"/>
            <w:vAlign w:val="center"/>
          </w:tcPr>
          <w:p w14:paraId="1B9CE76A" w14:textId="0A96B1FE" w:rsidR="004A2D54" w:rsidRPr="004144E8" w:rsidRDefault="00256932" w:rsidP="0049170F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1.</w:t>
            </w:r>
            <w:r w:rsidR="00E00213">
              <w:rPr>
                <w:rFonts w:ascii="Source Sans Pro" w:hAnsi="Source Sans Pro" w:cs="Arial"/>
                <w:sz w:val="16"/>
                <w:szCs w:val="16"/>
                <w:u w:val="single"/>
              </w:rPr>
              <w:t>115</w:t>
            </w:r>
            <w:r w:rsidR="0049170F" w:rsidRPr="004144E8">
              <w:rPr>
                <w:rFonts w:ascii="Source Sans Pro" w:hAnsi="Source Sans Pro" w:cs="Arial"/>
                <w:sz w:val="16"/>
                <w:szCs w:val="16"/>
                <w:u w:val="single"/>
              </w:rPr>
              <w:t>.000</w:t>
            </w:r>
          </w:p>
        </w:tc>
        <w:tc>
          <w:tcPr>
            <w:tcW w:w="502" w:type="pct"/>
            <w:vAlign w:val="center"/>
          </w:tcPr>
          <w:p w14:paraId="6D668434" w14:textId="28F4D7B3" w:rsidR="004A2D54" w:rsidRPr="004144E8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199.700</w:t>
            </w:r>
          </w:p>
        </w:tc>
        <w:tc>
          <w:tcPr>
            <w:tcW w:w="502" w:type="pct"/>
            <w:vAlign w:val="center"/>
          </w:tcPr>
          <w:p w14:paraId="10EAAFA9" w14:textId="091086B2" w:rsidR="004A2D54" w:rsidRPr="004144E8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180.000</w:t>
            </w:r>
          </w:p>
        </w:tc>
        <w:tc>
          <w:tcPr>
            <w:tcW w:w="502" w:type="pct"/>
            <w:vAlign w:val="center"/>
          </w:tcPr>
          <w:p w14:paraId="1661A81C" w14:textId="3FD5757B" w:rsidR="004A2D54" w:rsidRPr="004144E8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372.900</w:t>
            </w:r>
          </w:p>
        </w:tc>
        <w:tc>
          <w:tcPr>
            <w:tcW w:w="502" w:type="pct"/>
            <w:vAlign w:val="center"/>
          </w:tcPr>
          <w:p w14:paraId="3B7AF91D" w14:textId="1488B268" w:rsidR="004A2D54" w:rsidRPr="004144E8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219.1</w:t>
            </w:r>
            <w:r w:rsidR="0049170F" w:rsidRPr="004144E8">
              <w:rPr>
                <w:rFonts w:ascii="Source Sans Pro" w:hAnsi="Source Sans Pro" w:cs="Arial"/>
                <w:sz w:val="16"/>
                <w:szCs w:val="16"/>
              </w:rPr>
              <w:t>00</w:t>
            </w:r>
          </w:p>
        </w:tc>
        <w:tc>
          <w:tcPr>
            <w:tcW w:w="502" w:type="pct"/>
            <w:vAlign w:val="center"/>
          </w:tcPr>
          <w:p w14:paraId="77B39730" w14:textId="514CE6F5" w:rsidR="004A2D54" w:rsidRPr="004144E8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600.000</w:t>
            </w:r>
          </w:p>
        </w:tc>
        <w:tc>
          <w:tcPr>
            <w:tcW w:w="502" w:type="pct"/>
            <w:vAlign w:val="center"/>
          </w:tcPr>
          <w:p w14:paraId="3FBBFB7B" w14:textId="0EC699A8" w:rsidR="004A2D54" w:rsidRPr="004144E8" w:rsidRDefault="0049170F" w:rsidP="00E00213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3.</w:t>
            </w:r>
            <w:r w:rsidR="00E00213">
              <w:rPr>
                <w:rFonts w:ascii="Source Sans Pro" w:hAnsi="Source Sans Pro" w:cs="Arial"/>
                <w:b/>
                <w:sz w:val="16"/>
                <w:szCs w:val="16"/>
              </w:rPr>
              <w:t>052</w:t>
            </w:r>
            <w:r w:rsidR="00256932" w:rsidRPr="004144E8">
              <w:rPr>
                <w:rFonts w:ascii="Source Sans Pro" w:hAnsi="Source Sans Pro" w:cs="Arial"/>
                <w:b/>
                <w:sz w:val="16"/>
                <w:szCs w:val="16"/>
              </w:rPr>
              <w:t>.000</w:t>
            </w:r>
          </w:p>
        </w:tc>
      </w:tr>
      <w:tr w:rsidR="004A2D54" w:rsidRPr="004A2D54" w14:paraId="21503B01" w14:textId="77777777" w:rsidTr="00B549E4">
        <w:trPr>
          <w:trHeight w:val="283"/>
        </w:trPr>
        <w:tc>
          <w:tcPr>
            <w:tcW w:w="985" w:type="pct"/>
            <w:vAlign w:val="center"/>
          </w:tcPr>
          <w:p w14:paraId="3334946C" w14:textId="4799B113" w:rsidR="004A2D54" w:rsidRPr="004A2D54" w:rsidRDefault="00256932" w:rsidP="00B549E4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2023</w:t>
            </w:r>
            <w:r w:rsidR="004A2D54"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+ 2024</w:t>
            </w:r>
            <w:r w:rsidR="004A2D54"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="004A2D54"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032EB028" w14:textId="620AD6F6" w:rsidR="004A2D54" w:rsidRPr="00E00213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E00213">
              <w:rPr>
                <w:rFonts w:ascii="Source Sans Pro" w:hAnsi="Source Sans Pro" w:cs="Arial"/>
                <w:sz w:val="16"/>
                <w:szCs w:val="16"/>
              </w:rPr>
              <w:t>80</w:t>
            </w:r>
          </w:p>
        </w:tc>
        <w:tc>
          <w:tcPr>
            <w:tcW w:w="502" w:type="pct"/>
            <w:vAlign w:val="center"/>
          </w:tcPr>
          <w:p w14:paraId="3128957F" w14:textId="0A044F02" w:rsidR="004A2D54" w:rsidRPr="004144E8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49170F" w:rsidRPr="004144E8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7CFBEDFF" w14:textId="66116E51" w:rsidR="004A2D54" w:rsidRPr="004144E8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5</w:t>
            </w:r>
            <w:r w:rsidR="00E00213">
              <w:rPr>
                <w:rFonts w:ascii="Source Sans Pro" w:hAnsi="Source Sans Pro" w:cs="Arial"/>
                <w:sz w:val="16"/>
                <w:szCs w:val="16"/>
              </w:rPr>
              <w:t>8</w:t>
            </w:r>
          </w:p>
        </w:tc>
        <w:tc>
          <w:tcPr>
            <w:tcW w:w="502" w:type="pct"/>
            <w:vAlign w:val="center"/>
          </w:tcPr>
          <w:p w14:paraId="67E63DB4" w14:textId="45E6AB30" w:rsidR="004A2D54" w:rsidRPr="00E00213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E00213">
              <w:rPr>
                <w:rFonts w:ascii="Source Sans Pro" w:hAnsi="Source Sans Pro" w:cs="Arial"/>
                <w:sz w:val="16"/>
                <w:szCs w:val="16"/>
                <w:u w:val="single"/>
              </w:rPr>
              <w:t>82</w:t>
            </w:r>
          </w:p>
        </w:tc>
        <w:tc>
          <w:tcPr>
            <w:tcW w:w="502" w:type="pct"/>
            <w:vAlign w:val="center"/>
          </w:tcPr>
          <w:p w14:paraId="06DA1C27" w14:textId="00079574" w:rsidR="004A2D54" w:rsidRPr="004144E8" w:rsidRDefault="00E00213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54</w:t>
            </w:r>
          </w:p>
        </w:tc>
        <w:tc>
          <w:tcPr>
            <w:tcW w:w="502" w:type="pct"/>
            <w:vAlign w:val="center"/>
          </w:tcPr>
          <w:p w14:paraId="7876BE02" w14:textId="08143BCD" w:rsidR="004A2D54" w:rsidRPr="004144E8" w:rsidRDefault="0049170F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49</w:t>
            </w:r>
          </w:p>
        </w:tc>
        <w:tc>
          <w:tcPr>
            <w:tcW w:w="502" w:type="pct"/>
            <w:vAlign w:val="center"/>
          </w:tcPr>
          <w:p w14:paraId="7E645B9E" w14:textId="78B03D8B" w:rsidR="004A2D54" w:rsidRPr="004144E8" w:rsidRDefault="00256932" w:rsidP="00B549E4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sz w:val="16"/>
                <w:szCs w:val="16"/>
              </w:rPr>
              <w:t>55</w:t>
            </w:r>
          </w:p>
        </w:tc>
        <w:tc>
          <w:tcPr>
            <w:tcW w:w="502" w:type="pct"/>
            <w:vAlign w:val="center"/>
          </w:tcPr>
          <w:p w14:paraId="6B1BB734" w14:textId="4F625C6F" w:rsidR="004A2D54" w:rsidRPr="004144E8" w:rsidRDefault="00256932" w:rsidP="00B549E4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144E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="00E00213">
              <w:rPr>
                <w:rFonts w:ascii="Source Sans Pro" w:hAnsi="Source Sans Pro" w:cs="Arial"/>
                <w:b/>
                <w:sz w:val="16"/>
                <w:szCs w:val="16"/>
              </w:rPr>
              <w:t>7</w:t>
            </w:r>
          </w:p>
        </w:tc>
      </w:tr>
    </w:tbl>
    <w:p w14:paraId="24F7C797" w14:textId="5E8E4B3B" w:rsidR="00DA733A" w:rsidRDefault="004A2D54" w:rsidP="000A0761">
      <w:pPr>
        <w:widowControl w:val="0"/>
        <w:rPr>
          <w:rFonts w:ascii="Source Sans Pro" w:hAnsi="Source Sans Pro" w:cs="Source Sans Pro"/>
          <w:sz w:val="22"/>
          <w:szCs w:val="22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11085DE5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 w:type="page"/>
      </w:r>
    </w:p>
    <w:p w14:paraId="50B0AF24" w14:textId="0C28B730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lastRenderedPageBreak/>
        <w:t xml:space="preserve">ÜBER GERMAN PROPERTY PARTNERS. </w:t>
      </w:r>
    </w:p>
    <w:p w14:paraId="47B60849" w14:textId="77777777" w:rsidR="00E1280F" w:rsidRPr="00E1280F" w:rsidRDefault="00693CD6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77777777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468FAFF6" w14:textId="11F8CA39" w:rsidR="005C25D5" w:rsidRPr="0033095C" w:rsidRDefault="004000A8" w:rsidP="0033095C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33095C" w:rsidSect="001B786B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B549E4" w:rsidRDefault="00B549E4">
      <w:r>
        <w:separator/>
      </w:r>
    </w:p>
  </w:endnote>
  <w:endnote w:type="continuationSeparator" w:id="0">
    <w:p w14:paraId="63E8188B" w14:textId="77777777" w:rsidR="00B549E4" w:rsidRDefault="00B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B549E4" w:rsidRDefault="00B549E4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B549E4" w:rsidRDefault="00B549E4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B549E4" w:rsidRPr="006456EA" w:rsidRDefault="00B549E4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6D78E45B" w:rsidR="00B549E4" w:rsidRPr="006456EA" w:rsidRDefault="00B549E4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2BA7FB68" w:rsidR="00B549E4" w:rsidRPr="006456EA" w:rsidRDefault="00B549E4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350802-993</w:t>
    </w:r>
  </w:p>
  <w:p w14:paraId="6F9C1B3C" w14:textId="6C567E4A" w:rsidR="00B549E4" w:rsidRPr="005644BE" w:rsidRDefault="00B549E4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Britt Finke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B549E4" w:rsidRPr="001B786B" w:rsidRDefault="00B549E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18382FCE" w:rsidR="00B549E4" w:rsidRPr="006456EA" w:rsidRDefault="00B549E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693CD6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61624933" w:rsidR="00B549E4" w:rsidRPr="006456EA" w:rsidRDefault="00B549E4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>
      <w:rPr>
        <w:rFonts w:ascii="Source Sans Pro" w:hAnsi="Source Sans Pro" w:cs="Source Sans Pro"/>
        <w:color w:val="0087A8"/>
        <w:sz w:val="18"/>
        <w:szCs w:val="18"/>
      </w:rPr>
      <w:t>49 40 350802-993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5F2FA427" w:rsidR="00B549E4" w:rsidRPr="006456EA" w:rsidRDefault="00B549E4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Britt Finke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B549E4" w:rsidRDefault="00B549E4">
      <w:r>
        <w:separator/>
      </w:r>
    </w:p>
  </w:footnote>
  <w:footnote w:type="continuationSeparator" w:id="0">
    <w:p w14:paraId="76B94CF8" w14:textId="77777777" w:rsidR="00B549E4" w:rsidRDefault="00B5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B549E4" w:rsidRDefault="00B549E4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B549E4" w:rsidRDefault="00B549E4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B549E4" w:rsidRDefault="00B549E4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B549E4" w:rsidRPr="00B922EE" w:rsidRDefault="00B549E4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B549E4" w:rsidRDefault="00B549E4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B549E4" w:rsidRPr="00B922EE" w:rsidRDefault="00B549E4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B549E4" w:rsidRDefault="00B549E4" w:rsidP="0005029E">
    <w:r>
      <w:tab/>
    </w:r>
  </w:p>
  <w:p w14:paraId="185BEDCB" w14:textId="4F512084" w:rsidR="00B549E4" w:rsidRDefault="00B549E4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B549E4" w:rsidRDefault="00B549E4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B549E4" w:rsidRPr="00DA6836" w:rsidRDefault="00B549E4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B549E4" w:rsidRDefault="00B549E4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936"/>
    <w:multiLevelType w:val="hybridMultilevel"/>
    <w:tmpl w:val="5D0AA924"/>
    <w:lvl w:ilvl="0" w:tplc="1B90C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2B5E"/>
    <w:multiLevelType w:val="hybridMultilevel"/>
    <w:tmpl w:val="F8FA23E8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19">
      <w:start w:val="1"/>
      <w:numFmt w:val="lowerLetter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35110C2C"/>
    <w:multiLevelType w:val="hybridMultilevel"/>
    <w:tmpl w:val="38C08600"/>
    <w:lvl w:ilvl="0" w:tplc="1B90C66C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  <w:u w:color="FFC000"/>
      </w:rPr>
    </w:lvl>
    <w:lvl w:ilvl="1" w:tplc="0407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3ADB1691"/>
    <w:multiLevelType w:val="hybridMultilevel"/>
    <w:tmpl w:val="D49E6112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0F">
      <w:start w:val="1"/>
      <w:numFmt w:val="decimal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8942057"/>
    <w:multiLevelType w:val="hybridMultilevel"/>
    <w:tmpl w:val="D49E6112"/>
    <w:lvl w:ilvl="0" w:tplc="0407000F">
      <w:start w:val="1"/>
      <w:numFmt w:val="decimal"/>
      <w:lvlText w:val="%1."/>
      <w:lvlJc w:val="left"/>
      <w:pPr>
        <w:ind w:left="920" w:hanging="360"/>
      </w:pPr>
    </w:lvl>
    <w:lvl w:ilvl="1" w:tplc="0407000F">
      <w:start w:val="1"/>
      <w:numFmt w:val="decimal"/>
      <w:lvlText w:val="%2."/>
      <w:lvlJc w:val="left"/>
      <w:pPr>
        <w:ind w:left="1640" w:hanging="360"/>
      </w:pPr>
    </w:lvl>
    <w:lvl w:ilvl="2" w:tplc="0407001B" w:tentative="1">
      <w:start w:val="1"/>
      <w:numFmt w:val="lowerRoman"/>
      <w:lvlText w:val="%3."/>
      <w:lvlJc w:val="right"/>
      <w:pPr>
        <w:ind w:left="2360" w:hanging="180"/>
      </w:pPr>
    </w:lvl>
    <w:lvl w:ilvl="3" w:tplc="0407000F" w:tentative="1">
      <w:start w:val="1"/>
      <w:numFmt w:val="decimal"/>
      <w:lvlText w:val="%4."/>
      <w:lvlJc w:val="left"/>
      <w:pPr>
        <w:ind w:left="3080" w:hanging="360"/>
      </w:pPr>
    </w:lvl>
    <w:lvl w:ilvl="4" w:tplc="04070019" w:tentative="1">
      <w:start w:val="1"/>
      <w:numFmt w:val="lowerLetter"/>
      <w:lvlText w:val="%5."/>
      <w:lvlJc w:val="left"/>
      <w:pPr>
        <w:ind w:left="3800" w:hanging="360"/>
      </w:pPr>
    </w:lvl>
    <w:lvl w:ilvl="5" w:tplc="0407001B" w:tentative="1">
      <w:start w:val="1"/>
      <w:numFmt w:val="lowerRoman"/>
      <w:lvlText w:val="%6."/>
      <w:lvlJc w:val="right"/>
      <w:pPr>
        <w:ind w:left="4520" w:hanging="180"/>
      </w:pPr>
    </w:lvl>
    <w:lvl w:ilvl="6" w:tplc="0407000F" w:tentative="1">
      <w:start w:val="1"/>
      <w:numFmt w:val="decimal"/>
      <w:lvlText w:val="%7."/>
      <w:lvlJc w:val="left"/>
      <w:pPr>
        <w:ind w:left="5240" w:hanging="360"/>
      </w:pPr>
    </w:lvl>
    <w:lvl w:ilvl="7" w:tplc="04070019" w:tentative="1">
      <w:start w:val="1"/>
      <w:numFmt w:val="lowerLetter"/>
      <w:lvlText w:val="%8."/>
      <w:lvlJc w:val="left"/>
      <w:pPr>
        <w:ind w:left="5960" w:hanging="360"/>
      </w:pPr>
    </w:lvl>
    <w:lvl w:ilvl="8" w:tplc="0407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59EA204C"/>
    <w:multiLevelType w:val="hybridMultilevel"/>
    <w:tmpl w:val="E1BC85CC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D56481"/>
    <w:multiLevelType w:val="hybridMultilevel"/>
    <w:tmpl w:val="E7148ED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7B6642DA"/>
    <w:multiLevelType w:val="hybridMultilevel"/>
    <w:tmpl w:val="E1BC85CC"/>
    <w:lvl w:ilvl="0" w:tplc="0407000F">
      <w:start w:val="1"/>
      <w:numFmt w:val="decim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3819"/>
    <w:rsid w:val="00004E93"/>
    <w:rsid w:val="00007A82"/>
    <w:rsid w:val="00010148"/>
    <w:rsid w:val="00012426"/>
    <w:rsid w:val="000136D7"/>
    <w:rsid w:val="00013D73"/>
    <w:rsid w:val="00013FE8"/>
    <w:rsid w:val="0001488A"/>
    <w:rsid w:val="000167B6"/>
    <w:rsid w:val="00020231"/>
    <w:rsid w:val="00020AC9"/>
    <w:rsid w:val="0002187D"/>
    <w:rsid w:val="00022CE1"/>
    <w:rsid w:val="00022F25"/>
    <w:rsid w:val="00023425"/>
    <w:rsid w:val="00024032"/>
    <w:rsid w:val="000243CC"/>
    <w:rsid w:val="00024C47"/>
    <w:rsid w:val="00027EA3"/>
    <w:rsid w:val="000300C5"/>
    <w:rsid w:val="00032028"/>
    <w:rsid w:val="00033F7F"/>
    <w:rsid w:val="0003409F"/>
    <w:rsid w:val="00035322"/>
    <w:rsid w:val="00041A34"/>
    <w:rsid w:val="000440EB"/>
    <w:rsid w:val="00046A6E"/>
    <w:rsid w:val="0004748F"/>
    <w:rsid w:val="0005029E"/>
    <w:rsid w:val="0005071C"/>
    <w:rsid w:val="000513D0"/>
    <w:rsid w:val="00053277"/>
    <w:rsid w:val="00053B0A"/>
    <w:rsid w:val="00053C74"/>
    <w:rsid w:val="00054FE9"/>
    <w:rsid w:val="000573ED"/>
    <w:rsid w:val="000611F7"/>
    <w:rsid w:val="000663B5"/>
    <w:rsid w:val="00066A8A"/>
    <w:rsid w:val="00067706"/>
    <w:rsid w:val="00070F97"/>
    <w:rsid w:val="00071BAF"/>
    <w:rsid w:val="0007318E"/>
    <w:rsid w:val="00073DAD"/>
    <w:rsid w:val="00076663"/>
    <w:rsid w:val="00077E8A"/>
    <w:rsid w:val="00082C59"/>
    <w:rsid w:val="00086B11"/>
    <w:rsid w:val="00091562"/>
    <w:rsid w:val="0009382E"/>
    <w:rsid w:val="000A0761"/>
    <w:rsid w:val="000A4F68"/>
    <w:rsid w:val="000A4FBB"/>
    <w:rsid w:val="000A5015"/>
    <w:rsid w:val="000A6A78"/>
    <w:rsid w:val="000A7B09"/>
    <w:rsid w:val="000B310B"/>
    <w:rsid w:val="000B4143"/>
    <w:rsid w:val="000B648C"/>
    <w:rsid w:val="000C2E53"/>
    <w:rsid w:val="000C36A5"/>
    <w:rsid w:val="000C3A22"/>
    <w:rsid w:val="000C3EF6"/>
    <w:rsid w:val="000C5B2A"/>
    <w:rsid w:val="000C7797"/>
    <w:rsid w:val="000D1511"/>
    <w:rsid w:val="000D4F14"/>
    <w:rsid w:val="000D6F2E"/>
    <w:rsid w:val="000D7FD3"/>
    <w:rsid w:val="000E0429"/>
    <w:rsid w:val="000E0603"/>
    <w:rsid w:val="000E1092"/>
    <w:rsid w:val="000E1357"/>
    <w:rsid w:val="000E194E"/>
    <w:rsid w:val="000E641E"/>
    <w:rsid w:val="000E6577"/>
    <w:rsid w:val="000E7EA5"/>
    <w:rsid w:val="000F031F"/>
    <w:rsid w:val="000F08DC"/>
    <w:rsid w:val="000F515A"/>
    <w:rsid w:val="000F57F1"/>
    <w:rsid w:val="000F6013"/>
    <w:rsid w:val="000F6479"/>
    <w:rsid w:val="000F79F5"/>
    <w:rsid w:val="00101220"/>
    <w:rsid w:val="00103C4E"/>
    <w:rsid w:val="0010452E"/>
    <w:rsid w:val="00104EC7"/>
    <w:rsid w:val="001116D7"/>
    <w:rsid w:val="00113D8C"/>
    <w:rsid w:val="00113EB2"/>
    <w:rsid w:val="00114152"/>
    <w:rsid w:val="00120624"/>
    <w:rsid w:val="0012156C"/>
    <w:rsid w:val="00127A45"/>
    <w:rsid w:val="001317A1"/>
    <w:rsid w:val="00137831"/>
    <w:rsid w:val="00137F63"/>
    <w:rsid w:val="001416A0"/>
    <w:rsid w:val="001421F7"/>
    <w:rsid w:val="0014330B"/>
    <w:rsid w:val="0014498B"/>
    <w:rsid w:val="00146881"/>
    <w:rsid w:val="001504EA"/>
    <w:rsid w:val="001507B0"/>
    <w:rsid w:val="00153683"/>
    <w:rsid w:val="001550FE"/>
    <w:rsid w:val="00155828"/>
    <w:rsid w:val="00157F0D"/>
    <w:rsid w:val="001647B3"/>
    <w:rsid w:val="001651D9"/>
    <w:rsid w:val="001668E1"/>
    <w:rsid w:val="00166ED2"/>
    <w:rsid w:val="00173AA4"/>
    <w:rsid w:val="00174989"/>
    <w:rsid w:val="0017641E"/>
    <w:rsid w:val="0017738B"/>
    <w:rsid w:val="00177EDB"/>
    <w:rsid w:val="00180127"/>
    <w:rsid w:val="00184BB0"/>
    <w:rsid w:val="00187963"/>
    <w:rsid w:val="0019039E"/>
    <w:rsid w:val="001963BB"/>
    <w:rsid w:val="00197A07"/>
    <w:rsid w:val="001A22F5"/>
    <w:rsid w:val="001A33B3"/>
    <w:rsid w:val="001A448F"/>
    <w:rsid w:val="001A4E95"/>
    <w:rsid w:val="001A60D1"/>
    <w:rsid w:val="001B786B"/>
    <w:rsid w:val="001C00D5"/>
    <w:rsid w:val="001C212C"/>
    <w:rsid w:val="001C3694"/>
    <w:rsid w:val="001C518B"/>
    <w:rsid w:val="001C5D5B"/>
    <w:rsid w:val="001C6C29"/>
    <w:rsid w:val="001D3808"/>
    <w:rsid w:val="001D54FC"/>
    <w:rsid w:val="001E1829"/>
    <w:rsid w:val="001E5503"/>
    <w:rsid w:val="001E5CAD"/>
    <w:rsid w:val="001E5CBD"/>
    <w:rsid w:val="001E6935"/>
    <w:rsid w:val="001E73A9"/>
    <w:rsid w:val="001E77A9"/>
    <w:rsid w:val="001E7C5E"/>
    <w:rsid w:val="001F218D"/>
    <w:rsid w:val="001F35E1"/>
    <w:rsid w:val="001F4192"/>
    <w:rsid w:val="001F556E"/>
    <w:rsid w:val="00200C83"/>
    <w:rsid w:val="002014F7"/>
    <w:rsid w:val="00202DD3"/>
    <w:rsid w:val="00205386"/>
    <w:rsid w:val="002076E6"/>
    <w:rsid w:val="0021392B"/>
    <w:rsid w:val="002150F9"/>
    <w:rsid w:val="00220E8E"/>
    <w:rsid w:val="00221CD3"/>
    <w:rsid w:val="00223AD5"/>
    <w:rsid w:val="00226210"/>
    <w:rsid w:val="0022694F"/>
    <w:rsid w:val="002303B6"/>
    <w:rsid w:val="00235393"/>
    <w:rsid w:val="00236514"/>
    <w:rsid w:val="002371FE"/>
    <w:rsid w:val="00241149"/>
    <w:rsid w:val="00245D99"/>
    <w:rsid w:val="002468C0"/>
    <w:rsid w:val="00247B25"/>
    <w:rsid w:val="00256932"/>
    <w:rsid w:val="00264A0A"/>
    <w:rsid w:val="00270180"/>
    <w:rsid w:val="00270ABC"/>
    <w:rsid w:val="002731CE"/>
    <w:rsid w:val="0027321A"/>
    <w:rsid w:val="0027472C"/>
    <w:rsid w:val="002759B6"/>
    <w:rsid w:val="0028070D"/>
    <w:rsid w:val="00282ED8"/>
    <w:rsid w:val="0028443D"/>
    <w:rsid w:val="00293C47"/>
    <w:rsid w:val="002A090F"/>
    <w:rsid w:val="002A0928"/>
    <w:rsid w:val="002A09C2"/>
    <w:rsid w:val="002A41A8"/>
    <w:rsid w:val="002A480D"/>
    <w:rsid w:val="002A59DD"/>
    <w:rsid w:val="002A7D58"/>
    <w:rsid w:val="002B4422"/>
    <w:rsid w:val="002B5078"/>
    <w:rsid w:val="002B537B"/>
    <w:rsid w:val="002B68BD"/>
    <w:rsid w:val="002C2392"/>
    <w:rsid w:val="002C52C5"/>
    <w:rsid w:val="002C7166"/>
    <w:rsid w:val="002D1CB5"/>
    <w:rsid w:val="002D26C5"/>
    <w:rsid w:val="002D45DA"/>
    <w:rsid w:val="002D5B8F"/>
    <w:rsid w:val="002E0FB5"/>
    <w:rsid w:val="002F461A"/>
    <w:rsid w:val="002F746F"/>
    <w:rsid w:val="00300B29"/>
    <w:rsid w:val="00303901"/>
    <w:rsid w:val="003054EB"/>
    <w:rsid w:val="00314282"/>
    <w:rsid w:val="00315269"/>
    <w:rsid w:val="003152C9"/>
    <w:rsid w:val="00316196"/>
    <w:rsid w:val="003250ED"/>
    <w:rsid w:val="003278F6"/>
    <w:rsid w:val="00330475"/>
    <w:rsid w:val="0033095C"/>
    <w:rsid w:val="003309E0"/>
    <w:rsid w:val="0033523C"/>
    <w:rsid w:val="00337E28"/>
    <w:rsid w:val="00341D84"/>
    <w:rsid w:val="003420D2"/>
    <w:rsid w:val="003424EC"/>
    <w:rsid w:val="00343846"/>
    <w:rsid w:val="0034454C"/>
    <w:rsid w:val="0035249E"/>
    <w:rsid w:val="00355438"/>
    <w:rsid w:val="00355ED1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1FAC"/>
    <w:rsid w:val="00374F87"/>
    <w:rsid w:val="0038195C"/>
    <w:rsid w:val="00381A5A"/>
    <w:rsid w:val="00381D14"/>
    <w:rsid w:val="00387EEF"/>
    <w:rsid w:val="00392C51"/>
    <w:rsid w:val="003948FA"/>
    <w:rsid w:val="003A0CF9"/>
    <w:rsid w:val="003A343C"/>
    <w:rsid w:val="003A44CB"/>
    <w:rsid w:val="003A463F"/>
    <w:rsid w:val="003B496B"/>
    <w:rsid w:val="003C6314"/>
    <w:rsid w:val="003D36F0"/>
    <w:rsid w:val="003D37E4"/>
    <w:rsid w:val="003D40B2"/>
    <w:rsid w:val="003D5215"/>
    <w:rsid w:val="003E533F"/>
    <w:rsid w:val="003E772C"/>
    <w:rsid w:val="003F293B"/>
    <w:rsid w:val="003F4EE7"/>
    <w:rsid w:val="003F5E07"/>
    <w:rsid w:val="003F75D5"/>
    <w:rsid w:val="004000A8"/>
    <w:rsid w:val="00402309"/>
    <w:rsid w:val="0040331F"/>
    <w:rsid w:val="00403C95"/>
    <w:rsid w:val="0041251D"/>
    <w:rsid w:val="004144E8"/>
    <w:rsid w:val="00417F27"/>
    <w:rsid w:val="00421D43"/>
    <w:rsid w:val="0042371B"/>
    <w:rsid w:val="00423DAC"/>
    <w:rsid w:val="00425DBF"/>
    <w:rsid w:val="004329C6"/>
    <w:rsid w:val="004333FF"/>
    <w:rsid w:val="004343B1"/>
    <w:rsid w:val="00434EB9"/>
    <w:rsid w:val="00441059"/>
    <w:rsid w:val="00445495"/>
    <w:rsid w:val="004501A9"/>
    <w:rsid w:val="00453BB0"/>
    <w:rsid w:val="00453F14"/>
    <w:rsid w:val="004552F1"/>
    <w:rsid w:val="004563C8"/>
    <w:rsid w:val="00456442"/>
    <w:rsid w:val="0046439F"/>
    <w:rsid w:val="00464D30"/>
    <w:rsid w:val="0047027D"/>
    <w:rsid w:val="00470CAA"/>
    <w:rsid w:val="00470E04"/>
    <w:rsid w:val="004738FD"/>
    <w:rsid w:val="00474099"/>
    <w:rsid w:val="0047523B"/>
    <w:rsid w:val="00482164"/>
    <w:rsid w:val="004832A6"/>
    <w:rsid w:val="00483578"/>
    <w:rsid w:val="0049170F"/>
    <w:rsid w:val="00491CBC"/>
    <w:rsid w:val="0049481A"/>
    <w:rsid w:val="00494AE2"/>
    <w:rsid w:val="004A2A30"/>
    <w:rsid w:val="004A2D54"/>
    <w:rsid w:val="004A5F84"/>
    <w:rsid w:val="004A6E04"/>
    <w:rsid w:val="004B5CB6"/>
    <w:rsid w:val="004C6026"/>
    <w:rsid w:val="004C616B"/>
    <w:rsid w:val="004C6B51"/>
    <w:rsid w:val="004D21F1"/>
    <w:rsid w:val="004D2CD0"/>
    <w:rsid w:val="004D5D1F"/>
    <w:rsid w:val="004E052C"/>
    <w:rsid w:val="004E52C1"/>
    <w:rsid w:val="004E6B98"/>
    <w:rsid w:val="004F1EDD"/>
    <w:rsid w:val="004F3ECB"/>
    <w:rsid w:val="004F492F"/>
    <w:rsid w:val="004F5684"/>
    <w:rsid w:val="004F5AC1"/>
    <w:rsid w:val="004F6445"/>
    <w:rsid w:val="004F77D4"/>
    <w:rsid w:val="00500488"/>
    <w:rsid w:val="00500981"/>
    <w:rsid w:val="00500AD6"/>
    <w:rsid w:val="0050290A"/>
    <w:rsid w:val="0050304A"/>
    <w:rsid w:val="005045E7"/>
    <w:rsid w:val="0051046D"/>
    <w:rsid w:val="00510C33"/>
    <w:rsid w:val="005122A0"/>
    <w:rsid w:val="00520B8C"/>
    <w:rsid w:val="005306BF"/>
    <w:rsid w:val="005319DF"/>
    <w:rsid w:val="0054038E"/>
    <w:rsid w:val="00541D20"/>
    <w:rsid w:val="00543479"/>
    <w:rsid w:val="005445BD"/>
    <w:rsid w:val="0054593A"/>
    <w:rsid w:val="00546364"/>
    <w:rsid w:val="005476AA"/>
    <w:rsid w:val="00551B34"/>
    <w:rsid w:val="00552099"/>
    <w:rsid w:val="00554C9F"/>
    <w:rsid w:val="00557B57"/>
    <w:rsid w:val="005644BE"/>
    <w:rsid w:val="0056648A"/>
    <w:rsid w:val="00567755"/>
    <w:rsid w:val="00572BAC"/>
    <w:rsid w:val="0057524E"/>
    <w:rsid w:val="00575A55"/>
    <w:rsid w:val="00580A44"/>
    <w:rsid w:val="005810F0"/>
    <w:rsid w:val="00583BFE"/>
    <w:rsid w:val="00591D42"/>
    <w:rsid w:val="005938C9"/>
    <w:rsid w:val="00596092"/>
    <w:rsid w:val="005A5999"/>
    <w:rsid w:val="005A7DA9"/>
    <w:rsid w:val="005B1051"/>
    <w:rsid w:val="005B74A4"/>
    <w:rsid w:val="005C25D5"/>
    <w:rsid w:val="005C27D9"/>
    <w:rsid w:val="005C6ECE"/>
    <w:rsid w:val="005D0D0E"/>
    <w:rsid w:val="005D1D6F"/>
    <w:rsid w:val="005D21C5"/>
    <w:rsid w:val="005D449F"/>
    <w:rsid w:val="005D73BE"/>
    <w:rsid w:val="005E0A14"/>
    <w:rsid w:val="005E21DE"/>
    <w:rsid w:val="005E6515"/>
    <w:rsid w:val="005F27EF"/>
    <w:rsid w:val="005F3B7B"/>
    <w:rsid w:val="00602082"/>
    <w:rsid w:val="0060257F"/>
    <w:rsid w:val="00605989"/>
    <w:rsid w:val="006110D3"/>
    <w:rsid w:val="00613713"/>
    <w:rsid w:val="00613E6C"/>
    <w:rsid w:val="00614931"/>
    <w:rsid w:val="0062180F"/>
    <w:rsid w:val="00621D4D"/>
    <w:rsid w:val="006224FB"/>
    <w:rsid w:val="00627B43"/>
    <w:rsid w:val="00630505"/>
    <w:rsid w:val="0063115F"/>
    <w:rsid w:val="006363DA"/>
    <w:rsid w:val="00640E69"/>
    <w:rsid w:val="00643001"/>
    <w:rsid w:val="006432C0"/>
    <w:rsid w:val="006456EA"/>
    <w:rsid w:val="00650F25"/>
    <w:rsid w:val="00653983"/>
    <w:rsid w:val="00653B45"/>
    <w:rsid w:val="00655943"/>
    <w:rsid w:val="006609C2"/>
    <w:rsid w:val="0066330B"/>
    <w:rsid w:val="00664262"/>
    <w:rsid w:val="0067169B"/>
    <w:rsid w:val="00675BA1"/>
    <w:rsid w:val="00675E89"/>
    <w:rsid w:val="00684F14"/>
    <w:rsid w:val="006853DC"/>
    <w:rsid w:val="00685E14"/>
    <w:rsid w:val="00693CD6"/>
    <w:rsid w:val="00695F46"/>
    <w:rsid w:val="00697B89"/>
    <w:rsid w:val="006A0549"/>
    <w:rsid w:val="006A3192"/>
    <w:rsid w:val="006A3C35"/>
    <w:rsid w:val="006A49B1"/>
    <w:rsid w:val="006A5878"/>
    <w:rsid w:val="006A6D11"/>
    <w:rsid w:val="006B2259"/>
    <w:rsid w:val="006B2684"/>
    <w:rsid w:val="006B5252"/>
    <w:rsid w:val="006C1FF3"/>
    <w:rsid w:val="006C31AE"/>
    <w:rsid w:val="006C5754"/>
    <w:rsid w:val="006C5831"/>
    <w:rsid w:val="006D0DD4"/>
    <w:rsid w:val="006D2948"/>
    <w:rsid w:val="006D64D8"/>
    <w:rsid w:val="006D6526"/>
    <w:rsid w:val="006D69B0"/>
    <w:rsid w:val="006D7431"/>
    <w:rsid w:val="006D7E9F"/>
    <w:rsid w:val="006E03E0"/>
    <w:rsid w:val="006E2EF3"/>
    <w:rsid w:val="006E3B37"/>
    <w:rsid w:val="006E60AE"/>
    <w:rsid w:val="006E674D"/>
    <w:rsid w:val="006E6770"/>
    <w:rsid w:val="006F12A8"/>
    <w:rsid w:val="006F154A"/>
    <w:rsid w:val="006F3CBD"/>
    <w:rsid w:val="006F3F00"/>
    <w:rsid w:val="006F3F58"/>
    <w:rsid w:val="006F54E9"/>
    <w:rsid w:val="00700A62"/>
    <w:rsid w:val="0070136B"/>
    <w:rsid w:val="0070363C"/>
    <w:rsid w:val="007039B8"/>
    <w:rsid w:val="00712023"/>
    <w:rsid w:val="007144E9"/>
    <w:rsid w:val="00714A1F"/>
    <w:rsid w:val="00717328"/>
    <w:rsid w:val="0072073D"/>
    <w:rsid w:val="00732981"/>
    <w:rsid w:val="007346B4"/>
    <w:rsid w:val="007355B6"/>
    <w:rsid w:val="007366B7"/>
    <w:rsid w:val="00742C04"/>
    <w:rsid w:val="0074571D"/>
    <w:rsid w:val="00755FD2"/>
    <w:rsid w:val="007627C8"/>
    <w:rsid w:val="007661D5"/>
    <w:rsid w:val="0076666B"/>
    <w:rsid w:val="00766717"/>
    <w:rsid w:val="00771C92"/>
    <w:rsid w:val="007776E8"/>
    <w:rsid w:val="007832C8"/>
    <w:rsid w:val="00784807"/>
    <w:rsid w:val="00786D0B"/>
    <w:rsid w:val="00790528"/>
    <w:rsid w:val="00796F76"/>
    <w:rsid w:val="00797DA3"/>
    <w:rsid w:val="007A2D16"/>
    <w:rsid w:val="007A4844"/>
    <w:rsid w:val="007A74D2"/>
    <w:rsid w:val="007B3142"/>
    <w:rsid w:val="007B33CE"/>
    <w:rsid w:val="007B35E6"/>
    <w:rsid w:val="007B7B81"/>
    <w:rsid w:val="007C1158"/>
    <w:rsid w:val="007C57E9"/>
    <w:rsid w:val="007D1495"/>
    <w:rsid w:val="007D5A52"/>
    <w:rsid w:val="007D75C8"/>
    <w:rsid w:val="007E2C66"/>
    <w:rsid w:val="007E6244"/>
    <w:rsid w:val="007F02A1"/>
    <w:rsid w:val="007F1021"/>
    <w:rsid w:val="007F2DBB"/>
    <w:rsid w:val="007F7E7C"/>
    <w:rsid w:val="008010F4"/>
    <w:rsid w:val="0080637A"/>
    <w:rsid w:val="008113A7"/>
    <w:rsid w:val="0081554E"/>
    <w:rsid w:val="008162D1"/>
    <w:rsid w:val="00821685"/>
    <w:rsid w:val="00821A81"/>
    <w:rsid w:val="00833779"/>
    <w:rsid w:val="008373FC"/>
    <w:rsid w:val="00837482"/>
    <w:rsid w:val="00846E84"/>
    <w:rsid w:val="00856A7C"/>
    <w:rsid w:val="00862512"/>
    <w:rsid w:val="008669CA"/>
    <w:rsid w:val="008739E7"/>
    <w:rsid w:val="00874645"/>
    <w:rsid w:val="00881685"/>
    <w:rsid w:val="00882014"/>
    <w:rsid w:val="008844D9"/>
    <w:rsid w:val="00884775"/>
    <w:rsid w:val="00886FBF"/>
    <w:rsid w:val="00887CC8"/>
    <w:rsid w:val="00891C3A"/>
    <w:rsid w:val="008931F2"/>
    <w:rsid w:val="00895BBC"/>
    <w:rsid w:val="008A3A3B"/>
    <w:rsid w:val="008A5E54"/>
    <w:rsid w:val="008A7188"/>
    <w:rsid w:val="008B4EB4"/>
    <w:rsid w:val="008C1EBB"/>
    <w:rsid w:val="008D23B6"/>
    <w:rsid w:val="008D24F1"/>
    <w:rsid w:val="008D6864"/>
    <w:rsid w:val="008D6B2E"/>
    <w:rsid w:val="008E018E"/>
    <w:rsid w:val="008E1816"/>
    <w:rsid w:val="008E5C25"/>
    <w:rsid w:val="008F0275"/>
    <w:rsid w:val="008F1872"/>
    <w:rsid w:val="008F2058"/>
    <w:rsid w:val="009064CE"/>
    <w:rsid w:val="00912233"/>
    <w:rsid w:val="009124ED"/>
    <w:rsid w:val="00916CFE"/>
    <w:rsid w:val="00917111"/>
    <w:rsid w:val="00917410"/>
    <w:rsid w:val="009264D0"/>
    <w:rsid w:val="009312C4"/>
    <w:rsid w:val="009321F1"/>
    <w:rsid w:val="0093360A"/>
    <w:rsid w:val="009358D3"/>
    <w:rsid w:val="0094069D"/>
    <w:rsid w:val="00953B8A"/>
    <w:rsid w:val="00955141"/>
    <w:rsid w:val="00955433"/>
    <w:rsid w:val="00955764"/>
    <w:rsid w:val="00957A6F"/>
    <w:rsid w:val="00964026"/>
    <w:rsid w:val="009649C2"/>
    <w:rsid w:val="00965DEB"/>
    <w:rsid w:val="00971DF5"/>
    <w:rsid w:val="00973056"/>
    <w:rsid w:val="009738DE"/>
    <w:rsid w:val="00974938"/>
    <w:rsid w:val="009750F7"/>
    <w:rsid w:val="009758E9"/>
    <w:rsid w:val="00977A0F"/>
    <w:rsid w:val="00980BEB"/>
    <w:rsid w:val="00980D94"/>
    <w:rsid w:val="009825A7"/>
    <w:rsid w:val="00982F7B"/>
    <w:rsid w:val="009843D4"/>
    <w:rsid w:val="00985128"/>
    <w:rsid w:val="00985564"/>
    <w:rsid w:val="00986E5B"/>
    <w:rsid w:val="0099076D"/>
    <w:rsid w:val="0099690F"/>
    <w:rsid w:val="00996D38"/>
    <w:rsid w:val="00997675"/>
    <w:rsid w:val="009A0806"/>
    <w:rsid w:val="009A3211"/>
    <w:rsid w:val="009A53E2"/>
    <w:rsid w:val="009A6CC9"/>
    <w:rsid w:val="009B008F"/>
    <w:rsid w:val="009B2C2F"/>
    <w:rsid w:val="009C11F2"/>
    <w:rsid w:val="009C2291"/>
    <w:rsid w:val="009C3FDE"/>
    <w:rsid w:val="009C51BD"/>
    <w:rsid w:val="009C5482"/>
    <w:rsid w:val="009C7CAD"/>
    <w:rsid w:val="009D0353"/>
    <w:rsid w:val="009D2111"/>
    <w:rsid w:val="009D686B"/>
    <w:rsid w:val="009E43CA"/>
    <w:rsid w:val="009E6273"/>
    <w:rsid w:val="009E6FDF"/>
    <w:rsid w:val="009F21C1"/>
    <w:rsid w:val="009F28F5"/>
    <w:rsid w:val="009F2DA7"/>
    <w:rsid w:val="009F4625"/>
    <w:rsid w:val="00A0582F"/>
    <w:rsid w:val="00A0717D"/>
    <w:rsid w:val="00A07846"/>
    <w:rsid w:val="00A12AFE"/>
    <w:rsid w:val="00A159F8"/>
    <w:rsid w:val="00A17CA6"/>
    <w:rsid w:val="00A2086A"/>
    <w:rsid w:val="00A20DD4"/>
    <w:rsid w:val="00A2291B"/>
    <w:rsid w:val="00A22C2C"/>
    <w:rsid w:val="00A314AF"/>
    <w:rsid w:val="00A31AAD"/>
    <w:rsid w:val="00A32496"/>
    <w:rsid w:val="00A346EF"/>
    <w:rsid w:val="00A43E50"/>
    <w:rsid w:val="00A54087"/>
    <w:rsid w:val="00A548F9"/>
    <w:rsid w:val="00A549F3"/>
    <w:rsid w:val="00A61590"/>
    <w:rsid w:val="00A65690"/>
    <w:rsid w:val="00A65FB0"/>
    <w:rsid w:val="00A66A23"/>
    <w:rsid w:val="00A67512"/>
    <w:rsid w:val="00A743C6"/>
    <w:rsid w:val="00A77C16"/>
    <w:rsid w:val="00A8103A"/>
    <w:rsid w:val="00A816F4"/>
    <w:rsid w:val="00A908C3"/>
    <w:rsid w:val="00A90FFC"/>
    <w:rsid w:val="00A9412B"/>
    <w:rsid w:val="00A95739"/>
    <w:rsid w:val="00A96A38"/>
    <w:rsid w:val="00AA0491"/>
    <w:rsid w:val="00AA0AB4"/>
    <w:rsid w:val="00AA498E"/>
    <w:rsid w:val="00AB2F7B"/>
    <w:rsid w:val="00AB300C"/>
    <w:rsid w:val="00AB449B"/>
    <w:rsid w:val="00AB63A1"/>
    <w:rsid w:val="00AB69AD"/>
    <w:rsid w:val="00AB7CFA"/>
    <w:rsid w:val="00AC00F8"/>
    <w:rsid w:val="00AC23B5"/>
    <w:rsid w:val="00AC49D3"/>
    <w:rsid w:val="00AC50BA"/>
    <w:rsid w:val="00AC5961"/>
    <w:rsid w:val="00AC6B15"/>
    <w:rsid w:val="00AC7376"/>
    <w:rsid w:val="00AD2569"/>
    <w:rsid w:val="00AD3799"/>
    <w:rsid w:val="00AD4124"/>
    <w:rsid w:val="00AD4D42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7D"/>
    <w:rsid w:val="00AF2F5E"/>
    <w:rsid w:val="00B005BD"/>
    <w:rsid w:val="00B03444"/>
    <w:rsid w:val="00B03542"/>
    <w:rsid w:val="00B04F23"/>
    <w:rsid w:val="00B06E5F"/>
    <w:rsid w:val="00B10FC3"/>
    <w:rsid w:val="00B14E68"/>
    <w:rsid w:val="00B226FB"/>
    <w:rsid w:val="00B23669"/>
    <w:rsid w:val="00B24860"/>
    <w:rsid w:val="00B26F68"/>
    <w:rsid w:val="00B30599"/>
    <w:rsid w:val="00B31C91"/>
    <w:rsid w:val="00B340CD"/>
    <w:rsid w:val="00B375AF"/>
    <w:rsid w:val="00B41CC3"/>
    <w:rsid w:val="00B4714C"/>
    <w:rsid w:val="00B50A63"/>
    <w:rsid w:val="00B53AEB"/>
    <w:rsid w:val="00B549E4"/>
    <w:rsid w:val="00B56AFB"/>
    <w:rsid w:val="00B576A5"/>
    <w:rsid w:val="00B62EDB"/>
    <w:rsid w:val="00B651A0"/>
    <w:rsid w:val="00B6613A"/>
    <w:rsid w:val="00B71718"/>
    <w:rsid w:val="00B717E3"/>
    <w:rsid w:val="00B71BBD"/>
    <w:rsid w:val="00B72F21"/>
    <w:rsid w:val="00B776EA"/>
    <w:rsid w:val="00B83DA7"/>
    <w:rsid w:val="00B862DB"/>
    <w:rsid w:val="00B87B55"/>
    <w:rsid w:val="00B922EE"/>
    <w:rsid w:val="00B9596E"/>
    <w:rsid w:val="00B9659F"/>
    <w:rsid w:val="00BA1A13"/>
    <w:rsid w:val="00BA6227"/>
    <w:rsid w:val="00BB0F85"/>
    <w:rsid w:val="00BB21C3"/>
    <w:rsid w:val="00BB44DD"/>
    <w:rsid w:val="00BC0132"/>
    <w:rsid w:val="00BC0598"/>
    <w:rsid w:val="00BC0E57"/>
    <w:rsid w:val="00BC410C"/>
    <w:rsid w:val="00BC72A5"/>
    <w:rsid w:val="00BD0426"/>
    <w:rsid w:val="00BD10B3"/>
    <w:rsid w:val="00BD2784"/>
    <w:rsid w:val="00BD4A4F"/>
    <w:rsid w:val="00BE0C9E"/>
    <w:rsid w:val="00BE3F50"/>
    <w:rsid w:val="00BE5FB1"/>
    <w:rsid w:val="00BE6CC2"/>
    <w:rsid w:val="00BF11C6"/>
    <w:rsid w:val="00BF14CE"/>
    <w:rsid w:val="00BF1F74"/>
    <w:rsid w:val="00BF31BD"/>
    <w:rsid w:val="00BF3DD6"/>
    <w:rsid w:val="00BF5F7B"/>
    <w:rsid w:val="00BF69F6"/>
    <w:rsid w:val="00BF6AE2"/>
    <w:rsid w:val="00BF702E"/>
    <w:rsid w:val="00C00EA0"/>
    <w:rsid w:val="00C074BD"/>
    <w:rsid w:val="00C10873"/>
    <w:rsid w:val="00C11004"/>
    <w:rsid w:val="00C111FE"/>
    <w:rsid w:val="00C14603"/>
    <w:rsid w:val="00C1497F"/>
    <w:rsid w:val="00C20B9C"/>
    <w:rsid w:val="00C21D28"/>
    <w:rsid w:val="00C230BD"/>
    <w:rsid w:val="00C23979"/>
    <w:rsid w:val="00C24F7B"/>
    <w:rsid w:val="00C2509E"/>
    <w:rsid w:val="00C2778C"/>
    <w:rsid w:val="00C27F6A"/>
    <w:rsid w:val="00C35841"/>
    <w:rsid w:val="00C41A10"/>
    <w:rsid w:val="00C41C74"/>
    <w:rsid w:val="00C43C76"/>
    <w:rsid w:val="00C47F8B"/>
    <w:rsid w:val="00C500B4"/>
    <w:rsid w:val="00C51A09"/>
    <w:rsid w:val="00C52723"/>
    <w:rsid w:val="00C55FAB"/>
    <w:rsid w:val="00C616A4"/>
    <w:rsid w:val="00C64096"/>
    <w:rsid w:val="00C654E1"/>
    <w:rsid w:val="00C75272"/>
    <w:rsid w:val="00C76165"/>
    <w:rsid w:val="00C77037"/>
    <w:rsid w:val="00C846F6"/>
    <w:rsid w:val="00C85B10"/>
    <w:rsid w:val="00C87FAA"/>
    <w:rsid w:val="00C907A2"/>
    <w:rsid w:val="00C90DE4"/>
    <w:rsid w:val="00C92FE3"/>
    <w:rsid w:val="00C96048"/>
    <w:rsid w:val="00C96214"/>
    <w:rsid w:val="00C9797F"/>
    <w:rsid w:val="00CA1FB9"/>
    <w:rsid w:val="00CA73C1"/>
    <w:rsid w:val="00CA7895"/>
    <w:rsid w:val="00CA79D7"/>
    <w:rsid w:val="00CB2CAF"/>
    <w:rsid w:val="00CB3EA4"/>
    <w:rsid w:val="00CC40B9"/>
    <w:rsid w:val="00CC646D"/>
    <w:rsid w:val="00CC7CBA"/>
    <w:rsid w:val="00CD04F6"/>
    <w:rsid w:val="00CD463B"/>
    <w:rsid w:val="00CD687A"/>
    <w:rsid w:val="00CD77DD"/>
    <w:rsid w:val="00CD7E39"/>
    <w:rsid w:val="00CE2EFB"/>
    <w:rsid w:val="00CE5A10"/>
    <w:rsid w:val="00CE61A6"/>
    <w:rsid w:val="00CF63A1"/>
    <w:rsid w:val="00CF6D99"/>
    <w:rsid w:val="00CF7719"/>
    <w:rsid w:val="00D002D6"/>
    <w:rsid w:val="00D00E7B"/>
    <w:rsid w:val="00D02522"/>
    <w:rsid w:val="00D02FD8"/>
    <w:rsid w:val="00D06809"/>
    <w:rsid w:val="00D10832"/>
    <w:rsid w:val="00D135AB"/>
    <w:rsid w:val="00D14315"/>
    <w:rsid w:val="00D15F32"/>
    <w:rsid w:val="00D17748"/>
    <w:rsid w:val="00D25196"/>
    <w:rsid w:val="00D276BC"/>
    <w:rsid w:val="00D30707"/>
    <w:rsid w:val="00D3104C"/>
    <w:rsid w:val="00D35A9C"/>
    <w:rsid w:val="00D41ABC"/>
    <w:rsid w:val="00D4441D"/>
    <w:rsid w:val="00D478CC"/>
    <w:rsid w:val="00D50FDD"/>
    <w:rsid w:val="00D51669"/>
    <w:rsid w:val="00D54876"/>
    <w:rsid w:val="00D602AC"/>
    <w:rsid w:val="00D70824"/>
    <w:rsid w:val="00D70F9E"/>
    <w:rsid w:val="00D760A9"/>
    <w:rsid w:val="00D8401E"/>
    <w:rsid w:val="00D85BFC"/>
    <w:rsid w:val="00D869D1"/>
    <w:rsid w:val="00D925B8"/>
    <w:rsid w:val="00D92C1C"/>
    <w:rsid w:val="00D92E46"/>
    <w:rsid w:val="00D95197"/>
    <w:rsid w:val="00D952D4"/>
    <w:rsid w:val="00DA0D62"/>
    <w:rsid w:val="00DA0FEB"/>
    <w:rsid w:val="00DA241F"/>
    <w:rsid w:val="00DA3B66"/>
    <w:rsid w:val="00DA6836"/>
    <w:rsid w:val="00DA6F45"/>
    <w:rsid w:val="00DA733A"/>
    <w:rsid w:val="00DB2417"/>
    <w:rsid w:val="00DB6346"/>
    <w:rsid w:val="00DC0401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E7EFC"/>
    <w:rsid w:val="00DF1EEF"/>
    <w:rsid w:val="00DF226F"/>
    <w:rsid w:val="00DF25FA"/>
    <w:rsid w:val="00DF2B8B"/>
    <w:rsid w:val="00DF798D"/>
    <w:rsid w:val="00E00213"/>
    <w:rsid w:val="00E03DB3"/>
    <w:rsid w:val="00E05ECE"/>
    <w:rsid w:val="00E1280F"/>
    <w:rsid w:val="00E130B9"/>
    <w:rsid w:val="00E17B2C"/>
    <w:rsid w:val="00E200B3"/>
    <w:rsid w:val="00E20271"/>
    <w:rsid w:val="00E229F2"/>
    <w:rsid w:val="00E23ABF"/>
    <w:rsid w:val="00E27DEF"/>
    <w:rsid w:val="00E32743"/>
    <w:rsid w:val="00E342C7"/>
    <w:rsid w:val="00E354F6"/>
    <w:rsid w:val="00E404DC"/>
    <w:rsid w:val="00E41A83"/>
    <w:rsid w:val="00E4317C"/>
    <w:rsid w:val="00E505DA"/>
    <w:rsid w:val="00E51A3A"/>
    <w:rsid w:val="00E55CDD"/>
    <w:rsid w:val="00E606F4"/>
    <w:rsid w:val="00E63703"/>
    <w:rsid w:val="00E66C4A"/>
    <w:rsid w:val="00E704C6"/>
    <w:rsid w:val="00E744B7"/>
    <w:rsid w:val="00E745F2"/>
    <w:rsid w:val="00E75185"/>
    <w:rsid w:val="00E775AC"/>
    <w:rsid w:val="00E77B98"/>
    <w:rsid w:val="00E77E42"/>
    <w:rsid w:val="00E80907"/>
    <w:rsid w:val="00E80F12"/>
    <w:rsid w:val="00E8471E"/>
    <w:rsid w:val="00E9085A"/>
    <w:rsid w:val="00E942DA"/>
    <w:rsid w:val="00E94EF3"/>
    <w:rsid w:val="00E959E9"/>
    <w:rsid w:val="00E95E00"/>
    <w:rsid w:val="00E9704C"/>
    <w:rsid w:val="00E97167"/>
    <w:rsid w:val="00EA0BB3"/>
    <w:rsid w:val="00EA1C80"/>
    <w:rsid w:val="00EB19E5"/>
    <w:rsid w:val="00EB1F5D"/>
    <w:rsid w:val="00EB37BD"/>
    <w:rsid w:val="00EB468A"/>
    <w:rsid w:val="00EB5422"/>
    <w:rsid w:val="00EC3DC1"/>
    <w:rsid w:val="00EC6CC2"/>
    <w:rsid w:val="00ED0970"/>
    <w:rsid w:val="00ED6DCA"/>
    <w:rsid w:val="00EF20B1"/>
    <w:rsid w:val="00EF7BE7"/>
    <w:rsid w:val="00F00604"/>
    <w:rsid w:val="00F00CF2"/>
    <w:rsid w:val="00F011B6"/>
    <w:rsid w:val="00F02668"/>
    <w:rsid w:val="00F04C58"/>
    <w:rsid w:val="00F05141"/>
    <w:rsid w:val="00F076C1"/>
    <w:rsid w:val="00F119A6"/>
    <w:rsid w:val="00F167CB"/>
    <w:rsid w:val="00F2164E"/>
    <w:rsid w:val="00F218D7"/>
    <w:rsid w:val="00F240EB"/>
    <w:rsid w:val="00F315FE"/>
    <w:rsid w:val="00F31D70"/>
    <w:rsid w:val="00F31FE6"/>
    <w:rsid w:val="00F34FAE"/>
    <w:rsid w:val="00F45BB8"/>
    <w:rsid w:val="00F53E0E"/>
    <w:rsid w:val="00F53F80"/>
    <w:rsid w:val="00F5697E"/>
    <w:rsid w:val="00F63BFA"/>
    <w:rsid w:val="00F64376"/>
    <w:rsid w:val="00F648C9"/>
    <w:rsid w:val="00F6556A"/>
    <w:rsid w:val="00F65709"/>
    <w:rsid w:val="00F673A2"/>
    <w:rsid w:val="00F70A1C"/>
    <w:rsid w:val="00F7167D"/>
    <w:rsid w:val="00F72A3E"/>
    <w:rsid w:val="00F73E83"/>
    <w:rsid w:val="00F7577B"/>
    <w:rsid w:val="00F77715"/>
    <w:rsid w:val="00F84A25"/>
    <w:rsid w:val="00F84C57"/>
    <w:rsid w:val="00F86FCF"/>
    <w:rsid w:val="00F90FB1"/>
    <w:rsid w:val="00F933E5"/>
    <w:rsid w:val="00F937F1"/>
    <w:rsid w:val="00FA3D12"/>
    <w:rsid w:val="00FA4024"/>
    <w:rsid w:val="00FA76AB"/>
    <w:rsid w:val="00FB28C0"/>
    <w:rsid w:val="00FB2A50"/>
    <w:rsid w:val="00FB3B53"/>
    <w:rsid w:val="00FB677B"/>
    <w:rsid w:val="00FC570A"/>
    <w:rsid w:val="00FC69D9"/>
    <w:rsid w:val="00FD17DA"/>
    <w:rsid w:val="00FD47EC"/>
    <w:rsid w:val="00FD6D0F"/>
    <w:rsid w:val="00FD7412"/>
    <w:rsid w:val="00FD7CC1"/>
    <w:rsid w:val="00FE2133"/>
    <w:rsid w:val="00FE2F0F"/>
    <w:rsid w:val="00FE6C3C"/>
    <w:rsid w:val="00FF01B7"/>
    <w:rsid w:val="00FF1703"/>
    <w:rsid w:val="00FF1EF9"/>
    <w:rsid w:val="00FF3CBC"/>
    <w:rsid w:val="00FF5014"/>
    <w:rsid w:val="00FF5BFA"/>
    <w:rsid w:val="00FF69A3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Britt Finke</cp:lastModifiedBy>
  <cp:revision>4</cp:revision>
  <cp:lastPrinted>2023-07-03T09:13:00Z</cp:lastPrinted>
  <dcterms:created xsi:type="dcterms:W3CDTF">2023-09-29T13:34:00Z</dcterms:created>
  <dcterms:modified xsi:type="dcterms:W3CDTF">2023-09-29T14:31:00Z</dcterms:modified>
</cp:coreProperties>
</file>