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A4AB8" w14:textId="3EAE2BC8" w:rsidR="00AD688F" w:rsidRDefault="00EC1635" w:rsidP="00AD688F">
      <w:r>
        <w:rPr>
          <w:noProof/>
        </w:rPr>
        <w:drawing>
          <wp:anchor distT="0" distB="0" distL="114300" distR="114300" simplePos="0" relativeHeight="251658240" behindDoc="0" locked="0" layoutInCell="1" allowOverlap="1" wp14:anchorId="4768A20D" wp14:editId="70275194">
            <wp:simplePos x="0" y="0"/>
            <wp:positionH relativeFrom="column">
              <wp:posOffset>5124450</wp:posOffset>
            </wp:positionH>
            <wp:positionV relativeFrom="paragraph">
              <wp:posOffset>-160973</wp:posOffset>
            </wp:positionV>
            <wp:extent cx="905602" cy="903562"/>
            <wp:effectExtent l="0" t="0" r="8890" b="0"/>
            <wp:wrapNone/>
            <wp:docPr id="2" name="Grafik 2"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5602" cy="903562"/>
                    </a:xfrm>
                    <a:prstGeom prst="rect">
                      <a:avLst/>
                    </a:prstGeom>
                  </pic:spPr>
                </pic:pic>
              </a:graphicData>
            </a:graphic>
            <wp14:sizeRelH relativeFrom="page">
              <wp14:pctWidth>0</wp14:pctWidth>
            </wp14:sizeRelH>
            <wp14:sizeRelV relativeFrom="page">
              <wp14:pctHeight>0</wp14:pctHeight>
            </wp14:sizeRelV>
          </wp:anchor>
        </w:drawing>
      </w:r>
      <w:r w:rsidR="00790019">
        <w:rPr>
          <w:noProof/>
        </w:rPr>
        <w:drawing>
          <wp:anchor distT="0" distB="0" distL="114300" distR="114300" simplePos="0" relativeHeight="251656192" behindDoc="0" locked="0" layoutInCell="1" allowOverlap="1" wp14:anchorId="6CB3AE87" wp14:editId="4DD0AAA9">
            <wp:simplePos x="0" y="0"/>
            <wp:positionH relativeFrom="column">
              <wp:posOffset>3551872</wp:posOffset>
            </wp:positionH>
            <wp:positionV relativeFrom="paragraph">
              <wp:posOffset>-375602</wp:posOffset>
            </wp:positionV>
            <wp:extent cx="1266190" cy="1299845"/>
            <wp:effectExtent l="0" t="0" r="0" b="0"/>
            <wp:wrapNone/>
            <wp:docPr id="3" name="Grafik 3"/>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2">
                      <a:extLst>
                        <a:ext uri="{28A0092B-C50C-407E-A947-70E740481C1C}">
                          <a14:useLocalDpi xmlns:a14="http://schemas.microsoft.com/office/drawing/2010/main" val="0"/>
                        </a:ext>
                      </a:extLst>
                    </a:blip>
                    <a:stretch>
                      <a:fillRect/>
                    </a:stretch>
                  </pic:blipFill>
                  <pic:spPr>
                    <a:xfrm>
                      <a:off x="0" y="0"/>
                      <a:ext cx="1266190" cy="1299845"/>
                    </a:xfrm>
                    <a:prstGeom prst="rect">
                      <a:avLst/>
                    </a:prstGeom>
                  </pic:spPr>
                </pic:pic>
              </a:graphicData>
            </a:graphic>
            <wp14:sizeRelH relativeFrom="margin">
              <wp14:pctWidth>0</wp14:pctWidth>
            </wp14:sizeRelH>
            <wp14:sizeRelV relativeFrom="margin">
              <wp14:pctHeight>0</wp14:pctHeight>
            </wp14:sizeRelV>
          </wp:anchor>
        </w:drawing>
      </w:r>
    </w:p>
    <w:p w14:paraId="4285477C" w14:textId="3DA3DD5C" w:rsidR="002C273D" w:rsidRDefault="002C273D" w:rsidP="00AD688F">
      <w:pPr>
        <w:spacing w:after="0"/>
        <w:rPr>
          <w:noProof/>
          <w:u w:val="single"/>
        </w:rPr>
      </w:pPr>
    </w:p>
    <w:p w14:paraId="5EE66F9E" w14:textId="07014DC5" w:rsidR="00B40BB3" w:rsidRDefault="00B40BB3" w:rsidP="00AD688F">
      <w:pPr>
        <w:spacing w:after="0"/>
        <w:rPr>
          <w:u w:val="single"/>
        </w:rPr>
      </w:pPr>
    </w:p>
    <w:p w14:paraId="1422A20B" w14:textId="77777777" w:rsidR="00131EAB" w:rsidRDefault="00131EAB" w:rsidP="00AD688F">
      <w:pPr>
        <w:spacing w:after="0"/>
        <w:rPr>
          <w:u w:val="single"/>
        </w:rPr>
      </w:pPr>
    </w:p>
    <w:p w14:paraId="7D50C90C" w14:textId="77777777" w:rsidR="00790019" w:rsidRDefault="00790019" w:rsidP="00AD688F">
      <w:pPr>
        <w:spacing w:after="0"/>
        <w:rPr>
          <w:u w:val="single"/>
        </w:rPr>
      </w:pPr>
    </w:p>
    <w:p w14:paraId="43DD650A" w14:textId="77777777" w:rsidR="00F74E86" w:rsidRDefault="00F74E86" w:rsidP="00AD688F">
      <w:pPr>
        <w:spacing w:after="0"/>
        <w:rPr>
          <w:u w:val="single"/>
        </w:rPr>
      </w:pPr>
    </w:p>
    <w:p w14:paraId="2AD25986" w14:textId="3B828F55" w:rsidR="00AD688F" w:rsidRPr="00841446" w:rsidRDefault="00AD688F" w:rsidP="00AD688F">
      <w:pPr>
        <w:spacing w:after="0"/>
        <w:rPr>
          <w:b/>
          <w:bCs/>
          <w:sz w:val="19"/>
          <w:szCs w:val="19"/>
          <w:u w:val="single"/>
        </w:rPr>
      </w:pPr>
      <w:r w:rsidRPr="00841446">
        <w:rPr>
          <w:b/>
          <w:bCs/>
          <w:sz w:val="19"/>
          <w:szCs w:val="19"/>
          <w:u w:val="single"/>
        </w:rPr>
        <w:t>Press</w:t>
      </w:r>
      <w:r w:rsidR="00642C6E" w:rsidRPr="00841446">
        <w:rPr>
          <w:b/>
          <w:bCs/>
          <w:sz w:val="19"/>
          <w:szCs w:val="19"/>
          <w:u w:val="single"/>
        </w:rPr>
        <w:t>e</w:t>
      </w:r>
      <w:r w:rsidRPr="00841446">
        <w:rPr>
          <w:b/>
          <w:bCs/>
          <w:sz w:val="19"/>
          <w:szCs w:val="19"/>
          <w:u w:val="single"/>
        </w:rPr>
        <w:t>information</w:t>
      </w:r>
    </w:p>
    <w:p w14:paraId="775B3015" w14:textId="77777777" w:rsidR="00E6257C" w:rsidRPr="00131EAB" w:rsidRDefault="00E6257C" w:rsidP="00AD688F">
      <w:pPr>
        <w:spacing w:after="0"/>
        <w:rPr>
          <w:u w:val="single"/>
        </w:rPr>
      </w:pPr>
    </w:p>
    <w:p w14:paraId="6DF67B1C" w14:textId="61B85AF7" w:rsidR="00AD688F" w:rsidRPr="00642C6E" w:rsidRDefault="00216F1F" w:rsidP="00AD688F">
      <w:pPr>
        <w:spacing w:after="0"/>
        <w:rPr>
          <w:sz w:val="36"/>
          <w:szCs w:val="36"/>
        </w:rPr>
      </w:pPr>
      <w:r w:rsidRPr="00642C6E">
        <w:rPr>
          <w:sz w:val="36"/>
          <w:szCs w:val="36"/>
        </w:rPr>
        <w:t>HOAI</w:t>
      </w:r>
      <w:r w:rsidR="00AD688F" w:rsidRPr="00642C6E">
        <w:rPr>
          <w:sz w:val="36"/>
          <w:szCs w:val="36"/>
        </w:rPr>
        <w:t>-Gutachten 2021</w:t>
      </w:r>
      <w:r w:rsidR="008308A9" w:rsidRPr="00642C6E">
        <w:rPr>
          <w:sz w:val="36"/>
          <w:szCs w:val="36"/>
        </w:rPr>
        <w:t>:</w:t>
      </w:r>
      <w:r w:rsidR="00AD688F" w:rsidRPr="00642C6E">
        <w:rPr>
          <w:sz w:val="36"/>
          <w:szCs w:val="36"/>
        </w:rPr>
        <w:t xml:space="preserve"> </w:t>
      </w:r>
    </w:p>
    <w:p w14:paraId="278C53BA" w14:textId="63C87D73" w:rsidR="00AD688F" w:rsidRPr="00642C6E" w:rsidRDefault="00AD688F" w:rsidP="00AD688F">
      <w:pPr>
        <w:spacing w:after="0"/>
        <w:rPr>
          <w:sz w:val="36"/>
          <w:szCs w:val="36"/>
        </w:rPr>
      </w:pPr>
      <w:r w:rsidRPr="00642C6E">
        <w:rPr>
          <w:sz w:val="36"/>
          <w:szCs w:val="36"/>
        </w:rPr>
        <w:t>Ingenieur- und Architektenhonorare</w:t>
      </w:r>
      <w:r w:rsidR="00216F1F" w:rsidRPr="00642C6E">
        <w:rPr>
          <w:sz w:val="36"/>
          <w:szCs w:val="36"/>
        </w:rPr>
        <w:t xml:space="preserve"> deutlich anheben</w:t>
      </w:r>
    </w:p>
    <w:p w14:paraId="044DFCEB" w14:textId="77777777" w:rsidR="00AD688F" w:rsidRPr="002C273D" w:rsidRDefault="00AD688F" w:rsidP="00AD688F">
      <w:pPr>
        <w:spacing w:after="0"/>
        <w:rPr>
          <w:sz w:val="40"/>
          <w:szCs w:val="44"/>
        </w:rPr>
      </w:pPr>
    </w:p>
    <w:p w14:paraId="47362E54" w14:textId="3E978A3E" w:rsidR="005929FE" w:rsidRDefault="00A2474B" w:rsidP="00523047">
      <w:pPr>
        <w:pStyle w:val="StandardWeb"/>
        <w:spacing w:before="0" w:beforeAutospacing="0" w:after="120" w:afterAutospacing="0" w:line="312" w:lineRule="auto"/>
        <w:rPr>
          <w:rFonts w:ascii="Roboto Light" w:hAnsi="Roboto Light"/>
          <w:color w:val="000000"/>
          <w:sz w:val="19"/>
          <w:szCs w:val="19"/>
        </w:rPr>
      </w:pPr>
      <w:r>
        <w:rPr>
          <w:rFonts w:ascii="Roboto Light" w:hAnsi="Roboto Light"/>
          <w:color w:val="000000"/>
          <w:sz w:val="19"/>
          <w:szCs w:val="19"/>
        </w:rPr>
        <w:t xml:space="preserve">Berlin, 30.03.2021. </w:t>
      </w:r>
      <w:r w:rsidR="00526B70">
        <w:rPr>
          <w:rFonts w:ascii="Roboto Light" w:hAnsi="Roboto Light"/>
          <w:color w:val="000000"/>
          <w:sz w:val="19"/>
          <w:szCs w:val="19"/>
        </w:rPr>
        <w:t xml:space="preserve">Nach dem heute vorgestellten Gutachten sind die </w:t>
      </w:r>
      <w:r w:rsidR="00CC0975">
        <w:rPr>
          <w:rFonts w:ascii="Roboto Light" w:hAnsi="Roboto Light"/>
          <w:color w:val="000000"/>
          <w:sz w:val="19"/>
          <w:szCs w:val="19"/>
        </w:rPr>
        <w:t xml:space="preserve">derzeitigen Honorartafelwerte in der </w:t>
      </w:r>
      <w:r w:rsidR="00523047">
        <w:rPr>
          <w:rFonts w:ascii="Roboto Light" w:hAnsi="Roboto Light"/>
          <w:color w:val="000000"/>
          <w:sz w:val="19"/>
          <w:szCs w:val="19"/>
        </w:rPr>
        <w:t xml:space="preserve">Honorarordnung für Architekten und Ingenieure </w:t>
      </w:r>
      <w:r w:rsidR="00CC0975">
        <w:rPr>
          <w:rFonts w:ascii="Roboto Light" w:hAnsi="Roboto Light"/>
          <w:color w:val="000000"/>
          <w:sz w:val="19"/>
          <w:szCs w:val="19"/>
        </w:rPr>
        <w:t xml:space="preserve">HOAI </w:t>
      </w:r>
      <w:r w:rsidR="00F4020E">
        <w:rPr>
          <w:rFonts w:ascii="Roboto Light" w:hAnsi="Roboto Light"/>
          <w:color w:val="000000"/>
          <w:sz w:val="19"/>
          <w:szCs w:val="19"/>
        </w:rPr>
        <w:t xml:space="preserve">stark </w:t>
      </w:r>
      <w:r w:rsidR="00CC0975">
        <w:rPr>
          <w:rFonts w:ascii="Roboto Light" w:hAnsi="Roboto Light"/>
          <w:color w:val="000000"/>
          <w:sz w:val="19"/>
          <w:szCs w:val="19"/>
        </w:rPr>
        <w:t>veraltet und müssen deutlich</w:t>
      </w:r>
      <w:r w:rsidR="00F4020E">
        <w:rPr>
          <w:rFonts w:ascii="Roboto Light" w:hAnsi="Roboto Light"/>
          <w:color w:val="000000"/>
          <w:sz w:val="19"/>
          <w:szCs w:val="19"/>
        </w:rPr>
        <w:t>,</w:t>
      </w:r>
      <w:r w:rsidR="008A0308">
        <w:rPr>
          <w:rFonts w:ascii="Roboto Light" w:hAnsi="Roboto Light"/>
          <w:color w:val="000000"/>
          <w:sz w:val="19"/>
          <w:szCs w:val="19"/>
        </w:rPr>
        <w:t xml:space="preserve"> je nach Leistungsbild</w:t>
      </w:r>
      <w:r w:rsidR="00CC0975">
        <w:rPr>
          <w:rFonts w:ascii="Roboto Light" w:hAnsi="Roboto Light"/>
          <w:color w:val="000000"/>
          <w:sz w:val="19"/>
          <w:szCs w:val="19"/>
        </w:rPr>
        <w:t xml:space="preserve"> </w:t>
      </w:r>
      <w:r w:rsidR="00670DB1">
        <w:rPr>
          <w:rFonts w:ascii="Roboto Light" w:hAnsi="Roboto Light"/>
          <w:color w:val="000000"/>
          <w:sz w:val="19"/>
          <w:szCs w:val="19"/>
        </w:rPr>
        <w:t>um bis zu 26,7 Prozent</w:t>
      </w:r>
      <w:r w:rsidR="00F4020E">
        <w:rPr>
          <w:rFonts w:ascii="Roboto Light" w:hAnsi="Roboto Light"/>
          <w:color w:val="000000"/>
          <w:sz w:val="19"/>
          <w:szCs w:val="19"/>
        </w:rPr>
        <w:t>,</w:t>
      </w:r>
      <w:r w:rsidR="00670DB1">
        <w:rPr>
          <w:rFonts w:ascii="Roboto Light" w:hAnsi="Roboto Light"/>
          <w:color w:val="000000"/>
          <w:sz w:val="19"/>
          <w:szCs w:val="19"/>
        </w:rPr>
        <w:t xml:space="preserve"> </w:t>
      </w:r>
      <w:r w:rsidR="00CC0975">
        <w:rPr>
          <w:rFonts w:ascii="Roboto Light" w:hAnsi="Roboto Light"/>
          <w:color w:val="000000"/>
          <w:sz w:val="19"/>
          <w:szCs w:val="19"/>
        </w:rPr>
        <w:t>angeh</w:t>
      </w:r>
      <w:r w:rsidR="007D6436">
        <w:rPr>
          <w:rFonts w:ascii="Roboto Light" w:hAnsi="Roboto Light"/>
          <w:color w:val="000000"/>
          <w:sz w:val="19"/>
          <w:szCs w:val="19"/>
        </w:rPr>
        <w:t xml:space="preserve">oben werden. </w:t>
      </w:r>
      <w:r w:rsidR="008A0308">
        <w:rPr>
          <w:rFonts w:ascii="Roboto Light" w:hAnsi="Roboto Light"/>
          <w:color w:val="000000"/>
          <w:sz w:val="19"/>
          <w:szCs w:val="19"/>
        </w:rPr>
        <w:t xml:space="preserve">Das Gutachten wurde </w:t>
      </w:r>
      <w:r w:rsidR="00332DCC">
        <w:rPr>
          <w:rFonts w:ascii="Roboto Light" w:hAnsi="Roboto Light"/>
          <w:color w:val="000000"/>
          <w:sz w:val="19"/>
          <w:szCs w:val="19"/>
        </w:rPr>
        <w:t>im Auftrag des Inst</w:t>
      </w:r>
      <w:r w:rsidR="00C43D19">
        <w:rPr>
          <w:rFonts w:ascii="Roboto Light" w:hAnsi="Roboto Light"/>
          <w:color w:val="000000"/>
          <w:sz w:val="19"/>
          <w:szCs w:val="19"/>
        </w:rPr>
        <w:t xml:space="preserve">ituts für Wissen in der Wirtschaft und dem Verband Beratender Ingenieure </w:t>
      </w:r>
      <w:r w:rsidR="008A0308">
        <w:rPr>
          <w:rFonts w:ascii="Roboto Light" w:hAnsi="Roboto Light"/>
          <w:color w:val="000000"/>
          <w:sz w:val="19"/>
          <w:szCs w:val="19"/>
        </w:rPr>
        <w:t>von Dipl.-In</w:t>
      </w:r>
      <w:r w:rsidR="00471A4F">
        <w:rPr>
          <w:rFonts w:ascii="Roboto Light" w:hAnsi="Roboto Light"/>
          <w:color w:val="000000"/>
          <w:sz w:val="19"/>
          <w:szCs w:val="19"/>
        </w:rPr>
        <w:t xml:space="preserve">g. Klaus-Dieter Siemon erarbeitet, der 2013 im Auftrag des Bundeswirtschaftsministeriums </w:t>
      </w:r>
      <w:r w:rsidR="00443A6B">
        <w:rPr>
          <w:rFonts w:ascii="Roboto Light" w:hAnsi="Roboto Light"/>
          <w:color w:val="000000"/>
          <w:sz w:val="19"/>
          <w:szCs w:val="19"/>
        </w:rPr>
        <w:t xml:space="preserve">die aktuelle HOAI mit </w:t>
      </w:r>
      <w:r w:rsidR="00EC2752">
        <w:rPr>
          <w:rFonts w:ascii="Roboto Light" w:hAnsi="Roboto Light"/>
          <w:color w:val="000000"/>
          <w:sz w:val="19"/>
          <w:szCs w:val="19"/>
        </w:rPr>
        <w:t>entwickelt</w:t>
      </w:r>
      <w:r w:rsidR="00443A6B">
        <w:rPr>
          <w:rFonts w:ascii="Roboto Light" w:hAnsi="Roboto Light"/>
          <w:color w:val="000000"/>
          <w:sz w:val="19"/>
          <w:szCs w:val="19"/>
        </w:rPr>
        <w:t xml:space="preserve"> hat</w:t>
      </w:r>
      <w:r w:rsidR="00EC2752">
        <w:rPr>
          <w:rFonts w:ascii="Roboto Light" w:hAnsi="Roboto Light"/>
          <w:color w:val="000000"/>
          <w:sz w:val="19"/>
          <w:szCs w:val="19"/>
        </w:rPr>
        <w:t>te</w:t>
      </w:r>
      <w:r w:rsidR="00443A6B">
        <w:rPr>
          <w:rFonts w:ascii="Roboto Light" w:hAnsi="Roboto Light"/>
          <w:color w:val="000000"/>
          <w:sz w:val="19"/>
          <w:szCs w:val="19"/>
        </w:rPr>
        <w:t>.</w:t>
      </w:r>
      <w:r w:rsidR="00332DCC">
        <w:rPr>
          <w:rFonts w:ascii="Roboto Light" w:hAnsi="Roboto Light"/>
          <w:color w:val="000000"/>
          <w:sz w:val="19"/>
          <w:szCs w:val="19"/>
        </w:rPr>
        <w:t xml:space="preserve"> </w:t>
      </w:r>
    </w:p>
    <w:p w14:paraId="7EC69345" w14:textId="5335A334" w:rsidR="00443A6B" w:rsidRDefault="00C7240E" w:rsidP="00523047">
      <w:pPr>
        <w:pStyle w:val="StandardWeb"/>
        <w:spacing w:before="0" w:beforeAutospacing="0" w:after="120" w:afterAutospacing="0" w:line="312" w:lineRule="auto"/>
        <w:rPr>
          <w:rFonts w:ascii="Roboto Light" w:hAnsi="Roboto Light"/>
          <w:color w:val="000000"/>
          <w:sz w:val="19"/>
          <w:szCs w:val="19"/>
        </w:rPr>
      </w:pPr>
      <w:r>
        <w:rPr>
          <w:rFonts w:ascii="Roboto Light" w:hAnsi="Roboto Light"/>
          <w:color w:val="000000"/>
          <w:sz w:val="19"/>
          <w:szCs w:val="19"/>
        </w:rPr>
        <w:t xml:space="preserve">Für das </w:t>
      </w:r>
      <w:r w:rsidR="00EC2752">
        <w:rPr>
          <w:rFonts w:ascii="Roboto Light" w:hAnsi="Roboto Light"/>
          <w:color w:val="000000"/>
          <w:sz w:val="19"/>
          <w:szCs w:val="19"/>
        </w:rPr>
        <w:t>Gutachten</w:t>
      </w:r>
      <w:r w:rsidR="00C90594">
        <w:rPr>
          <w:rFonts w:ascii="Roboto Light" w:hAnsi="Roboto Light"/>
          <w:color w:val="000000"/>
          <w:sz w:val="19"/>
          <w:szCs w:val="19"/>
        </w:rPr>
        <w:t xml:space="preserve"> wurde die </w:t>
      </w:r>
      <w:r w:rsidR="004A2A20">
        <w:rPr>
          <w:rFonts w:ascii="Roboto Light" w:hAnsi="Roboto Light"/>
          <w:color w:val="000000"/>
          <w:sz w:val="19"/>
          <w:szCs w:val="19"/>
        </w:rPr>
        <w:t>Berechnungsformel</w:t>
      </w:r>
      <w:r w:rsidR="00C90594">
        <w:rPr>
          <w:rFonts w:ascii="Roboto Light" w:hAnsi="Roboto Light"/>
          <w:color w:val="000000"/>
          <w:sz w:val="19"/>
          <w:szCs w:val="19"/>
        </w:rPr>
        <w:t xml:space="preserve"> von 2013 weiterentwickelt und dur</w:t>
      </w:r>
      <w:r w:rsidR="00E61D11">
        <w:rPr>
          <w:rFonts w:ascii="Roboto Light" w:hAnsi="Roboto Light"/>
          <w:color w:val="000000"/>
          <w:sz w:val="19"/>
          <w:szCs w:val="19"/>
        </w:rPr>
        <w:t xml:space="preserve">ch weitere Einflussfaktoren ergänzt. Anschließend </w:t>
      </w:r>
      <w:r w:rsidR="00960424">
        <w:rPr>
          <w:rFonts w:ascii="Roboto Light" w:hAnsi="Roboto Light"/>
          <w:color w:val="000000"/>
          <w:sz w:val="19"/>
          <w:szCs w:val="19"/>
        </w:rPr>
        <w:t>wurden Archit</w:t>
      </w:r>
      <w:r w:rsidR="004F71AE">
        <w:rPr>
          <w:rFonts w:ascii="Roboto Light" w:hAnsi="Roboto Light"/>
          <w:color w:val="000000"/>
          <w:sz w:val="19"/>
          <w:szCs w:val="19"/>
        </w:rPr>
        <w:t>ektur- und Ingenieurbüros zu Rationalisierungseffekten, Mehr- und Minderaufwände</w:t>
      </w:r>
      <w:r w:rsidR="00546E75">
        <w:rPr>
          <w:rFonts w:ascii="Roboto Light" w:hAnsi="Roboto Light"/>
          <w:color w:val="000000"/>
          <w:sz w:val="19"/>
          <w:szCs w:val="19"/>
        </w:rPr>
        <w:t>n</w:t>
      </w:r>
      <w:r w:rsidR="004F71AE">
        <w:rPr>
          <w:rFonts w:ascii="Roboto Light" w:hAnsi="Roboto Light"/>
          <w:color w:val="000000"/>
          <w:sz w:val="19"/>
          <w:szCs w:val="19"/>
        </w:rPr>
        <w:t xml:space="preserve"> sowie Kostenentwicklungen</w:t>
      </w:r>
      <w:r w:rsidR="00077263">
        <w:rPr>
          <w:rFonts w:ascii="Roboto Light" w:hAnsi="Roboto Light"/>
          <w:color w:val="000000"/>
          <w:sz w:val="19"/>
          <w:szCs w:val="19"/>
        </w:rPr>
        <w:t xml:space="preserve"> der vergangenen a</w:t>
      </w:r>
      <w:r w:rsidR="00802898">
        <w:rPr>
          <w:rFonts w:ascii="Roboto Light" w:hAnsi="Roboto Light"/>
          <w:color w:val="000000"/>
          <w:sz w:val="19"/>
          <w:szCs w:val="19"/>
        </w:rPr>
        <w:t>cht Jahre</w:t>
      </w:r>
      <w:r w:rsidR="004F71AE">
        <w:rPr>
          <w:rFonts w:ascii="Roboto Light" w:hAnsi="Roboto Light"/>
          <w:color w:val="000000"/>
          <w:sz w:val="19"/>
          <w:szCs w:val="19"/>
        </w:rPr>
        <w:t xml:space="preserve"> be</w:t>
      </w:r>
      <w:r w:rsidR="005929FE">
        <w:rPr>
          <w:rFonts w:ascii="Roboto Light" w:hAnsi="Roboto Light"/>
          <w:color w:val="000000"/>
          <w:sz w:val="19"/>
          <w:szCs w:val="19"/>
        </w:rPr>
        <w:t xml:space="preserve">fragt. </w:t>
      </w:r>
      <w:r w:rsidR="00802898">
        <w:rPr>
          <w:rFonts w:ascii="Roboto Light" w:hAnsi="Roboto Light"/>
          <w:color w:val="000000"/>
          <w:sz w:val="19"/>
          <w:szCs w:val="19"/>
        </w:rPr>
        <w:t xml:space="preserve">In den untersuchten sechs Leistungsbildern wurden die Ergebnisse nach </w:t>
      </w:r>
      <w:r w:rsidR="00004B70">
        <w:rPr>
          <w:rFonts w:ascii="Roboto Light" w:hAnsi="Roboto Light"/>
          <w:color w:val="000000"/>
          <w:sz w:val="19"/>
          <w:szCs w:val="19"/>
        </w:rPr>
        <w:t xml:space="preserve">kleineren und größeren Projekten unterschieden. </w:t>
      </w:r>
      <w:r w:rsidR="00F5112B">
        <w:rPr>
          <w:rFonts w:ascii="Roboto Light" w:hAnsi="Roboto Light"/>
          <w:color w:val="000000"/>
          <w:sz w:val="19"/>
          <w:szCs w:val="19"/>
        </w:rPr>
        <w:t>Der Steigerungsbedarf wurde detailliert nach der Höhe der anrechenbare</w:t>
      </w:r>
      <w:r w:rsidR="00523047">
        <w:rPr>
          <w:rFonts w:ascii="Roboto Light" w:hAnsi="Roboto Light"/>
          <w:color w:val="000000"/>
          <w:sz w:val="19"/>
          <w:szCs w:val="19"/>
        </w:rPr>
        <w:t>n</w:t>
      </w:r>
      <w:r w:rsidR="00F5112B">
        <w:rPr>
          <w:rFonts w:ascii="Roboto Light" w:hAnsi="Roboto Light"/>
          <w:color w:val="000000"/>
          <w:sz w:val="19"/>
          <w:szCs w:val="19"/>
        </w:rPr>
        <w:t xml:space="preserve"> Kosten in den einzelnen Honorarzonen </w:t>
      </w:r>
      <w:r w:rsidR="003C3749">
        <w:rPr>
          <w:rFonts w:ascii="Roboto Light" w:hAnsi="Roboto Light"/>
          <w:color w:val="000000"/>
          <w:sz w:val="19"/>
          <w:szCs w:val="19"/>
        </w:rPr>
        <w:t>ermittelt.</w:t>
      </w:r>
    </w:p>
    <w:p w14:paraId="60B4582B" w14:textId="5FDE7203" w:rsidR="001F5211" w:rsidRPr="004E4CA8" w:rsidRDefault="001F5211" w:rsidP="00523047">
      <w:pPr>
        <w:spacing w:after="120" w:line="312" w:lineRule="auto"/>
        <w:rPr>
          <w:i/>
          <w:iCs/>
          <w:sz w:val="19"/>
          <w:szCs w:val="19"/>
        </w:rPr>
      </w:pPr>
      <w:r w:rsidRPr="004E4CA8">
        <w:rPr>
          <w:b/>
          <w:bCs/>
          <w:sz w:val="19"/>
          <w:szCs w:val="19"/>
        </w:rPr>
        <w:t xml:space="preserve">Günter Göbel, IWW-Chefredakteur: </w:t>
      </w:r>
      <w:r w:rsidRPr="004E4CA8">
        <w:rPr>
          <w:i/>
          <w:iCs/>
          <w:sz w:val="19"/>
          <w:szCs w:val="19"/>
        </w:rPr>
        <w:t xml:space="preserve">„Es zeigt sich, wie wichtig die Beauftragung des Gutachtens war. Es konnte nachgewiesen werden, dass die HOAI-Tafelwerte </w:t>
      </w:r>
      <w:r w:rsidR="009318F0">
        <w:rPr>
          <w:i/>
          <w:iCs/>
          <w:sz w:val="19"/>
          <w:szCs w:val="19"/>
        </w:rPr>
        <w:t xml:space="preserve">stark </w:t>
      </w:r>
      <w:r w:rsidRPr="004E4CA8">
        <w:rPr>
          <w:i/>
          <w:iCs/>
          <w:sz w:val="19"/>
          <w:szCs w:val="19"/>
        </w:rPr>
        <w:t>veraltet sind und weder die Kostensteigerungen der letzten Jahre noch die gestiegenen Anforderungen für Ingenieure und Architekten abgebildet werden.</w:t>
      </w:r>
      <w:r w:rsidR="00F11136">
        <w:rPr>
          <w:i/>
          <w:iCs/>
          <w:sz w:val="19"/>
          <w:szCs w:val="19"/>
        </w:rPr>
        <w:t xml:space="preserve"> Nun haben Architekten und Ingenieure validere Werte, um ihr Honor</w:t>
      </w:r>
      <w:r w:rsidR="007010F1">
        <w:rPr>
          <w:i/>
          <w:iCs/>
          <w:sz w:val="19"/>
          <w:szCs w:val="19"/>
        </w:rPr>
        <w:t>ar realis</w:t>
      </w:r>
      <w:r w:rsidR="00991A3E">
        <w:rPr>
          <w:i/>
          <w:iCs/>
          <w:sz w:val="19"/>
          <w:szCs w:val="19"/>
        </w:rPr>
        <w:t>tisch</w:t>
      </w:r>
      <w:r w:rsidR="00ED2BC0">
        <w:rPr>
          <w:i/>
          <w:iCs/>
          <w:sz w:val="19"/>
          <w:szCs w:val="19"/>
        </w:rPr>
        <w:t xml:space="preserve"> zu berechnen.</w:t>
      </w:r>
      <w:r w:rsidRPr="004E4CA8">
        <w:rPr>
          <w:i/>
          <w:iCs/>
          <w:sz w:val="19"/>
          <w:szCs w:val="19"/>
        </w:rPr>
        <w:t>“</w:t>
      </w:r>
    </w:p>
    <w:p w14:paraId="1AAD4682" w14:textId="75F5F3AD" w:rsidR="004E4CA8" w:rsidRDefault="001F5211" w:rsidP="00EA2F00">
      <w:pPr>
        <w:spacing w:after="0" w:line="312" w:lineRule="auto"/>
        <w:rPr>
          <w:b/>
          <w:bCs/>
          <w:sz w:val="19"/>
          <w:szCs w:val="19"/>
        </w:rPr>
      </w:pPr>
      <w:r w:rsidRPr="004E4CA8">
        <w:rPr>
          <w:b/>
          <w:bCs/>
          <w:sz w:val="19"/>
          <w:szCs w:val="19"/>
        </w:rPr>
        <w:t>Dipl.-Ing. Jörg Thiele, VBI-Präsident:</w:t>
      </w:r>
      <w:r w:rsidRPr="004E4CA8">
        <w:rPr>
          <w:sz w:val="19"/>
          <w:szCs w:val="19"/>
        </w:rPr>
        <w:t xml:space="preserve"> </w:t>
      </w:r>
      <w:r w:rsidRPr="004E4CA8">
        <w:rPr>
          <w:i/>
          <w:iCs/>
          <w:sz w:val="19"/>
          <w:szCs w:val="19"/>
        </w:rPr>
        <w:t>„</w:t>
      </w:r>
      <w:r w:rsidR="00441313" w:rsidRPr="00441313">
        <w:rPr>
          <w:i/>
          <w:iCs/>
          <w:color w:val="000000"/>
          <w:sz w:val="19"/>
          <w:szCs w:val="19"/>
        </w:rPr>
        <w:t xml:space="preserve">Durch die HOAI-Novelle 2021 wurden </w:t>
      </w:r>
      <w:r w:rsidR="00441313" w:rsidRPr="00441313">
        <w:rPr>
          <w:rStyle w:val="s7"/>
          <w:i/>
          <w:iCs/>
          <w:color w:val="000000"/>
          <w:sz w:val="19"/>
          <w:szCs w:val="19"/>
        </w:rPr>
        <w:t>die</w:t>
      </w:r>
      <w:r w:rsidR="00441313" w:rsidRPr="00441313">
        <w:rPr>
          <w:rStyle w:val="apple-converted-space"/>
          <w:i/>
          <w:iCs/>
          <w:color w:val="000000"/>
          <w:sz w:val="19"/>
          <w:szCs w:val="19"/>
        </w:rPr>
        <w:t> </w:t>
      </w:r>
      <w:r w:rsidR="00441313" w:rsidRPr="00441313">
        <w:rPr>
          <w:rStyle w:val="s7"/>
          <w:i/>
          <w:iCs/>
          <w:color w:val="000000"/>
          <w:sz w:val="19"/>
          <w:szCs w:val="19"/>
        </w:rPr>
        <w:t>bisher verbindlichen Mindest- und Höchstsätze</w:t>
      </w:r>
      <w:r w:rsidR="00441313" w:rsidRPr="00441313">
        <w:rPr>
          <w:rStyle w:val="apple-converted-space"/>
          <w:i/>
          <w:iCs/>
          <w:color w:val="000000"/>
          <w:sz w:val="19"/>
          <w:szCs w:val="19"/>
        </w:rPr>
        <w:t xml:space="preserve"> </w:t>
      </w:r>
      <w:r w:rsidR="00441313" w:rsidRPr="00441313">
        <w:rPr>
          <w:rStyle w:val="s7"/>
          <w:i/>
          <w:iCs/>
          <w:color w:val="000000"/>
          <w:sz w:val="19"/>
          <w:szCs w:val="19"/>
        </w:rPr>
        <w:t>lediglich</w:t>
      </w:r>
      <w:r w:rsidR="00441313" w:rsidRPr="00441313">
        <w:rPr>
          <w:rStyle w:val="apple-converted-space"/>
          <w:i/>
          <w:iCs/>
          <w:color w:val="000000"/>
          <w:sz w:val="19"/>
          <w:szCs w:val="19"/>
        </w:rPr>
        <w:t xml:space="preserve"> </w:t>
      </w:r>
      <w:r w:rsidR="00441313" w:rsidRPr="00441313">
        <w:rPr>
          <w:rStyle w:val="s7"/>
          <w:i/>
          <w:iCs/>
          <w:color w:val="000000"/>
          <w:sz w:val="19"/>
          <w:szCs w:val="19"/>
        </w:rPr>
        <w:t>durch sogenannte Orientierungswerte ersetzt.</w:t>
      </w:r>
      <w:r w:rsidR="00441313" w:rsidRPr="00441313">
        <w:rPr>
          <w:rStyle w:val="apple-converted-space"/>
          <w:i/>
          <w:iCs/>
          <w:color w:val="000000"/>
          <w:sz w:val="19"/>
          <w:szCs w:val="19"/>
        </w:rPr>
        <w:t> </w:t>
      </w:r>
      <w:r w:rsidRPr="004E4CA8">
        <w:rPr>
          <w:i/>
          <w:iCs/>
          <w:sz w:val="19"/>
          <w:szCs w:val="19"/>
        </w:rPr>
        <w:t xml:space="preserve">Das Gutachten zeigt, dass die HOAI </w:t>
      </w:r>
      <w:r w:rsidR="00185A6B">
        <w:rPr>
          <w:i/>
          <w:iCs/>
          <w:sz w:val="19"/>
          <w:szCs w:val="19"/>
        </w:rPr>
        <w:t>nun</w:t>
      </w:r>
      <w:r w:rsidR="00B22CC6">
        <w:rPr>
          <w:i/>
          <w:iCs/>
          <w:sz w:val="19"/>
          <w:szCs w:val="19"/>
        </w:rPr>
        <w:t xml:space="preserve"> </w:t>
      </w:r>
      <w:r w:rsidRPr="004E4CA8">
        <w:rPr>
          <w:i/>
          <w:iCs/>
          <w:sz w:val="19"/>
          <w:szCs w:val="19"/>
        </w:rPr>
        <w:t xml:space="preserve">schnell aktualisiert werden muss. Es ist unhaltbar, dass die Honorarsätze für Ingenieure und Architekten bald ein Jahrzehnt lang nicht angepasst wurden. Die Steigerungen von bis zu 26,7 % zeigen, wie dringend </w:t>
      </w:r>
      <w:r w:rsidR="008B6676">
        <w:rPr>
          <w:i/>
          <w:iCs/>
          <w:sz w:val="19"/>
          <w:szCs w:val="19"/>
        </w:rPr>
        <w:t>eine</w:t>
      </w:r>
      <w:r w:rsidRPr="004E4CA8">
        <w:rPr>
          <w:i/>
          <w:iCs/>
          <w:sz w:val="19"/>
          <w:szCs w:val="19"/>
        </w:rPr>
        <w:t xml:space="preserve"> Novellierung unmittelbar nach der Bundestagswahl ist.“</w:t>
      </w:r>
    </w:p>
    <w:p w14:paraId="2527DD9C" w14:textId="77777777" w:rsidR="008B6676" w:rsidRPr="008B6676" w:rsidRDefault="008B6676" w:rsidP="004E4CA8">
      <w:pPr>
        <w:spacing w:after="120"/>
        <w:rPr>
          <w:b/>
          <w:bCs/>
          <w:sz w:val="19"/>
          <w:szCs w:val="19"/>
        </w:rPr>
      </w:pPr>
    </w:p>
    <w:p w14:paraId="23FA2A2E" w14:textId="4019EA7F" w:rsidR="002F2BE5" w:rsidRDefault="008B6676" w:rsidP="004E4CA8">
      <w:pPr>
        <w:spacing w:after="120"/>
        <w:rPr>
          <w:b/>
          <w:bCs/>
          <w:sz w:val="19"/>
          <w:szCs w:val="19"/>
          <w:u w:val="single"/>
        </w:rPr>
      </w:pPr>
      <w:r>
        <w:rPr>
          <w:b/>
          <w:bCs/>
          <w:sz w:val="19"/>
          <w:szCs w:val="19"/>
          <w:u w:val="single"/>
        </w:rPr>
        <w:t>Ausgewählte</w:t>
      </w:r>
      <w:r w:rsidR="002F2BE5" w:rsidRPr="004E4CA8">
        <w:rPr>
          <w:b/>
          <w:bCs/>
          <w:sz w:val="19"/>
          <w:szCs w:val="19"/>
          <w:u w:val="single"/>
        </w:rPr>
        <w:t xml:space="preserve"> Ergebnisse</w:t>
      </w:r>
    </w:p>
    <w:p w14:paraId="13913718" w14:textId="77777777" w:rsidR="00DC7839" w:rsidRDefault="002F2BE5" w:rsidP="00EA2F00">
      <w:pPr>
        <w:pStyle w:val="Listenabsatz"/>
        <w:numPr>
          <w:ilvl w:val="0"/>
          <w:numId w:val="7"/>
        </w:numPr>
        <w:spacing w:after="0" w:line="312" w:lineRule="auto"/>
        <w:ind w:left="714" w:hanging="357"/>
        <w:contextualSpacing w:val="0"/>
        <w:rPr>
          <w:sz w:val="19"/>
          <w:szCs w:val="19"/>
        </w:rPr>
      </w:pPr>
      <w:r w:rsidRPr="004E4CA8">
        <w:rPr>
          <w:sz w:val="19"/>
          <w:szCs w:val="19"/>
        </w:rPr>
        <w:t xml:space="preserve">Leistungsbild Gebäude, Objekt mit 2,0 Mio. € </w:t>
      </w:r>
    </w:p>
    <w:p w14:paraId="20D02DDF" w14:textId="7E52E39F" w:rsidR="002F2BE5" w:rsidRPr="004E4CA8" w:rsidRDefault="002F2BE5" w:rsidP="00DC7839">
      <w:pPr>
        <w:pStyle w:val="Listenabsatz"/>
        <w:spacing w:after="120" w:line="360" w:lineRule="auto"/>
        <w:ind w:left="714"/>
        <w:contextualSpacing w:val="0"/>
        <w:rPr>
          <w:sz w:val="19"/>
          <w:szCs w:val="19"/>
        </w:rPr>
      </w:pPr>
      <w:r w:rsidRPr="004E4CA8">
        <w:rPr>
          <w:sz w:val="19"/>
          <w:szCs w:val="19"/>
        </w:rPr>
        <w:t>anr</w:t>
      </w:r>
      <w:r w:rsidR="002A7669">
        <w:rPr>
          <w:sz w:val="19"/>
          <w:szCs w:val="19"/>
        </w:rPr>
        <w:t>echenbare</w:t>
      </w:r>
      <w:r w:rsidR="00841446">
        <w:rPr>
          <w:sz w:val="19"/>
          <w:szCs w:val="19"/>
        </w:rPr>
        <w:t>n</w:t>
      </w:r>
      <w:r w:rsidRPr="004E4CA8">
        <w:rPr>
          <w:sz w:val="19"/>
          <w:szCs w:val="19"/>
        </w:rPr>
        <w:t xml:space="preserve"> Kosten, Honorarzone III:                                </w:t>
      </w:r>
      <w:r w:rsidR="004E4CA8">
        <w:rPr>
          <w:sz w:val="19"/>
          <w:szCs w:val="19"/>
        </w:rPr>
        <w:t xml:space="preserve">       </w:t>
      </w:r>
      <w:r w:rsidR="00EA2F00">
        <w:rPr>
          <w:sz w:val="19"/>
          <w:szCs w:val="19"/>
        </w:rPr>
        <w:tab/>
      </w:r>
      <w:r w:rsidRPr="00C72465">
        <w:rPr>
          <w:sz w:val="19"/>
          <w:szCs w:val="19"/>
        </w:rPr>
        <w:t>24,53 % Steigerung</w:t>
      </w:r>
      <w:r w:rsidRPr="004E4CA8">
        <w:rPr>
          <w:sz w:val="19"/>
          <w:szCs w:val="19"/>
        </w:rPr>
        <w:t>,</w:t>
      </w:r>
    </w:p>
    <w:p w14:paraId="716ECC67" w14:textId="77777777" w:rsidR="00EA2F00" w:rsidRDefault="002F2BE5" w:rsidP="00EA2F00">
      <w:pPr>
        <w:pStyle w:val="Listenabsatz"/>
        <w:numPr>
          <w:ilvl w:val="0"/>
          <w:numId w:val="7"/>
        </w:numPr>
        <w:spacing w:after="0" w:line="312" w:lineRule="auto"/>
        <w:ind w:left="714" w:hanging="357"/>
        <w:contextualSpacing w:val="0"/>
        <w:rPr>
          <w:sz w:val="19"/>
          <w:szCs w:val="19"/>
        </w:rPr>
      </w:pPr>
      <w:r w:rsidRPr="004E4CA8">
        <w:rPr>
          <w:sz w:val="19"/>
          <w:szCs w:val="19"/>
        </w:rPr>
        <w:t xml:space="preserve">Leistungsbild Ingenieurbauwerke, Objekt mit 5,0 Mio. € </w:t>
      </w:r>
    </w:p>
    <w:p w14:paraId="6D7C7670" w14:textId="4CF347E4" w:rsidR="002F2BE5" w:rsidRPr="00EA2F00" w:rsidRDefault="002F2BE5" w:rsidP="00EA2F00">
      <w:pPr>
        <w:pStyle w:val="Listenabsatz"/>
        <w:spacing w:after="120" w:line="360" w:lineRule="auto"/>
        <w:contextualSpacing w:val="0"/>
        <w:rPr>
          <w:sz w:val="19"/>
          <w:szCs w:val="19"/>
        </w:rPr>
      </w:pPr>
      <w:r w:rsidRPr="00EA2F00">
        <w:rPr>
          <w:sz w:val="19"/>
          <w:szCs w:val="19"/>
        </w:rPr>
        <w:t>anr</w:t>
      </w:r>
      <w:r w:rsidR="00B30034">
        <w:rPr>
          <w:sz w:val="19"/>
          <w:szCs w:val="19"/>
        </w:rPr>
        <w:t>echenbare</w:t>
      </w:r>
      <w:r w:rsidR="00841446">
        <w:rPr>
          <w:sz w:val="19"/>
          <w:szCs w:val="19"/>
        </w:rPr>
        <w:t>n</w:t>
      </w:r>
      <w:r w:rsidRPr="00EA2F00">
        <w:rPr>
          <w:sz w:val="19"/>
          <w:szCs w:val="19"/>
        </w:rPr>
        <w:t xml:space="preserve"> Kosten, Honorarzone III:             </w:t>
      </w:r>
      <w:r w:rsidR="004E4CA8" w:rsidRPr="00EA2F00">
        <w:rPr>
          <w:sz w:val="19"/>
          <w:szCs w:val="19"/>
        </w:rPr>
        <w:t xml:space="preserve">          </w:t>
      </w:r>
      <w:r w:rsidR="00EA2F00">
        <w:rPr>
          <w:sz w:val="19"/>
          <w:szCs w:val="19"/>
        </w:rPr>
        <w:tab/>
      </w:r>
      <w:r w:rsidR="00EA2F00">
        <w:rPr>
          <w:sz w:val="19"/>
          <w:szCs w:val="19"/>
        </w:rPr>
        <w:tab/>
      </w:r>
      <w:r w:rsidRPr="00C72465">
        <w:rPr>
          <w:sz w:val="19"/>
          <w:szCs w:val="19"/>
        </w:rPr>
        <w:t>20,30 % Steigerung</w:t>
      </w:r>
      <w:r w:rsidRPr="00EA2F00">
        <w:rPr>
          <w:sz w:val="19"/>
          <w:szCs w:val="19"/>
        </w:rPr>
        <w:t>,</w:t>
      </w:r>
    </w:p>
    <w:p w14:paraId="605A486C" w14:textId="77777777" w:rsidR="00EA2F00" w:rsidRDefault="002F2BE5" w:rsidP="00EA2F00">
      <w:pPr>
        <w:pStyle w:val="Listenabsatz"/>
        <w:numPr>
          <w:ilvl w:val="0"/>
          <w:numId w:val="7"/>
        </w:numPr>
        <w:spacing w:after="0" w:line="312" w:lineRule="auto"/>
        <w:ind w:left="714" w:hanging="357"/>
        <w:contextualSpacing w:val="0"/>
        <w:rPr>
          <w:sz w:val="19"/>
          <w:szCs w:val="19"/>
        </w:rPr>
      </w:pPr>
      <w:r w:rsidRPr="004E4CA8">
        <w:rPr>
          <w:sz w:val="19"/>
          <w:szCs w:val="19"/>
        </w:rPr>
        <w:t xml:space="preserve">Leistungsbild Tragwerksplanung, Objekt mit 2,0 Mio. € </w:t>
      </w:r>
    </w:p>
    <w:p w14:paraId="5AD889E4" w14:textId="2C19DCDB" w:rsidR="002F2BE5" w:rsidRPr="00EA2F00" w:rsidRDefault="002F2BE5" w:rsidP="00EA2F00">
      <w:pPr>
        <w:spacing w:after="120" w:line="360" w:lineRule="auto"/>
        <w:ind w:left="708"/>
        <w:rPr>
          <w:sz w:val="19"/>
          <w:szCs w:val="19"/>
        </w:rPr>
      </w:pPr>
      <w:r w:rsidRPr="00EA2F00">
        <w:rPr>
          <w:sz w:val="19"/>
          <w:szCs w:val="19"/>
        </w:rPr>
        <w:t>anr</w:t>
      </w:r>
      <w:r w:rsidR="00B30034">
        <w:rPr>
          <w:sz w:val="19"/>
          <w:szCs w:val="19"/>
        </w:rPr>
        <w:t>echenbare</w:t>
      </w:r>
      <w:r w:rsidR="00841446">
        <w:rPr>
          <w:sz w:val="19"/>
          <w:szCs w:val="19"/>
        </w:rPr>
        <w:t>n</w:t>
      </w:r>
      <w:r w:rsidRPr="00EA2F00">
        <w:rPr>
          <w:sz w:val="19"/>
          <w:szCs w:val="19"/>
        </w:rPr>
        <w:t xml:space="preserve"> Kosten, Honorarzone III:             </w:t>
      </w:r>
      <w:r w:rsidR="004E4CA8" w:rsidRPr="00EA2F00">
        <w:rPr>
          <w:sz w:val="19"/>
          <w:szCs w:val="19"/>
        </w:rPr>
        <w:t xml:space="preserve">          </w:t>
      </w:r>
      <w:r w:rsidRPr="00EA2F00">
        <w:rPr>
          <w:sz w:val="19"/>
          <w:szCs w:val="19"/>
        </w:rPr>
        <w:t xml:space="preserve"> </w:t>
      </w:r>
      <w:r w:rsidR="00EA2F00">
        <w:rPr>
          <w:sz w:val="19"/>
          <w:szCs w:val="19"/>
        </w:rPr>
        <w:tab/>
      </w:r>
      <w:r w:rsidR="00EA2F00">
        <w:rPr>
          <w:sz w:val="19"/>
          <w:szCs w:val="19"/>
        </w:rPr>
        <w:tab/>
      </w:r>
      <w:r w:rsidRPr="00C72465">
        <w:rPr>
          <w:sz w:val="19"/>
          <w:szCs w:val="19"/>
        </w:rPr>
        <w:t>17,57 % Steigerung</w:t>
      </w:r>
      <w:r w:rsidRPr="00EA2F00">
        <w:rPr>
          <w:sz w:val="19"/>
          <w:szCs w:val="19"/>
        </w:rPr>
        <w:t>,</w:t>
      </w:r>
    </w:p>
    <w:p w14:paraId="3A60C927" w14:textId="77777777" w:rsidR="00EA2F00" w:rsidRDefault="002F2BE5" w:rsidP="00EA2F00">
      <w:pPr>
        <w:pStyle w:val="Listenabsatz"/>
        <w:numPr>
          <w:ilvl w:val="0"/>
          <w:numId w:val="7"/>
        </w:numPr>
        <w:spacing w:after="0" w:line="312" w:lineRule="auto"/>
        <w:ind w:left="714" w:hanging="357"/>
        <w:contextualSpacing w:val="0"/>
        <w:rPr>
          <w:sz w:val="19"/>
          <w:szCs w:val="19"/>
        </w:rPr>
      </w:pPr>
      <w:r w:rsidRPr="004E4CA8">
        <w:rPr>
          <w:sz w:val="19"/>
          <w:szCs w:val="19"/>
        </w:rPr>
        <w:t xml:space="preserve">Leistungsbild Technische Ausrüstung, Objekt mit 1,0 Mio. € </w:t>
      </w:r>
    </w:p>
    <w:p w14:paraId="676BD683" w14:textId="773A8E07" w:rsidR="00043146" w:rsidRPr="00EA2F00" w:rsidRDefault="002F2BE5" w:rsidP="00EA2F00">
      <w:pPr>
        <w:pStyle w:val="Listenabsatz"/>
        <w:spacing w:after="120" w:line="360" w:lineRule="auto"/>
        <w:contextualSpacing w:val="0"/>
        <w:rPr>
          <w:sz w:val="19"/>
          <w:szCs w:val="19"/>
        </w:rPr>
      </w:pPr>
      <w:r w:rsidRPr="00EA2F00">
        <w:rPr>
          <w:sz w:val="19"/>
          <w:szCs w:val="19"/>
        </w:rPr>
        <w:t>anr</w:t>
      </w:r>
      <w:r w:rsidR="00B30034">
        <w:rPr>
          <w:sz w:val="19"/>
          <w:szCs w:val="19"/>
        </w:rPr>
        <w:t>echenbare</w:t>
      </w:r>
      <w:r w:rsidR="00841446">
        <w:rPr>
          <w:sz w:val="19"/>
          <w:szCs w:val="19"/>
        </w:rPr>
        <w:t>n</w:t>
      </w:r>
      <w:r w:rsidRPr="00EA2F00">
        <w:rPr>
          <w:sz w:val="19"/>
          <w:szCs w:val="19"/>
        </w:rPr>
        <w:t xml:space="preserve"> Kosten, Honorarzone II:       </w:t>
      </w:r>
      <w:r w:rsidR="004E4CA8" w:rsidRPr="00EA2F00">
        <w:rPr>
          <w:sz w:val="19"/>
          <w:szCs w:val="19"/>
        </w:rPr>
        <w:t xml:space="preserve">        </w:t>
      </w:r>
      <w:r w:rsidR="00EA2F00">
        <w:rPr>
          <w:sz w:val="19"/>
          <w:szCs w:val="19"/>
        </w:rPr>
        <w:tab/>
      </w:r>
      <w:r w:rsidR="00EA2F00">
        <w:rPr>
          <w:sz w:val="19"/>
          <w:szCs w:val="19"/>
        </w:rPr>
        <w:tab/>
      </w:r>
      <w:r w:rsidR="00EA2F00">
        <w:rPr>
          <w:sz w:val="19"/>
          <w:szCs w:val="19"/>
        </w:rPr>
        <w:tab/>
      </w:r>
      <w:r w:rsidRPr="00C72465">
        <w:rPr>
          <w:sz w:val="19"/>
          <w:szCs w:val="19"/>
        </w:rPr>
        <w:t>26,70 % Steigerung</w:t>
      </w:r>
      <w:r w:rsidRPr="00EA2F00">
        <w:rPr>
          <w:sz w:val="19"/>
          <w:szCs w:val="19"/>
        </w:rPr>
        <w:t>.</w:t>
      </w:r>
    </w:p>
    <w:p w14:paraId="3089484B" w14:textId="008D5C5F" w:rsidR="004A5B26" w:rsidRDefault="004A5B26" w:rsidP="004E4CA8">
      <w:pPr>
        <w:spacing w:after="120"/>
        <w:rPr>
          <w:sz w:val="36"/>
          <w:szCs w:val="36"/>
        </w:rPr>
      </w:pPr>
    </w:p>
    <w:p w14:paraId="4A1D589E" w14:textId="77777777" w:rsidR="004B49BB" w:rsidRDefault="004B49BB" w:rsidP="004E4CA8">
      <w:pPr>
        <w:spacing w:after="120"/>
        <w:rPr>
          <w:sz w:val="36"/>
          <w:szCs w:val="36"/>
        </w:rPr>
      </w:pPr>
    </w:p>
    <w:p w14:paraId="34543EDB" w14:textId="77777777" w:rsidR="004A5B26" w:rsidRDefault="004A5B26" w:rsidP="004E4CA8">
      <w:pPr>
        <w:spacing w:after="120"/>
        <w:rPr>
          <w:sz w:val="36"/>
          <w:szCs w:val="36"/>
        </w:rPr>
      </w:pPr>
    </w:p>
    <w:p w14:paraId="5D3FB7C5" w14:textId="1DA74023" w:rsidR="00AD688F" w:rsidRPr="00745D10" w:rsidRDefault="00AD688F" w:rsidP="004E4CA8">
      <w:pPr>
        <w:spacing w:after="120"/>
        <w:rPr>
          <w:sz w:val="36"/>
          <w:szCs w:val="36"/>
        </w:rPr>
      </w:pPr>
      <w:r w:rsidRPr="00745D10">
        <w:rPr>
          <w:sz w:val="36"/>
          <w:szCs w:val="36"/>
        </w:rPr>
        <w:t>Verfahren</w:t>
      </w:r>
    </w:p>
    <w:p w14:paraId="7079EA4A" w14:textId="718A0AE2" w:rsidR="00AD688F" w:rsidRPr="004E4CA8" w:rsidRDefault="00AD688F" w:rsidP="004E4CA8">
      <w:pPr>
        <w:spacing w:after="120"/>
        <w:rPr>
          <w:sz w:val="19"/>
          <w:szCs w:val="19"/>
        </w:rPr>
      </w:pPr>
      <w:r w:rsidRPr="004E4CA8">
        <w:rPr>
          <w:sz w:val="19"/>
          <w:szCs w:val="19"/>
        </w:rPr>
        <w:t xml:space="preserve">Im Rahmen dieses Gutachtens wurde zunächst eine </w:t>
      </w:r>
      <w:r w:rsidRPr="000E5F09">
        <w:rPr>
          <w:sz w:val="19"/>
          <w:szCs w:val="19"/>
          <w:u w:val="single"/>
        </w:rPr>
        <w:t>Honorarberechnungsformel</w:t>
      </w:r>
      <w:r w:rsidRPr="004E4CA8">
        <w:rPr>
          <w:sz w:val="19"/>
          <w:szCs w:val="19"/>
        </w:rPr>
        <w:t xml:space="preserve"> entwickelt, die sich grundsätzlich an der Berechnungsformel zur damaligen Entwicklung der Honorartafelwerte der HOAI 2013 orientiert. Diese Berechnungsformel bildet das mathematische Grundgerüst als rechnerische Ausgangsbasis. Sie bildet die Honorartafelwerte der HOAI in der Fassung von 2013 für die jeweiligen Leistungsbilder mit den jeweiligen anrechenbaren Kosten und den jeweiligen Honorarzonen einheitlich rechnerisch ab.</w:t>
      </w:r>
    </w:p>
    <w:p w14:paraId="101DFE0A" w14:textId="42017A4D" w:rsidR="00AD688F" w:rsidRPr="004E4CA8" w:rsidRDefault="00AD688F" w:rsidP="004E4CA8">
      <w:pPr>
        <w:spacing w:after="120"/>
        <w:rPr>
          <w:sz w:val="19"/>
          <w:szCs w:val="19"/>
        </w:rPr>
      </w:pPr>
      <w:r w:rsidRPr="004E4CA8">
        <w:rPr>
          <w:sz w:val="19"/>
          <w:szCs w:val="19"/>
        </w:rPr>
        <w:t xml:space="preserve">Auf dieser Basis wurde die erweiterte </w:t>
      </w:r>
      <w:r w:rsidRPr="000E5F09">
        <w:rPr>
          <w:sz w:val="19"/>
          <w:szCs w:val="19"/>
        </w:rPr>
        <w:t>Honorarberechnungsformel</w:t>
      </w:r>
      <w:r w:rsidRPr="004E4CA8">
        <w:rPr>
          <w:sz w:val="19"/>
          <w:szCs w:val="19"/>
        </w:rPr>
        <w:t xml:space="preserve"> entwickelt, in die in einem </w:t>
      </w:r>
      <w:r w:rsidR="00222932" w:rsidRPr="004E4CA8">
        <w:rPr>
          <w:sz w:val="19"/>
          <w:szCs w:val="19"/>
        </w:rPr>
        <w:t>zweiten</w:t>
      </w:r>
      <w:r w:rsidRPr="004E4CA8">
        <w:rPr>
          <w:sz w:val="19"/>
          <w:szCs w:val="19"/>
        </w:rPr>
        <w:t xml:space="preserve"> Schritt die </w:t>
      </w:r>
      <w:r w:rsidRPr="000E5F09">
        <w:rPr>
          <w:sz w:val="19"/>
          <w:szCs w:val="19"/>
          <w:u w:val="single"/>
        </w:rPr>
        <w:t>Einflussfaktoren</w:t>
      </w:r>
      <w:r w:rsidR="00222932" w:rsidRPr="004E4CA8">
        <w:rPr>
          <w:sz w:val="19"/>
          <w:szCs w:val="19"/>
        </w:rPr>
        <w:t>:</w:t>
      </w:r>
    </w:p>
    <w:p w14:paraId="69A78180" w14:textId="752B723D" w:rsidR="00AD688F" w:rsidRPr="004E4CA8" w:rsidRDefault="00AD688F" w:rsidP="004E4CA8">
      <w:pPr>
        <w:pStyle w:val="Listenabsatz"/>
        <w:numPr>
          <w:ilvl w:val="0"/>
          <w:numId w:val="4"/>
        </w:numPr>
        <w:spacing w:after="120"/>
        <w:ind w:left="714" w:hanging="357"/>
        <w:rPr>
          <w:sz w:val="19"/>
          <w:szCs w:val="19"/>
        </w:rPr>
      </w:pPr>
      <w:r w:rsidRPr="004E4CA8">
        <w:rPr>
          <w:sz w:val="19"/>
          <w:szCs w:val="19"/>
        </w:rPr>
        <w:t>Baupreisentwicklung,</w:t>
      </w:r>
    </w:p>
    <w:p w14:paraId="5A1FEA5C" w14:textId="27C2A8EE" w:rsidR="00AD688F" w:rsidRPr="004E4CA8" w:rsidRDefault="00AD688F" w:rsidP="004E4CA8">
      <w:pPr>
        <w:pStyle w:val="Listenabsatz"/>
        <w:numPr>
          <w:ilvl w:val="0"/>
          <w:numId w:val="4"/>
        </w:numPr>
        <w:spacing w:after="120"/>
        <w:ind w:left="714" w:hanging="357"/>
        <w:rPr>
          <w:sz w:val="19"/>
          <w:szCs w:val="19"/>
        </w:rPr>
      </w:pPr>
      <w:r w:rsidRPr="004E4CA8">
        <w:rPr>
          <w:sz w:val="19"/>
          <w:szCs w:val="19"/>
        </w:rPr>
        <w:t>Rationalisierung,</w:t>
      </w:r>
    </w:p>
    <w:p w14:paraId="156EA39E" w14:textId="4B1CCDEE" w:rsidR="00AD688F" w:rsidRPr="004E4CA8" w:rsidRDefault="00AD688F" w:rsidP="004E4CA8">
      <w:pPr>
        <w:pStyle w:val="Listenabsatz"/>
        <w:numPr>
          <w:ilvl w:val="0"/>
          <w:numId w:val="4"/>
        </w:numPr>
        <w:spacing w:after="120"/>
        <w:ind w:left="714" w:hanging="357"/>
        <w:rPr>
          <w:sz w:val="19"/>
          <w:szCs w:val="19"/>
        </w:rPr>
      </w:pPr>
      <w:r w:rsidRPr="004E4CA8">
        <w:rPr>
          <w:sz w:val="19"/>
          <w:szCs w:val="19"/>
        </w:rPr>
        <w:t>Mehr- oder Minderaufwand durch rechtliche und technisch-fachlicher Anforderungen,</w:t>
      </w:r>
    </w:p>
    <w:p w14:paraId="50878FDB" w14:textId="2B14F67C" w:rsidR="00AD688F" w:rsidRPr="004E4CA8" w:rsidRDefault="00AD688F" w:rsidP="004E4CA8">
      <w:pPr>
        <w:pStyle w:val="Listenabsatz"/>
        <w:numPr>
          <w:ilvl w:val="0"/>
          <w:numId w:val="4"/>
        </w:numPr>
        <w:spacing w:after="120"/>
        <w:ind w:left="714" w:hanging="357"/>
        <w:rPr>
          <w:sz w:val="19"/>
          <w:szCs w:val="19"/>
        </w:rPr>
      </w:pPr>
      <w:r w:rsidRPr="004E4CA8">
        <w:rPr>
          <w:sz w:val="19"/>
          <w:szCs w:val="19"/>
        </w:rPr>
        <w:t>Kostenentwicklung in Planungsbüros (Personal- und Sachkosten)</w:t>
      </w:r>
    </w:p>
    <w:p w14:paraId="441CE973" w14:textId="790307A5" w:rsidR="00AD688F" w:rsidRPr="004E4CA8" w:rsidRDefault="00AD688F" w:rsidP="004E4CA8">
      <w:pPr>
        <w:spacing w:after="120"/>
        <w:rPr>
          <w:sz w:val="19"/>
          <w:szCs w:val="19"/>
        </w:rPr>
      </w:pPr>
      <w:r w:rsidRPr="004E4CA8">
        <w:rPr>
          <w:sz w:val="19"/>
          <w:szCs w:val="19"/>
        </w:rPr>
        <w:t>integriert w</w:t>
      </w:r>
      <w:r w:rsidR="005F4108" w:rsidRPr="004E4CA8">
        <w:rPr>
          <w:sz w:val="19"/>
          <w:szCs w:val="19"/>
        </w:rPr>
        <w:t>u</w:t>
      </w:r>
      <w:r w:rsidRPr="004E4CA8">
        <w:rPr>
          <w:sz w:val="19"/>
          <w:szCs w:val="19"/>
        </w:rPr>
        <w:t xml:space="preserve">rden. Diese erweiterte Formel entspricht in den grundlegenden mathematischen Zusammenhängen der Honorarformel, die auch bei der Entwicklung der Honorartafelwerte im Jahre 2013 zugrunde gelegt wurden, jedoch mit verschiedenen rechnerischen Modernisierungen. </w:t>
      </w:r>
    </w:p>
    <w:p w14:paraId="73C195E6" w14:textId="4F27128A" w:rsidR="007B78F4" w:rsidRPr="004E4CA8" w:rsidRDefault="00AD688F" w:rsidP="004E4CA8">
      <w:pPr>
        <w:spacing w:after="120"/>
        <w:rPr>
          <w:sz w:val="19"/>
          <w:szCs w:val="19"/>
        </w:rPr>
      </w:pPr>
      <w:r w:rsidRPr="004E4CA8">
        <w:rPr>
          <w:sz w:val="19"/>
          <w:szCs w:val="19"/>
        </w:rPr>
        <w:t xml:space="preserve">So wurde bei der nunmehr entwickelten Honorarformel zwischen kleineren und größeren Projekten (anhand von 2 Referenzwerten) unterschieden, um herauszuarbeiten, ob und inwieweit eine verhältnisgerechte Entwicklung der Einflussgrößen </w:t>
      </w:r>
      <w:proofErr w:type="gramStart"/>
      <w:r w:rsidRPr="004E4CA8">
        <w:rPr>
          <w:sz w:val="19"/>
          <w:szCs w:val="19"/>
        </w:rPr>
        <w:t>verfeinert</w:t>
      </w:r>
      <w:proofErr w:type="gramEnd"/>
      <w:r w:rsidRPr="004E4CA8">
        <w:rPr>
          <w:sz w:val="19"/>
          <w:szCs w:val="19"/>
        </w:rPr>
        <w:t xml:space="preserve"> abgebildet werden kann. </w:t>
      </w:r>
    </w:p>
    <w:p w14:paraId="13EE27D6" w14:textId="54A16786" w:rsidR="00AD688F" w:rsidRPr="004E4CA8" w:rsidRDefault="00AD688F" w:rsidP="004E4CA8">
      <w:pPr>
        <w:spacing w:after="120"/>
        <w:rPr>
          <w:sz w:val="19"/>
          <w:szCs w:val="19"/>
        </w:rPr>
      </w:pPr>
      <w:r w:rsidRPr="004E4CA8">
        <w:rPr>
          <w:sz w:val="19"/>
          <w:szCs w:val="19"/>
        </w:rPr>
        <w:t xml:space="preserve">Darüber hinaus ist die Honorarberechnungsformel aktualisiert worden, </w:t>
      </w:r>
      <w:r w:rsidR="007B78F4" w:rsidRPr="004E4CA8">
        <w:rPr>
          <w:sz w:val="19"/>
          <w:szCs w:val="19"/>
        </w:rPr>
        <w:t>da</w:t>
      </w:r>
      <w:r w:rsidRPr="004E4CA8">
        <w:rPr>
          <w:sz w:val="19"/>
          <w:szCs w:val="19"/>
        </w:rPr>
        <w:t xml:space="preserve"> die Ausgangsparameter der rechnerischen Zusammenhänge bei den Honorar</w:t>
      </w:r>
      <w:r w:rsidR="00655A32">
        <w:rPr>
          <w:sz w:val="19"/>
          <w:szCs w:val="19"/>
        </w:rPr>
        <w:t>t</w:t>
      </w:r>
      <w:r w:rsidRPr="004E4CA8">
        <w:rPr>
          <w:sz w:val="19"/>
          <w:szCs w:val="19"/>
        </w:rPr>
        <w:t xml:space="preserve">afelwerten der HOAI 2013 andere sind als bei den noch älteren Honorar Tafelwerten, die dem sog. BMWI-Gutachten </w:t>
      </w:r>
      <w:r w:rsidR="00BC6CC4" w:rsidRPr="004E4CA8">
        <w:rPr>
          <w:sz w:val="19"/>
          <w:szCs w:val="19"/>
        </w:rPr>
        <w:t xml:space="preserve">2013 </w:t>
      </w:r>
      <w:r w:rsidRPr="004E4CA8">
        <w:rPr>
          <w:sz w:val="19"/>
          <w:szCs w:val="19"/>
        </w:rPr>
        <w:t>zugrunde lagen.</w:t>
      </w:r>
    </w:p>
    <w:p w14:paraId="327AEC2C" w14:textId="63878177" w:rsidR="00AD688F" w:rsidRPr="004E4CA8" w:rsidRDefault="00AD688F" w:rsidP="004E4CA8">
      <w:pPr>
        <w:spacing w:after="120"/>
        <w:rPr>
          <w:sz w:val="19"/>
          <w:szCs w:val="19"/>
        </w:rPr>
      </w:pPr>
      <w:r w:rsidRPr="004E4CA8">
        <w:rPr>
          <w:sz w:val="19"/>
          <w:szCs w:val="19"/>
        </w:rPr>
        <w:t>Die aktuelle Formel ist im Gutachten abgebildet und hinsichtlich ihrer Formelparameter erläutert.</w:t>
      </w:r>
    </w:p>
    <w:p w14:paraId="33DB0D67" w14:textId="5D7647BB" w:rsidR="00BC6CC4" w:rsidRPr="004E4CA8" w:rsidRDefault="00AD688F" w:rsidP="004E4CA8">
      <w:pPr>
        <w:spacing w:after="120"/>
        <w:rPr>
          <w:sz w:val="19"/>
          <w:szCs w:val="19"/>
        </w:rPr>
      </w:pPr>
      <w:r w:rsidRPr="004E4CA8">
        <w:rPr>
          <w:sz w:val="19"/>
          <w:szCs w:val="19"/>
        </w:rPr>
        <w:t xml:space="preserve">Auf dieser Grundlage wurde anschließend eine </w:t>
      </w:r>
      <w:r w:rsidRPr="005071A8">
        <w:rPr>
          <w:sz w:val="19"/>
          <w:szCs w:val="19"/>
          <w:u w:val="single"/>
        </w:rPr>
        <w:t>Umfrage bei Anwendern</w:t>
      </w:r>
      <w:r w:rsidRPr="004E4CA8">
        <w:rPr>
          <w:sz w:val="19"/>
          <w:szCs w:val="19"/>
        </w:rPr>
        <w:t xml:space="preserve"> der HOAI (im </w:t>
      </w:r>
      <w:r w:rsidR="001277BF" w:rsidRPr="004E4CA8">
        <w:rPr>
          <w:sz w:val="19"/>
          <w:szCs w:val="19"/>
        </w:rPr>
        <w:t>W</w:t>
      </w:r>
      <w:r w:rsidRPr="004E4CA8">
        <w:rPr>
          <w:sz w:val="19"/>
          <w:szCs w:val="19"/>
        </w:rPr>
        <w:t>esentlichen Ingenieurbüros und Architekturbüros) durchgeführt. Mit der Umfrage wurden die oben erwähnten Einflussfaktoren jedoch ohne den Faktor Baukostenentwicklung abgefragt.</w:t>
      </w:r>
    </w:p>
    <w:p w14:paraId="4397B031" w14:textId="1665EC67" w:rsidR="00043146" w:rsidRPr="004E4CA8" w:rsidRDefault="00AD688F" w:rsidP="004E4CA8">
      <w:pPr>
        <w:spacing w:after="120"/>
        <w:rPr>
          <w:sz w:val="19"/>
          <w:szCs w:val="19"/>
        </w:rPr>
      </w:pPr>
      <w:r w:rsidRPr="004E4CA8">
        <w:rPr>
          <w:sz w:val="19"/>
          <w:szCs w:val="19"/>
        </w:rPr>
        <w:t>Der Einflussfaktor Baukostenentwicklung wurde den entsprechenden Angaben des statistischen Bundesamtes in Wiesbaden entnommen</w:t>
      </w:r>
      <w:r w:rsidR="00D74361">
        <w:rPr>
          <w:sz w:val="19"/>
          <w:szCs w:val="19"/>
        </w:rPr>
        <w:t>.</w:t>
      </w:r>
    </w:p>
    <w:p w14:paraId="63551E5A" w14:textId="6261A456" w:rsidR="00D74361" w:rsidRPr="004E4CA8" w:rsidRDefault="00AD688F" w:rsidP="004E4CA8">
      <w:pPr>
        <w:spacing w:after="120"/>
        <w:rPr>
          <w:sz w:val="19"/>
          <w:szCs w:val="19"/>
        </w:rPr>
      </w:pPr>
      <w:r w:rsidRPr="004E4CA8">
        <w:rPr>
          <w:sz w:val="19"/>
          <w:szCs w:val="19"/>
        </w:rPr>
        <w:t xml:space="preserve">Die Umfrageergebnisse wurden im Rahmen einer Einschätzung zu den Einflussfaktoren durchgeführt. Von ca. 5.400 </w:t>
      </w:r>
      <w:r w:rsidR="001277BF" w:rsidRPr="004E4CA8">
        <w:rPr>
          <w:sz w:val="19"/>
          <w:szCs w:val="19"/>
        </w:rPr>
        <w:t>b</w:t>
      </w:r>
      <w:r w:rsidRPr="004E4CA8">
        <w:rPr>
          <w:sz w:val="19"/>
          <w:szCs w:val="19"/>
        </w:rPr>
        <w:t xml:space="preserve">efragten Ingenieurbüros und Architekturbüros kamen insgesamt </w:t>
      </w:r>
      <w:r w:rsidRPr="00655A32">
        <w:rPr>
          <w:sz w:val="19"/>
          <w:szCs w:val="19"/>
          <w:u w:val="single"/>
        </w:rPr>
        <w:t>555 Antworten</w:t>
      </w:r>
      <w:r w:rsidRPr="004E4CA8">
        <w:rPr>
          <w:sz w:val="19"/>
          <w:szCs w:val="19"/>
        </w:rPr>
        <w:t xml:space="preserve"> zurück. Im Verhältnis zur Umfrage bei Wahlprognosen, kann man hier ebenfalls von einem stabilen Umfrageergebnis ausgehen.</w:t>
      </w:r>
    </w:p>
    <w:p w14:paraId="4A6B867E" w14:textId="77777777" w:rsidR="00AD688F" w:rsidRPr="004E4CA8" w:rsidRDefault="00AD688F" w:rsidP="004E4CA8">
      <w:pPr>
        <w:spacing w:after="120"/>
        <w:rPr>
          <w:sz w:val="19"/>
          <w:szCs w:val="19"/>
        </w:rPr>
      </w:pPr>
      <w:r w:rsidRPr="004E4CA8">
        <w:rPr>
          <w:sz w:val="19"/>
          <w:szCs w:val="19"/>
        </w:rPr>
        <w:t xml:space="preserve">Die Umfrageergebnisse betreffend der Einflussfaktoren </w:t>
      </w:r>
    </w:p>
    <w:p w14:paraId="1A135BE7" w14:textId="55B949F1" w:rsidR="00AD688F" w:rsidRPr="004E4CA8" w:rsidRDefault="00AD688F" w:rsidP="004E4CA8">
      <w:pPr>
        <w:pStyle w:val="Listenabsatz"/>
        <w:numPr>
          <w:ilvl w:val="0"/>
          <w:numId w:val="5"/>
        </w:numPr>
        <w:spacing w:after="120"/>
        <w:ind w:left="714" w:hanging="357"/>
        <w:rPr>
          <w:sz w:val="19"/>
          <w:szCs w:val="19"/>
        </w:rPr>
      </w:pPr>
      <w:r w:rsidRPr="004E4CA8">
        <w:rPr>
          <w:sz w:val="19"/>
          <w:szCs w:val="19"/>
        </w:rPr>
        <w:t xml:space="preserve">Rationalisierung, </w:t>
      </w:r>
    </w:p>
    <w:p w14:paraId="73B9755F" w14:textId="19A02D09" w:rsidR="00AD688F" w:rsidRPr="004E4CA8" w:rsidRDefault="00AD688F" w:rsidP="004E4CA8">
      <w:pPr>
        <w:pStyle w:val="Listenabsatz"/>
        <w:numPr>
          <w:ilvl w:val="0"/>
          <w:numId w:val="5"/>
        </w:numPr>
        <w:spacing w:after="120"/>
        <w:ind w:left="714" w:hanging="357"/>
        <w:rPr>
          <w:sz w:val="19"/>
          <w:szCs w:val="19"/>
        </w:rPr>
      </w:pPr>
      <w:r w:rsidRPr="004E4CA8">
        <w:rPr>
          <w:sz w:val="19"/>
          <w:szCs w:val="19"/>
        </w:rPr>
        <w:t xml:space="preserve">Mehr- oder Minderaufwand durch rechtliche und technisch-fachlicher Anforderungen, </w:t>
      </w:r>
    </w:p>
    <w:p w14:paraId="2CD8B027" w14:textId="4A2EC3E5" w:rsidR="00AD688F" w:rsidRPr="004E4CA8" w:rsidRDefault="00AD688F" w:rsidP="004E4CA8">
      <w:pPr>
        <w:pStyle w:val="Listenabsatz"/>
        <w:numPr>
          <w:ilvl w:val="0"/>
          <w:numId w:val="5"/>
        </w:numPr>
        <w:spacing w:after="120"/>
        <w:ind w:left="714" w:hanging="357"/>
        <w:rPr>
          <w:sz w:val="19"/>
          <w:szCs w:val="19"/>
        </w:rPr>
      </w:pPr>
      <w:r w:rsidRPr="004E4CA8">
        <w:rPr>
          <w:sz w:val="19"/>
          <w:szCs w:val="19"/>
        </w:rPr>
        <w:t>Kostenentwicklung i</w:t>
      </w:r>
      <w:r w:rsidR="00A5076B" w:rsidRPr="004E4CA8">
        <w:rPr>
          <w:sz w:val="19"/>
          <w:szCs w:val="19"/>
        </w:rPr>
        <w:t>n</w:t>
      </w:r>
      <w:r w:rsidRPr="004E4CA8">
        <w:rPr>
          <w:sz w:val="19"/>
          <w:szCs w:val="19"/>
        </w:rPr>
        <w:t xml:space="preserve"> Planungsbüros (Personal- und Sachkosten) in Form einer Einschätzung der einzelnen Marktteilnehmer abgefragt</w:t>
      </w:r>
    </w:p>
    <w:p w14:paraId="0FEA9EB7" w14:textId="77777777" w:rsidR="00AD688F" w:rsidRPr="004E4CA8" w:rsidRDefault="00AD688F" w:rsidP="004E4CA8">
      <w:pPr>
        <w:spacing w:after="120"/>
        <w:rPr>
          <w:sz w:val="19"/>
          <w:szCs w:val="19"/>
        </w:rPr>
      </w:pPr>
      <w:r w:rsidRPr="004E4CA8">
        <w:rPr>
          <w:sz w:val="19"/>
          <w:szCs w:val="19"/>
        </w:rPr>
        <w:t>wurden in die Formeln eingestellt und ergaben damit die Honorartafelwerte, die als Anhaltswerte dem Gutachten beigefügt sind.</w:t>
      </w:r>
    </w:p>
    <w:p w14:paraId="4272494F" w14:textId="1EFC1D9E" w:rsidR="00FA3BD4" w:rsidRDefault="00FA3BD4" w:rsidP="004E4CA8">
      <w:pPr>
        <w:spacing w:after="120"/>
        <w:rPr>
          <w:sz w:val="19"/>
          <w:szCs w:val="19"/>
        </w:rPr>
      </w:pPr>
    </w:p>
    <w:p w14:paraId="490909DE" w14:textId="7ACC70D2" w:rsidR="004A5B26" w:rsidRDefault="004A5B26" w:rsidP="004E4CA8">
      <w:pPr>
        <w:spacing w:after="120"/>
        <w:rPr>
          <w:sz w:val="19"/>
          <w:szCs w:val="19"/>
        </w:rPr>
      </w:pPr>
    </w:p>
    <w:p w14:paraId="10112D11" w14:textId="7DFA938E" w:rsidR="004A5B26" w:rsidRDefault="004A5B26" w:rsidP="004E4CA8">
      <w:pPr>
        <w:spacing w:after="120"/>
        <w:rPr>
          <w:sz w:val="19"/>
          <w:szCs w:val="19"/>
        </w:rPr>
      </w:pPr>
    </w:p>
    <w:p w14:paraId="10FB9923" w14:textId="1F2E9295" w:rsidR="004A5B26" w:rsidRDefault="004A5B26" w:rsidP="004E4CA8">
      <w:pPr>
        <w:spacing w:after="120"/>
        <w:rPr>
          <w:sz w:val="19"/>
          <w:szCs w:val="19"/>
        </w:rPr>
      </w:pPr>
    </w:p>
    <w:p w14:paraId="58BA20D0" w14:textId="7789BEB9" w:rsidR="004A5B26" w:rsidRDefault="004A5B26" w:rsidP="004E4CA8">
      <w:pPr>
        <w:spacing w:after="120"/>
        <w:rPr>
          <w:sz w:val="19"/>
          <w:szCs w:val="19"/>
        </w:rPr>
      </w:pPr>
    </w:p>
    <w:p w14:paraId="7A66C660" w14:textId="7D291C41" w:rsidR="004A5B26" w:rsidRDefault="004A5B26" w:rsidP="004E4CA8">
      <w:pPr>
        <w:spacing w:after="120"/>
        <w:rPr>
          <w:sz w:val="19"/>
          <w:szCs w:val="19"/>
        </w:rPr>
      </w:pPr>
    </w:p>
    <w:p w14:paraId="2D2DF0A3" w14:textId="77777777" w:rsidR="002D77A8" w:rsidRPr="004E4CA8" w:rsidRDefault="002D77A8" w:rsidP="004E4CA8">
      <w:pPr>
        <w:spacing w:after="120"/>
        <w:rPr>
          <w:sz w:val="19"/>
          <w:szCs w:val="19"/>
        </w:rPr>
      </w:pPr>
    </w:p>
    <w:p w14:paraId="040D0742" w14:textId="3FCD4139" w:rsidR="00AD688F" w:rsidRPr="004E4CA8" w:rsidRDefault="00AD688F" w:rsidP="004E4CA8">
      <w:pPr>
        <w:spacing w:after="120"/>
        <w:rPr>
          <w:b/>
          <w:bCs/>
          <w:sz w:val="19"/>
          <w:szCs w:val="19"/>
          <w:u w:val="single"/>
        </w:rPr>
      </w:pPr>
      <w:r w:rsidRPr="004E4CA8">
        <w:rPr>
          <w:b/>
          <w:bCs/>
          <w:sz w:val="19"/>
          <w:szCs w:val="19"/>
          <w:u w:val="single"/>
        </w:rPr>
        <w:t>Weiteres Gutachtenergebnis</w:t>
      </w:r>
    </w:p>
    <w:p w14:paraId="02DC2CB9" w14:textId="77777777" w:rsidR="00AD688F" w:rsidRPr="004E4CA8" w:rsidRDefault="00AD688F" w:rsidP="004E4CA8">
      <w:pPr>
        <w:spacing w:after="120"/>
        <w:rPr>
          <w:sz w:val="19"/>
          <w:szCs w:val="19"/>
        </w:rPr>
      </w:pPr>
      <w:r w:rsidRPr="004E4CA8">
        <w:rPr>
          <w:sz w:val="19"/>
          <w:szCs w:val="19"/>
        </w:rPr>
        <w:t xml:space="preserve">Als weiteren Aspekt dieses Gutachtens haben wir die Frage klären lassen, ob eine Steigerung der Baukosten die gestiegenen Aufwendungen bei den Planungsbüros ausgleichen kann oder nicht. </w:t>
      </w:r>
    </w:p>
    <w:p w14:paraId="53AC5C18" w14:textId="77777777" w:rsidR="00AD688F" w:rsidRPr="004E4CA8" w:rsidRDefault="00AD688F" w:rsidP="004E4CA8">
      <w:pPr>
        <w:spacing w:after="120"/>
        <w:rPr>
          <w:sz w:val="19"/>
          <w:szCs w:val="19"/>
        </w:rPr>
      </w:pPr>
      <w:r w:rsidRPr="004E4CA8">
        <w:rPr>
          <w:sz w:val="19"/>
          <w:szCs w:val="19"/>
        </w:rPr>
        <w:t>Die eindeutige Antwort ist, dass Baukostensteigerungen in keinem Zusammenhang mit den Steigerungen bei den Bürokosten und bei dem Mehraufwand stehen. Auch inhaltlich bzw. kalkulatorisch bestehen hier keine rechnerischen Zusammenhänge.</w:t>
      </w:r>
    </w:p>
    <w:p w14:paraId="0F4F562F" w14:textId="77777777" w:rsidR="00F74E86" w:rsidRPr="004E4CA8" w:rsidRDefault="00F74E86" w:rsidP="004E4CA8">
      <w:pPr>
        <w:spacing w:after="120"/>
        <w:rPr>
          <w:sz w:val="19"/>
          <w:szCs w:val="19"/>
        </w:rPr>
      </w:pPr>
    </w:p>
    <w:p w14:paraId="085C77B6" w14:textId="4D46FD98" w:rsidR="00AD688F" w:rsidRPr="004E4CA8" w:rsidRDefault="00AD688F" w:rsidP="004E4CA8">
      <w:pPr>
        <w:spacing w:after="120"/>
        <w:rPr>
          <w:b/>
          <w:bCs/>
          <w:sz w:val="19"/>
          <w:szCs w:val="19"/>
          <w:u w:val="single"/>
        </w:rPr>
      </w:pPr>
      <w:r w:rsidRPr="004E4CA8">
        <w:rPr>
          <w:b/>
          <w:bCs/>
          <w:sz w:val="19"/>
          <w:szCs w:val="19"/>
          <w:u w:val="single"/>
        </w:rPr>
        <w:t>Vergabeverfahren öffentliche</w:t>
      </w:r>
      <w:r w:rsidR="00CB03D3" w:rsidRPr="004E4CA8">
        <w:rPr>
          <w:b/>
          <w:bCs/>
          <w:sz w:val="19"/>
          <w:szCs w:val="19"/>
          <w:u w:val="single"/>
        </w:rPr>
        <w:t>r Auftraggeber</w:t>
      </w:r>
    </w:p>
    <w:p w14:paraId="5E6925FB" w14:textId="514B695D" w:rsidR="00AD688F" w:rsidRPr="004E4CA8" w:rsidRDefault="00AD688F" w:rsidP="004E4CA8">
      <w:pPr>
        <w:spacing w:after="120"/>
        <w:rPr>
          <w:sz w:val="19"/>
          <w:szCs w:val="19"/>
        </w:rPr>
      </w:pPr>
      <w:r w:rsidRPr="004E4CA8">
        <w:rPr>
          <w:sz w:val="19"/>
          <w:szCs w:val="19"/>
        </w:rPr>
        <w:t>Mit diesem Gutachten können auch Fragen der Angemessenheit der Honorare gewürdigt werden. Denn es ist derzeit vermehrt zu beobachten, dass nicht unerhebliche Unterschreitungen der Basis</w:t>
      </w:r>
      <w:r w:rsidR="00EF68EB" w:rsidRPr="004E4CA8">
        <w:rPr>
          <w:sz w:val="19"/>
          <w:szCs w:val="19"/>
        </w:rPr>
        <w:t>-</w:t>
      </w:r>
      <w:r w:rsidRPr="004E4CA8">
        <w:rPr>
          <w:sz w:val="19"/>
          <w:szCs w:val="19"/>
        </w:rPr>
        <w:t xml:space="preserve">Honorarsätze (ehemalige Mindestsätze) das Preisgefüge bei Planungsleistungen bei </w:t>
      </w:r>
      <w:r w:rsidR="003D0E31">
        <w:rPr>
          <w:sz w:val="19"/>
          <w:szCs w:val="19"/>
        </w:rPr>
        <w:t xml:space="preserve">öffentlichen </w:t>
      </w:r>
      <w:r w:rsidRPr="004E4CA8">
        <w:rPr>
          <w:sz w:val="19"/>
          <w:szCs w:val="19"/>
        </w:rPr>
        <w:t>V</w:t>
      </w:r>
      <w:r w:rsidR="003D0E31">
        <w:rPr>
          <w:sz w:val="19"/>
          <w:szCs w:val="19"/>
        </w:rPr>
        <w:t>ergabev</w:t>
      </w:r>
      <w:r w:rsidRPr="004E4CA8">
        <w:rPr>
          <w:sz w:val="19"/>
          <w:szCs w:val="19"/>
        </w:rPr>
        <w:t xml:space="preserve">erfahren </w:t>
      </w:r>
      <w:r w:rsidR="00B974A9">
        <w:rPr>
          <w:sz w:val="19"/>
          <w:szCs w:val="19"/>
        </w:rPr>
        <w:t xml:space="preserve">gemäß VGV </w:t>
      </w:r>
      <w:r w:rsidRPr="004E4CA8">
        <w:rPr>
          <w:sz w:val="19"/>
          <w:szCs w:val="19"/>
        </w:rPr>
        <w:t>so drücken, dass die hohe Planungsqualität, die uns bislang auszeichnet, durchaus gefährdet wird. Das gilt insbesondere vor dem Hintergrund, dass etwaige Fragestellungen zur Angemessenheit von Honoraren in kurzer Frist während des Vergabeverfahrens zu klären sind.</w:t>
      </w:r>
    </w:p>
    <w:p w14:paraId="20A3C666" w14:textId="77777777" w:rsidR="00F74E86" w:rsidRPr="004E4CA8" w:rsidRDefault="00F74E86" w:rsidP="004E4CA8">
      <w:pPr>
        <w:spacing w:after="120"/>
        <w:rPr>
          <w:sz w:val="19"/>
          <w:szCs w:val="19"/>
        </w:rPr>
      </w:pPr>
    </w:p>
    <w:p w14:paraId="68A5B189" w14:textId="398BE4B3" w:rsidR="00915519" w:rsidRPr="004E4CA8" w:rsidRDefault="00EA49F8" w:rsidP="004E4CA8">
      <w:pPr>
        <w:spacing w:after="120"/>
        <w:rPr>
          <w:b/>
          <w:bCs/>
          <w:sz w:val="19"/>
          <w:szCs w:val="19"/>
          <w:u w:val="single"/>
        </w:rPr>
      </w:pPr>
      <w:r w:rsidRPr="004E4CA8">
        <w:rPr>
          <w:b/>
          <w:bCs/>
          <w:sz w:val="19"/>
          <w:szCs w:val="19"/>
          <w:u w:val="single"/>
        </w:rPr>
        <w:t>Kontakt</w:t>
      </w:r>
      <w:r w:rsidR="00915519" w:rsidRPr="004E4CA8">
        <w:rPr>
          <w:b/>
          <w:bCs/>
          <w:sz w:val="19"/>
          <w:szCs w:val="19"/>
          <w:u w:val="single"/>
        </w:rPr>
        <w:t>e</w:t>
      </w:r>
    </w:p>
    <w:p w14:paraId="653048FE" w14:textId="056A9906" w:rsidR="004A1A07" w:rsidRPr="004E4CA8" w:rsidRDefault="00FA3BD4" w:rsidP="00FF2585">
      <w:pPr>
        <w:spacing w:after="0"/>
        <w:rPr>
          <w:sz w:val="19"/>
          <w:szCs w:val="19"/>
        </w:rPr>
      </w:pPr>
      <w:r w:rsidRPr="004E4CA8">
        <w:rPr>
          <w:sz w:val="19"/>
          <w:szCs w:val="19"/>
        </w:rPr>
        <w:t>IWW Institut für Wissen in der Wirtschaft</w:t>
      </w:r>
      <w:r w:rsidR="00F74E86" w:rsidRPr="004E4CA8">
        <w:rPr>
          <w:sz w:val="19"/>
          <w:szCs w:val="19"/>
        </w:rPr>
        <w:tab/>
      </w:r>
      <w:r w:rsidR="00F74E86" w:rsidRPr="004E4CA8">
        <w:rPr>
          <w:sz w:val="19"/>
          <w:szCs w:val="19"/>
        </w:rPr>
        <w:tab/>
      </w:r>
      <w:r w:rsidR="00FF2585">
        <w:rPr>
          <w:sz w:val="19"/>
          <w:szCs w:val="19"/>
        </w:rPr>
        <w:tab/>
      </w:r>
      <w:r w:rsidR="00975C26">
        <w:rPr>
          <w:sz w:val="19"/>
          <w:szCs w:val="19"/>
        </w:rPr>
        <w:tab/>
      </w:r>
      <w:r w:rsidR="00F74E86" w:rsidRPr="004E4CA8">
        <w:rPr>
          <w:sz w:val="19"/>
          <w:szCs w:val="19"/>
        </w:rPr>
        <w:t>Verband Beratender Ingenieure VBI</w:t>
      </w:r>
    </w:p>
    <w:p w14:paraId="7EE2EC51" w14:textId="657D23DD" w:rsidR="00636EBC" w:rsidRDefault="0060244C" w:rsidP="00FF2585">
      <w:pPr>
        <w:spacing w:after="0"/>
        <w:rPr>
          <w:sz w:val="19"/>
          <w:szCs w:val="19"/>
        </w:rPr>
      </w:pPr>
      <w:r w:rsidRPr="004E4CA8">
        <w:rPr>
          <w:sz w:val="19"/>
          <w:szCs w:val="19"/>
        </w:rPr>
        <w:t>Günter Göbel, Chefredakteur</w:t>
      </w:r>
      <w:r w:rsidR="00F74E86" w:rsidRPr="004E4CA8">
        <w:rPr>
          <w:sz w:val="19"/>
          <w:szCs w:val="19"/>
        </w:rPr>
        <w:t xml:space="preserve"> </w:t>
      </w:r>
      <w:r w:rsidR="00636EBC">
        <w:rPr>
          <w:sz w:val="19"/>
          <w:szCs w:val="19"/>
        </w:rPr>
        <w:t>IWW / Planungsbüro</w:t>
      </w:r>
      <w:r w:rsidR="00636EBC" w:rsidRPr="00636EBC">
        <w:rPr>
          <w:sz w:val="19"/>
          <w:szCs w:val="19"/>
        </w:rPr>
        <w:t xml:space="preserve"> </w:t>
      </w:r>
      <w:r w:rsidR="00636EBC">
        <w:rPr>
          <w:sz w:val="19"/>
          <w:szCs w:val="19"/>
        </w:rPr>
        <w:tab/>
      </w:r>
      <w:r w:rsidR="00975C26">
        <w:rPr>
          <w:sz w:val="19"/>
          <w:szCs w:val="19"/>
        </w:rPr>
        <w:tab/>
      </w:r>
      <w:r w:rsidR="00975C26">
        <w:rPr>
          <w:sz w:val="19"/>
          <w:szCs w:val="19"/>
        </w:rPr>
        <w:tab/>
      </w:r>
      <w:r w:rsidR="00636EBC" w:rsidRPr="004E4CA8">
        <w:rPr>
          <w:sz w:val="19"/>
          <w:szCs w:val="19"/>
        </w:rPr>
        <w:t>Sascha Steuer, Leiter Kommunikation</w:t>
      </w:r>
    </w:p>
    <w:p w14:paraId="093A57F5" w14:textId="69EAE695" w:rsidR="0060244C" w:rsidRPr="004E4CA8" w:rsidRDefault="00636EBC" w:rsidP="00FF2585">
      <w:pPr>
        <w:spacing w:after="0"/>
        <w:rPr>
          <w:sz w:val="19"/>
          <w:szCs w:val="19"/>
        </w:rPr>
      </w:pPr>
      <w:r>
        <w:rPr>
          <w:sz w:val="19"/>
          <w:szCs w:val="19"/>
        </w:rPr>
        <w:t>Professionell</w:t>
      </w:r>
      <w:r>
        <w:rPr>
          <w:sz w:val="19"/>
          <w:szCs w:val="19"/>
        </w:rPr>
        <w:tab/>
      </w:r>
      <w:r w:rsidR="00F74E86" w:rsidRPr="004E4CA8">
        <w:rPr>
          <w:sz w:val="19"/>
          <w:szCs w:val="19"/>
        </w:rPr>
        <w:tab/>
      </w:r>
      <w:r w:rsidR="00F74E86" w:rsidRPr="004E4CA8">
        <w:rPr>
          <w:sz w:val="19"/>
          <w:szCs w:val="19"/>
        </w:rPr>
        <w:tab/>
      </w:r>
      <w:r w:rsidR="00F74E86" w:rsidRPr="004E4CA8">
        <w:rPr>
          <w:sz w:val="19"/>
          <w:szCs w:val="19"/>
        </w:rPr>
        <w:tab/>
      </w:r>
      <w:r w:rsidR="00F74E86" w:rsidRPr="004E4CA8">
        <w:rPr>
          <w:sz w:val="19"/>
          <w:szCs w:val="19"/>
        </w:rPr>
        <w:tab/>
      </w:r>
      <w:r>
        <w:rPr>
          <w:sz w:val="19"/>
          <w:szCs w:val="19"/>
        </w:rPr>
        <w:tab/>
      </w:r>
      <w:r w:rsidR="00975C26">
        <w:rPr>
          <w:sz w:val="19"/>
          <w:szCs w:val="19"/>
        </w:rPr>
        <w:tab/>
      </w:r>
      <w:r w:rsidR="00975C26" w:rsidRPr="00975C26">
        <w:rPr>
          <w:sz w:val="19"/>
          <w:szCs w:val="19"/>
        </w:rPr>
        <w:t>steuer@vbi.de</w:t>
      </w:r>
    </w:p>
    <w:p w14:paraId="2AF3DCF3" w14:textId="65EB1BD7" w:rsidR="00197AAC" w:rsidRPr="004E4CA8" w:rsidRDefault="00677936" w:rsidP="00FF2585">
      <w:pPr>
        <w:spacing w:after="0"/>
        <w:rPr>
          <w:sz w:val="19"/>
          <w:szCs w:val="19"/>
        </w:rPr>
      </w:pPr>
      <w:hyperlink r:id="rId13" w:history="1">
        <w:r w:rsidR="00197AAC" w:rsidRPr="001C3DD7">
          <w:rPr>
            <w:rStyle w:val="Hyperlink"/>
            <w:color w:val="auto"/>
            <w:sz w:val="19"/>
            <w:szCs w:val="19"/>
            <w:u w:val="none"/>
          </w:rPr>
          <w:t>goebel@iww.de</w:t>
        </w:r>
      </w:hyperlink>
      <w:r w:rsidR="00F74E86" w:rsidRPr="004E4CA8">
        <w:rPr>
          <w:sz w:val="19"/>
          <w:szCs w:val="19"/>
        </w:rPr>
        <w:tab/>
      </w:r>
      <w:r w:rsidR="00F74E86" w:rsidRPr="004E4CA8">
        <w:rPr>
          <w:sz w:val="19"/>
          <w:szCs w:val="19"/>
        </w:rPr>
        <w:tab/>
      </w:r>
      <w:r w:rsidR="00F74E86" w:rsidRPr="004E4CA8">
        <w:rPr>
          <w:sz w:val="19"/>
          <w:szCs w:val="19"/>
        </w:rPr>
        <w:tab/>
      </w:r>
      <w:r w:rsidR="00F74E86" w:rsidRPr="004E4CA8">
        <w:rPr>
          <w:sz w:val="19"/>
          <w:szCs w:val="19"/>
        </w:rPr>
        <w:tab/>
      </w:r>
      <w:r w:rsidR="00F74E86" w:rsidRPr="004E4CA8">
        <w:rPr>
          <w:sz w:val="19"/>
          <w:szCs w:val="19"/>
        </w:rPr>
        <w:tab/>
      </w:r>
      <w:r w:rsidR="00F74E86" w:rsidRPr="004E4CA8">
        <w:rPr>
          <w:sz w:val="19"/>
          <w:szCs w:val="19"/>
        </w:rPr>
        <w:tab/>
      </w:r>
      <w:r w:rsidR="00975C26">
        <w:rPr>
          <w:sz w:val="19"/>
          <w:szCs w:val="19"/>
        </w:rPr>
        <w:tab/>
      </w:r>
      <w:r w:rsidR="00636EBC" w:rsidRPr="004E4CA8">
        <w:rPr>
          <w:sz w:val="19"/>
          <w:szCs w:val="19"/>
        </w:rPr>
        <w:t>Telefon: 0172 842 96 41</w:t>
      </w:r>
    </w:p>
    <w:p w14:paraId="6116FF2F" w14:textId="52AB1CB5" w:rsidR="0060244C" w:rsidRPr="004E4CA8" w:rsidRDefault="00915519" w:rsidP="00FF2585">
      <w:pPr>
        <w:spacing w:after="0"/>
        <w:rPr>
          <w:sz w:val="19"/>
          <w:szCs w:val="19"/>
        </w:rPr>
      </w:pPr>
      <w:r w:rsidRPr="004E4CA8">
        <w:rPr>
          <w:sz w:val="19"/>
          <w:szCs w:val="19"/>
        </w:rPr>
        <w:t>Telefon: 0931 418 30 61</w:t>
      </w:r>
      <w:r w:rsidR="00F74E86" w:rsidRPr="004E4CA8">
        <w:rPr>
          <w:sz w:val="19"/>
          <w:szCs w:val="19"/>
        </w:rPr>
        <w:tab/>
      </w:r>
      <w:r w:rsidR="00F74E86" w:rsidRPr="004E4CA8">
        <w:rPr>
          <w:sz w:val="19"/>
          <w:szCs w:val="19"/>
        </w:rPr>
        <w:tab/>
      </w:r>
      <w:r w:rsidR="00F74E86" w:rsidRPr="004E4CA8">
        <w:rPr>
          <w:sz w:val="19"/>
          <w:szCs w:val="19"/>
        </w:rPr>
        <w:tab/>
      </w:r>
      <w:r w:rsidR="00F74E86" w:rsidRPr="004E4CA8">
        <w:rPr>
          <w:sz w:val="19"/>
          <w:szCs w:val="19"/>
        </w:rPr>
        <w:tab/>
      </w:r>
      <w:r w:rsidR="00F74E86" w:rsidRPr="004E4CA8">
        <w:rPr>
          <w:sz w:val="19"/>
          <w:szCs w:val="19"/>
        </w:rPr>
        <w:tab/>
      </w:r>
    </w:p>
    <w:p w14:paraId="0617F147" w14:textId="77777777" w:rsidR="00EA49F8" w:rsidRPr="004E4CA8" w:rsidRDefault="00EA49F8" w:rsidP="00FF2585">
      <w:pPr>
        <w:spacing w:after="0"/>
        <w:rPr>
          <w:sz w:val="19"/>
          <w:szCs w:val="19"/>
        </w:rPr>
      </w:pPr>
    </w:p>
    <w:p w14:paraId="7BBDDCE8" w14:textId="61A72092" w:rsidR="00915519" w:rsidRPr="004E4CA8" w:rsidRDefault="00915519" w:rsidP="00FF2585">
      <w:pPr>
        <w:spacing w:after="0"/>
        <w:rPr>
          <w:sz w:val="19"/>
          <w:szCs w:val="19"/>
        </w:rPr>
      </w:pPr>
      <w:r w:rsidRPr="004E4CA8">
        <w:rPr>
          <w:sz w:val="19"/>
          <w:szCs w:val="19"/>
        </w:rPr>
        <w:t>Gutachter</w:t>
      </w:r>
    </w:p>
    <w:p w14:paraId="2E9C7815" w14:textId="0D0774D7" w:rsidR="00EA49F8" w:rsidRPr="004E4CA8" w:rsidRDefault="005419D4" w:rsidP="00FF2585">
      <w:pPr>
        <w:spacing w:after="0"/>
        <w:rPr>
          <w:sz w:val="19"/>
          <w:szCs w:val="19"/>
        </w:rPr>
      </w:pPr>
      <w:r w:rsidRPr="004E4CA8">
        <w:rPr>
          <w:sz w:val="19"/>
          <w:szCs w:val="19"/>
        </w:rPr>
        <w:t>Dipl</w:t>
      </w:r>
      <w:r w:rsidR="001C3DD7">
        <w:rPr>
          <w:sz w:val="19"/>
          <w:szCs w:val="19"/>
        </w:rPr>
        <w:t>.</w:t>
      </w:r>
      <w:r w:rsidRPr="004E4CA8">
        <w:rPr>
          <w:sz w:val="19"/>
          <w:szCs w:val="19"/>
        </w:rPr>
        <w:t xml:space="preserve">-Ing. </w:t>
      </w:r>
      <w:r w:rsidR="00635B7B" w:rsidRPr="004E4CA8">
        <w:rPr>
          <w:sz w:val="19"/>
          <w:szCs w:val="19"/>
        </w:rPr>
        <w:t>Klaus-Dieter Siemon</w:t>
      </w:r>
    </w:p>
    <w:p w14:paraId="151CDC06" w14:textId="250073D1" w:rsidR="005419D4" w:rsidRPr="004E4CA8" w:rsidRDefault="004A1A07" w:rsidP="00FF2585">
      <w:pPr>
        <w:spacing w:after="0"/>
        <w:rPr>
          <w:sz w:val="19"/>
          <w:szCs w:val="19"/>
        </w:rPr>
      </w:pPr>
      <w:r w:rsidRPr="004E4CA8">
        <w:rPr>
          <w:sz w:val="19"/>
          <w:szCs w:val="19"/>
        </w:rPr>
        <w:t>info@architektenhonorar.de</w:t>
      </w:r>
    </w:p>
    <w:p w14:paraId="49E92D02" w14:textId="7CAB9CF8" w:rsidR="005419D4" w:rsidRPr="004E4CA8" w:rsidRDefault="00915519" w:rsidP="00FF2585">
      <w:pPr>
        <w:spacing w:after="0"/>
        <w:rPr>
          <w:sz w:val="19"/>
          <w:szCs w:val="19"/>
        </w:rPr>
      </w:pPr>
      <w:r w:rsidRPr="004E4CA8">
        <w:rPr>
          <w:sz w:val="19"/>
          <w:szCs w:val="19"/>
        </w:rPr>
        <w:t xml:space="preserve">Telefon: </w:t>
      </w:r>
      <w:r w:rsidR="005419D4" w:rsidRPr="004E4CA8">
        <w:rPr>
          <w:sz w:val="19"/>
          <w:szCs w:val="19"/>
        </w:rPr>
        <w:t>030 2096 39 38</w:t>
      </w:r>
    </w:p>
    <w:sectPr w:rsidR="005419D4" w:rsidRPr="004E4CA8">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1830B" w14:textId="77777777" w:rsidR="008232E7" w:rsidRDefault="008232E7" w:rsidP="004F6BEB">
      <w:pPr>
        <w:spacing w:after="0" w:line="240" w:lineRule="auto"/>
      </w:pPr>
      <w:r>
        <w:separator/>
      </w:r>
    </w:p>
  </w:endnote>
  <w:endnote w:type="continuationSeparator" w:id="0">
    <w:p w14:paraId="58A85999" w14:textId="77777777" w:rsidR="008232E7" w:rsidRDefault="008232E7" w:rsidP="004F6BEB">
      <w:pPr>
        <w:spacing w:after="0" w:line="240" w:lineRule="auto"/>
      </w:pPr>
      <w:r>
        <w:continuationSeparator/>
      </w:r>
    </w:p>
  </w:endnote>
  <w:endnote w:type="continuationNotice" w:id="1">
    <w:p w14:paraId="13F947DE" w14:textId="77777777" w:rsidR="008232E7" w:rsidRDefault="00823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0BFBB" w14:textId="77777777" w:rsidR="008232E7" w:rsidRDefault="008232E7" w:rsidP="004F6BEB">
      <w:pPr>
        <w:spacing w:after="0" w:line="240" w:lineRule="auto"/>
      </w:pPr>
      <w:r>
        <w:separator/>
      </w:r>
    </w:p>
  </w:footnote>
  <w:footnote w:type="continuationSeparator" w:id="0">
    <w:p w14:paraId="7279F7A8" w14:textId="77777777" w:rsidR="008232E7" w:rsidRDefault="008232E7" w:rsidP="004F6BEB">
      <w:pPr>
        <w:spacing w:after="0" w:line="240" w:lineRule="auto"/>
      </w:pPr>
      <w:r>
        <w:continuationSeparator/>
      </w:r>
    </w:p>
  </w:footnote>
  <w:footnote w:type="continuationNotice" w:id="1">
    <w:p w14:paraId="56AC4F8B" w14:textId="77777777" w:rsidR="008232E7" w:rsidRDefault="00823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50350" w14:textId="33365D01" w:rsidR="004F6BEB" w:rsidRDefault="004F6B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49CD"/>
    <w:multiLevelType w:val="hybridMultilevel"/>
    <w:tmpl w:val="1E0AACF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7E599E"/>
    <w:multiLevelType w:val="hybridMultilevel"/>
    <w:tmpl w:val="7C52F324"/>
    <w:lvl w:ilvl="0" w:tplc="04070003">
      <w:start w:val="1"/>
      <w:numFmt w:val="bullet"/>
      <w:lvlText w:val="o"/>
      <w:lvlJc w:val="left"/>
      <w:pPr>
        <w:ind w:left="1410" w:hanging="705"/>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2" w15:restartNumberingAfterBreak="0">
    <w:nsid w:val="1ECA57E9"/>
    <w:multiLevelType w:val="hybridMultilevel"/>
    <w:tmpl w:val="D592C7F6"/>
    <w:lvl w:ilvl="0" w:tplc="2732FD3E">
      <w:numFmt w:val="bullet"/>
      <w:lvlText w:val="-"/>
      <w:lvlJc w:val="left"/>
      <w:pPr>
        <w:ind w:left="705" w:hanging="705"/>
      </w:pPr>
      <w:rPr>
        <w:rFonts w:ascii="Roboto Light" w:eastAsiaTheme="minorHAnsi" w:hAnsi="Roboto Light"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5C0266"/>
    <w:multiLevelType w:val="hybridMultilevel"/>
    <w:tmpl w:val="D496082E"/>
    <w:lvl w:ilvl="0" w:tplc="8E26DD1A">
      <w:numFmt w:val="bullet"/>
      <w:lvlText w:val="-"/>
      <w:lvlJc w:val="left"/>
      <w:pPr>
        <w:ind w:left="1065" w:hanging="705"/>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056545A"/>
    <w:multiLevelType w:val="hybridMultilevel"/>
    <w:tmpl w:val="5A06EA34"/>
    <w:lvl w:ilvl="0" w:tplc="EE364526">
      <w:numFmt w:val="bullet"/>
      <w:lvlText w:val="-"/>
      <w:lvlJc w:val="left"/>
      <w:pPr>
        <w:ind w:left="1065" w:hanging="705"/>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DBD03DD"/>
    <w:multiLevelType w:val="hybridMultilevel"/>
    <w:tmpl w:val="BFE8B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3F72BB"/>
    <w:multiLevelType w:val="hybridMultilevel"/>
    <w:tmpl w:val="93A0D6A6"/>
    <w:lvl w:ilvl="0" w:tplc="2732FD3E">
      <w:numFmt w:val="bullet"/>
      <w:lvlText w:val="-"/>
      <w:lvlJc w:val="left"/>
      <w:pPr>
        <w:ind w:left="705" w:hanging="705"/>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7A748E"/>
    <w:multiLevelType w:val="hybridMultilevel"/>
    <w:tmpl w:val="7108ADF0"/>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88F"/>
    <w:rsid w:val="00004B70"/>
    <w:rsid w:val="00043146"/>
    <w:rsid w:val="00077263"/>
    <w:rsid w:val="000866B9"/>
    <w:rsid w:val="000E5F09"/>
    <w:rsid w:val="000E6E93"/>
    <w:rsid w:val="00105CEE"/>
    <w:rsid w:val="001277BF"/>
    <w:rsid w:val="00131EAB"/>
    <w:rsid w:val="00185A6B"/>
    <w:rsid w:val="00197AAC"/>
    <w:rsid w:val="001C1433"/>
    <w:rsid w:val="001C3DD7"/>
    <w:rsid w:val="001D34CE"/>
    <w:rsid w:val="001F5211"/>
    <w:rsid w:val="00216F1F"/>
    <w:rsid w:val="00222932"/>
    <w:rsid w:val="00267AD3"/>
    <w:rsid w:val="0027436C"/>
    <w:rsid w:val="002A7669"/>
    <w:rsid w:val="002C273D"/>
    <w:rsid w:val="002D77A8"/>
    <w:rsid w:val="002F2BE5"/>
    <w:rsid w:val="00332DCC"/>
    <w:rsid w:val="00337448"/>
    <w:rsid w:val="00387F77"/>
    <w:rsid w:val="0039409D"/>
    <w:rsid w:val="003A283A"/>
    <w:rsid w:val="003A37D8"/>
    <w:rsid w:val="003B620B"/>
    <w:rsid w:val="003C25AA"/>
    <w:rsid w:val="003C3749"/>
    <w:rsid w:val="003D0E31"/>
    <w:rsid w:val="00441313"/>
    <w:rsid w:val="00443A6B"/>
    <w:rsid w:val="00443EC2"/>
    <w:rsid w:val="00456216"/>
    <w:rsid w:val="00471A4F"/>
    <w:rsid w:val="004927AF"/>
    <w:rsid w:val="004A1A07"/>
    <w:rsid w:val="004A2A20"/>
    <w:rsid w:val="004A5B26"/>
    <w:rsid w:val="004B49BB"/>
    <w:rsid w:val="004E4CA8"/>
    <w:rsid w:val="004E5962"/>
    <w:rsid w:val="004F08A3"/>
    <w:rsid w:val="004F6BEB"/>
    <w:rsid w:val="004F71AE"/>
    <w:rsid w:val="00506A83"/>
    <w:rsid w:val="005071A8"/>
    <w:rsid w:val="00523047"/>
    <w:rsid w:val="00526B70"/>
    <w:rsid w:val="005419D4"/>
    <w:rsid w:val="00545FB6"/>
    <w:rsid w:val="00546E75"/>
    <w:rsid w:val="005929FE"/>
    <w:rsid w:val="00593C72"/>
    <w:rsid w:val="005F289B"/>
    <w:rsid w:val="005F4108"/>
    <w:rsid w:val="0060244C"/>
    <w:rsid w:val="006037B1"/>
    <w:rsid w:val="00623FEF"/>
    <w:rsid w:val="00635B7B"/>
    <w:rsid w:val="00636EBC"/>
    <w:rsid w:val="00642C6E"/>
    <w:rsid w:val="006525C7"/>
    <w:rsid w:val="00655A32"/>
    <w:rsid w:val="00670DB1"/>
    <w:rsid w:val="00682D2B"/>
    <w:rsid w:val="00697F52"/>
    <w:rsid w:val="007010F1"/>
    <w:rsid w:val="00712546"/>
    <w:rsid w:val="00745D10"/>
    <w:rsid w:val="00767874"/>
    <w:rsid w:val="00790019"/>
    <w:rsid w:val="007B31D4"/>
    <w:rsid w:val="007B78F4"/>
    <w:rsid w:val="007D6436"/>
    <w:rsid w:val="00802898"/>
    <w:rsid w:val="008220AF"/>
    <w:rsid w:val="00822B5D"/>
    <w:rsid w:val="008232E7"/>
    <w:rsid w:val="00823608"/>
    <w:rsid w:val="008308A9"/>
    <w:rsid w:val="00841446"/>
    <w:rsid w:val="00886A3B"/>
    <w:rsid w:val="008905E9"/>
    <w:rsid w:val="0089350A"/>
    <w:rsid w:val="008A0308"/>
    <w:rsid w:val="008A4160"/>
    <w:rsid w:val="008B405B"/>
    <w:rsid w:val="008B4F51"/>
    <w:rsid w:val="008B6676"/>
    <w:rsid w:val="008F06BF"/>
    <w:rsid w:val="00915519"/>
    <w:rsid w:val="009318F0"/>
    <w:rsid w:val="00942BFA"/>
    <w:rsid w:val="00960424"/>
    <w:rsid w:val="00962E20"/>
    <w:rsid w:val="00975C26"/>
    <w:rsid w:val="00991A3E"/>
    <w:rsid w:val="009A2031"/>
    <w:rsid w:val="009E7087"/>
    <w:rsid w:val="00A2474B"/>
    <w:rsid w:val="00A316BC"/>
    <w:rsid w:val="00A5076B"/>
    <w:rsid w:val="00A84F78"/>
    <w:rsid w:val="00AC1F61"/>
    <w:rsid w:val="00AD688F"/>
    <w:rsid w:val="00AF6B6B"/>
    <w:rsid w:val="00B139AB"/>
    <w:rsid w:val="00B219B2"/>
    <w:rsid w:val="00B22CC6"/>
    <w:rsid w:val="00B30034"/>
    <w:rsid w:val="00B40BB3"/>
    <w:rsid w:val="00B974A9"/>
    <w:rsid w:val="00BA1DAA"/>
    <w:rsid w:val="00BC6CC4"/>
    <w:rsid w:val="00BC77A9"/>
    <w:rsid w:val="00BF57B6"/>
    <w:rsid w:val="00C43D19"/>
    <w:rsid w:val="00C66049"/>
    <w:rsid w:val="00C7240E"/>
    <w:rsid w:val="00C72465"/>
    <w:rsid w:val="00C90594"/>
    <w:rsid w:val="00C95255"/>
    <w:rsid w:val="00CB03D3"/>
    <w:rsid w:val="00CC0975"/>
    <w:rsid w:val="00CC17B9"/>
    <w:rsid w:val="00D30969"/>
    <w:rsid w:val="00D74361"/>
    <w:rsid w:val="00DB6B9A"/>
    <w:rsid w:val="00DC7839"/>
    <w:rsid w:val="00DD2D7B"/>
    <w:rsid w:val="00E11748"/>
    <w:rsid w:val="00E46C55"/>
    <w:rsid w:val="00E61D11"/>
    <w:rsid w:val="00E6257C"/>
    <w:rsid w:val="00EA2F00"/>
    <w:rsid w:val="00EA49F8"/>
    <w:rsid w:val="00EB555B"/>
    <w:rsid w:val="00EC1635"/>
    <w:rsid w:val="00EC2752"/>
    <w:rsid w:val="00ED2BC0"/>
    <w:rsid w:val="00EF68EB"/>
    <w:rsid w:val="00F11136"/>
    <w:rsid w:val="00F13C4C"/>
    <w:rsid w:val="00F33669"/>
    <w:rsid w:val="00F4020E"/>
    <w:rsid w:val="00F5112B"/>
    <w:rsid w:val="00F74E86"/>
    <w:rsid w:val="00FA3BD4"/>
    <w:rsid w:val="00FF2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14BFF86"/>
  <w15:chartTrackingRefBased/>
  <w15:docId w15:val="{75244628-7E87-41D4-812E-28E332DA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C1433"/>
    <w:rPr>
      <w:rFonts w:ascii="Roboto Light" w:hAnsi="Roboto Light"/>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autoRedefine/>
    <w:qFormat/>
    <w:rsid w:val="00F33669"/>
  </w:style>
  <w:style w:type="paragraph" w:customStyle="1" w:styleId="Formatvorlage2">
    <w:name w:val="Formatvorlage2"/>
    <w:basedOn w:val="Standard"/>
    <w:qFormat/>
    <w:rsid w:val="00F33669"/>
  </w:style>
  <w:style w:type="paragraph" w:styleId="StandardWeb">
    <w:name w:val="Normal (Web)"/>
    <w:basedOn w:val="Standard"/>
    <w:uiPriority w:val="99"/>
    <w:unhideWhenUsed/>
    <w:rsid w:val="00AD688F"/>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s7">
    <w:name w:val="s7"/>
    <w:basedOn w:val="Absatz-Standardschriftart"/>
    <w:rsid w:val="00AD688F"/>
  </w:style>
  <w:style w:type="character" w:customStyle="1" w:styleId="apple-converted-space">
    <w:name w:val="apple-converted-space"/>
    <w:basedOn w:val="Absatz-Standardschriftart"/>
    <w:rsid w:val="00AD688F"/>
  </w:style>
  <w:style w:type="paragraph" w:styleId="Listenabsatz">
    <w:name w:val="List Paragraph"/>
    <w:basedOn w:val="Standard"/>
    <w:uiPriority w:val="34"/>
    <w:qFormat/>
    <w:rsid w:val="00222932"/>
    <w:pPr>
      <w:ind w:left="720"/>
      <w:contextualSpacing/>
    </w:pPr>
  </w:style>
  <w:style w:type="character" w:styleId="Hyperlink">
    <w:name w:val="Hyperlink"/>
    <w:basedOn w:val="Absatz-Standardschriftart"/>
    <w:uiPriority w:val="99"/>
    <w:unhideWhenUsed/>
    <w:rsid w:val="004A1A07"/>
    <w:rPr>
      <w:color w:val="0000FF" w:themeColor="hyperlink"/>
      <w:u w:val="single"/>
    </w:rPr>
  </w:style>
  <w:style w:type="character" w:styleId="NichtaufgelsteErwhnung">
    <w:name w:val="Unresolved Mention"/>
    <w:basedOn w:val="Absatz-Standardschriftart"/>
    <w:uiPriority w:val="99"/>
    <w:semiHidden/>
    <w:unhideWhenUsed/>
    <w:rsid w:val="004A1A07"/>
    <w:rPr>
      <w:color w:val="605E5C"/>
      <w:shd w:val="clear" w:color="auto" w:fill="E1DFDD"/>
    </w:rPr>
  </w:style>
  <w:style w:type="paragraph" w:styleId="Kopfzeile">
    <w:name w:val="header"/>
    <w:basedOn w:val="Standard"/>
    <w:link w:val="KopfzeileZchn"/>
    <w:uiPriority w:val="99"/>
    <w:unhideWhenUsed/>
    <w:rsid w:val="004F6B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6BEB"/>
    <w:rPr>
      <w:rFonts w:ascii="Roboto Light" w:hAnsi="Roboto Light"/>
      <w:sz w:val="20"/>
    </w:rPr>
  </w:style>
  <w:style w:type="paragraph" w:styleId="Fuzeile">
    <w:name w:val="footer"/>
    <w:basedOn w:val="Standard"/>
    <w:link w:val="FuzeileZchn"/>
    <w:uiPriority w:val="99"/>
    <w:unhideWhenUsed/>
    <w:rsid w:val="004F6B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6BEB"/>
    <w:rPr>
      <w:rFonts w:ascii="Roboto Light" w:hAnsi="Robot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oebel@iww.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6036036-09fe-40b9-a9c3-43973fdb5bf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F3ECFBB842BD046B960BEEF46EE3B67" ma:contentTypeVersion="13" ma:contentTypeDescription="Ein neues Dokument erstellen." ma:contentTypeScope="" ma:versionID="88968ab610759b2d7012c6a552816708">
  <xsd:schema xmlns:xsd="http://www.w3.org/2001/XMLSchema" xmlns:xs="http://www.w3.org/2001/XMLSchema" xmlns:p="http://schemas.microsoft.com/office/2006/metadata/properties" xmlns:ns2="a6036036-09fe-40b9-a9c3-43973fdb5bf9" xmlns:ns3="c9f6373b-c0de-482a-964e-03aeb79bfda4" targetNamespace="http://schemas.microsoft.com/office/2006/metadata/properties" ma:root="true" ma:fieldsID="099ac47648c350b6f1802011a0ed98b3" ns2:_="" ns3:_="">
    <xsd:import namespace="a6036036-09fe-40b9-a9c3-43973fdb5bf9"/>
    <xsd:import namespace="c9f6373b-c0de-482a-964e-03aeb79bf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36036-09fe-40b9-a9c3-43973fdb5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18" nillable="true" ma:displayName="Status Unterschrift" ma:internalName="Status_x0020_Unterschrif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6373b-c0de-482a-964e-03aeb79bfda4"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89D8E-87B3-4C5F-B6AC-8EE1E3ED2240}">
  <ds:schemaRefs>
    <ds:schemaRef ds:uri="http://schemas.openxmlformats.org/package/2006/metadata/core-properties"/>
    <ds:schemaRef ds:uri="http://schemas.microsoft.com/office/2006/documentManagement/types"/>
    <ds:schemaRef ds:uri="http://purl.org/dc/terms/"/>
    <ds:schemaRef ds:uri="http://purl.org/dc/elements/1.1/"/>
    <ds:schemaRef ds:uri="http://schemas.microsoft.com/office/infopath/2007/PartnerControls"/>
    <ds:schemaRef ds:uri="a6036036-09fe-40b9-a9c3-43973fdb5bf9"/>
    <ds:schemaRef ds:uri="http://www.w3.org/XML/1998/namespace"/>
    <ds:schemaRef ds:uri="c9f6373b-c0de-482a-964e-03aeb79bfda4"/>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983512-2939-4FE0-881A-F903363D8CD3}">
  <ds:schemaRefs>
    <ds:schemaRef ds:uri="http://schemas.microsoft.com/office/2006/metadata/contentType"/>
    <ds:schemaRef ds:uri="http://schemas.microsoft.com/office/2006/metadata/properties/metaAttributes"/>
    <ds:schemaRef ds:uri="http://www.w3.org/2000/xmlns/"/>
    <ds:schemaRef ds:uri="http://www.w3.org/2001/XMLSchema"/>
    <ds:schemaRef ds:uri="a6036036-09fe-40b9-a9c3-43973fdb5bf9"/>
    <ds:schemaRef ds:uri="c9f6373b-c0de-482a-964e-03aeb79bfda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07A086-BC38-4207-B0AC-03BC915310D1}">
  <ds:schemaRefs>
    <ds:schemaRef ds:uri="http://schemas.microsoft.com/sharepoint/v3/contenttype/forms"/>
  </ds:schemaRefs>
</ds:datastoreItem>
</file>

<file path=customXml/itemProps4.xml><?xml version="1.0" encoding="utf-8"?>
<ds:datastoreItem xmlns:ds="http://schemas.openxmlformats.org/officeDocument/2006/customXml" ds:itemID="{5CD6AAA3-789F-46A1-8CD8-512C397E9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5986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Steuer</dc:creator>
  <cp:keywords/>
  <dc:description/>
  <cp:lastModifiedBy>Sascha Steuer</cp:lastModifiedBy>
  <cp:revision>2</cp:revision>
  <cp:lastPrinted>2021-03-30T07:11:00Z</cp:lastPrinted>
  <dcterms:created xsi:type="dcterms:W3CDTF">2021-03-30T07:12:00Z</dcterms:created>
  <dcterms:modified xsi:type="dcterms:W3CDTF">2021-03-30T07:12:00Z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0x010100EF3ECFBB842BD046B960BEEF46EE3B67</vt:lpwstr>
  </property>
</Properties>
</file>