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1419" w14:textId="08EEBC00" w:rsidR="00E63A57" w:rsidRPr="00056F32" w:rsidRDefault="00E63A57" w:rsidP="001634DD">
      <w:pPr>
        <w:pStyle w:val="Textkrper"/>
        <w:jc w:val="right"/>
        <w:rPr>
          <w:sz w:val="40"/>
          <w:szCs w:val="40"/>
        </w:rPr>
      </w:pPr>
    </w:p>
    <w:p w14:paraId="1BEAB8A9" w14:textId="77777777" w:rsidR="00E63A57" w:rsidRDefault="000664FA">
      <w:pPr>
        <w:spacing w:before="1"/>
        <w:ind w:left="123"/>
        <w:rPr>
          <w:sz w:val="24"/>
        </w:rPr>
      </w:pPr>
      <w:r>
        <w:rPr>
          <w:sz w:val="24"/>
        </w:rPr>
        <w:t>PRESSEINFORMATION</w:t>
      </w:r>
    </w:p>
    <w:p w14:paraId="16BADA01" w14:textId="77777777" w:rsidR="00E63A57" w:rsidRDefault="00E63A57">
      <w:pPr>
        <w:pStyle w:val="Textkrper"/>
        <w:spacing w:before="3"/>
        <w:rPr>
          <w:sz w:val="22"/>
        </w:rPr>
      </w:pPr>
    </w:p>
    <w:p w14:paraId="4A518638" w14:textId="75EE5223" w:rsidR="00E63A57" w:rsidRDefault="000664FA" w:rsidP="0036784E">
      <w:pPr>
        <w:pStyle w:val="Titel"/>
        <w:ind w:left="124"/>
      </w:pPr>
      <w:r>
        <w:rPr>
          <w:w w:val="105"/>
        </w:rPr>
        <w:t>Grundsteuer</w:t>
      </w:r>
      <w:r w:rsidR="0036784E">
        <w:rPr>
          <w:w w:val="105"/>
        </w:rPr>
        <w:t>reform</w:t>
      </w:r>
      <w:r>
        <w:rPr>
          <w:w w:val="105"/>
        </w:rPr>
        <w:t>:</w:t>
      </w:r>
      <w:r>
        <w:rPr>
          <w:spacing w:val="15"/>
          <w:w w:val="105"/>
        </w:rPr>
        <w:t xml:space="preserve"> </w:t>
      </w:r>
      <w:r w:rsidR="0036784E">
        <w:rPr>
          <w:spacing w:val="15"/>
          <w:w w:val="105"/>
        </w:rPr>
        <w:t xml:space="preserve">Eine </w:t>
      </w:r>
      <w:r w:rsidR="0036784E" w:rsidRPr="0036784E">
        <w:rPr>
          <w:w w:val="105"/>
        </w:rPr>
        <w:t xml:space="preserve">Herausforderung für Land- und Forstwirte </w:t>
      </w:r>
    </w:p>
    <w:p w14:paraId="5F08ECFA" w14:textId="77777777" w:rsidR="0036784E" w:rsidRDefault="0036784E" w:rsidP="00056F32">
      <w:pPr>
        <w:spacing w:before="120" w:line="276" w:lineRule="auto"/>
        <w:ind w:left="113" w:right="431" w:firstLine="11"/>
        <w:rPr>
          <w:b/>
          <w:w w:val="105"/>
          <w:sz w:val="21"/>
        </w:rPr>
      </w:pPr>
    </w:p>
    <w:p w14:paraId="1F76BCC6" w14:textId="3EEB816B" w:rsidR="00AA1680" w:rsidRDefault="00AA1680" w:rsidP="00056F32">
      <w:pPr>
        <w:spacing w:before="120" w:line="276" w:lineRule="auto"/>
        <w:ind w:left="113" w:right="431" w:firstLine="11"/>
        <w:rPr>
          <w:b/>
          <w:i/>
          <w:iCs/>
          <w:w w:val="105"/>
          <w:sz w:val="21"/>
        </w:rPr>
      </w:pPr>
      <w:r w:rsidRPr="00AA1680">
        <w:rPr>
          <w:bCs/>
          <w:w w:val="105"/>
          <w:sz w:val="21"/>
        </w:rPr>
        <w:t xml:space="preserve">Berlin/Essen, </w:t>
      </w:r>
      <w:r w:rsidR="002A034C">
        <w:rPr>
          <w:bCs/>
          <w:w w:val="105"/>
          <w:sz w:val="21"/>
        </w:rPr>
        <w:t>01.03</w:t>
      </w:r>
      <w:r w:rsidRPr="00AA1680">
        <w:rPr>
          <w:bCs/>
          <w:w w:val="105"/>
          <w:sz w:val="21"/>
        </w:rPr>
        <w:t>.2022</w:t>
      </w:r>
      <w:r>
        <w:rPr>
          <w:bCs/>
          <w:w w:val="105"/>
          <w:sz w:val="21"/>
        </w:rPr>
        <w:t xml:space="preserve">: </w:t>
      </w:r>
      <w:r>
        <w:rPr>
          <w:b/>
          <w:w w:val="105"/>
          <w:sz w:val="21"/>
        </w:rPr>
        <w:t>Die b</w:t>
      </w:r>
      <w:r>
        <w:rPr>
          <w:b/>
          <w:i/>
          <w:iCs/>
          <w:w w:val="105"/>
          <w:sz w:val="21"/>
        </w:rPr>
        <w:t>ereits</w:t>
      </w:r>
      <w:r w:rsidRPr="00AA1680">
        <w:rPr>
          <w:b/>
          <w:i/>
          <w:iCs/>
          <w:w w:val="105"/>
          <w:sz w:val="21"/>
        </w:rPr>
        <w:t xml:space="preserve"> 2019 beschlossen</w:t>
      </w:r>
      <w:r>
        <w:rPr>
          <w:b/>
          <w:i/>
          <w:iCs/>
          <w:w w:val="105"/>
          <w:sz w:val="21"/>
        </w:rPr>
        <w:t>e</w:t>
      </w:r>
      <w:r w:rsidRPr="00AA1680">
        <w:rPr>
          <w:b/>
          <w:i/>
          <w:iCs/>
          <w:w w:val="105"/>
          <w:sz w:val="21"/>
        </w:rPr>
        <w:t xml:space="preserve"> Grundsteuer startet in 2022 in ihre </w:t>
      </w:r>
      <w:r>
        <w:rPr>
          <w:b/>
          <w:i/>
          <w:iCs/>
          <w:w w:val="105"/>
          <w:sz w:val="21"/>
        </w:rPr>
        <w:t xml:space="preserve">erste </w:t>
      </w:r>
      <w:r w:rsidRPr="00AA1680">
        <w:rPr>
          <w:b/>
          <w:i/>
          <w:iCs/>
          <w:w w:val="105"/>
          <w:sz w:val="21"/>
        </w:rPr>
        <w:t xml:space="preserve">heiße Phase. </w:t>
      </w:r>
      <w:r>
        <w:rPr>
          <w:b/>
          <w:i/>
          <w:iCs/>
          <w:w w:val="105"/>
          <w:sz w:val="21"/>
        </w:rPr>
        <w:t>R</w:t>
      </w:r>
      <w:r w:rsidRPr="00AA1680">
        <w:rPr>
          <w:b/>
          <w:i/>
          <w:iCs/>
          <w:w w:val="105"/>
          <w:sz w:val="21"/>
        </w:rPr>
        <w:t xml:space="preserve">und </w:t>
      </w:r>
      <w:bookmarkStart w:id="0" w:name="_Hlk96350294"/>
      <w:r w:rsidRPr="00AA1680">
        <w:rPr>
          <w:b/>
          <w:i/>
          <w:iCs/>
          <w:w w:val="105"/>
          <w:sz w:val="21"/>
        </w:rPr>
        <w:t>3</w:t>
      </w:r>
      <w:r>
        <w:rPr>
          <w:b/>
          <w:i/>
          <w:iCs/>
          <w:w w:val="105"/>
          <w:sz w:val="21"/>
        </w:rPr>
        <w:t>6</w:t>
      </w:r>
      <w:r w:rsidRPr="00AA1680">
        <w:rPr>
          <w:b/>
          <w:i/>
          <w:iCs/>
          <w:w w:val="105"/>
          <w:sz w:val="21"/>
        </w:rPr>
        <w:t xml:space="preserve"> Millionen Grundstücke sowie land- und forstwirtschaftliche Betriebe </w:t>
      </w:r>
      <w:bookmarkEnd w:id="0"/>
      <w:r>
        <w:rPr>
          <w:b/>
          <w:i/>
          <w:iCs/>
          <w:w w:val="105"/>
          <w:sz w:val="21"/>
        </w:rPr>
        <w:t xml:space="preserve">müssen </w:t>
      </w:r>
      <w:r w:rsidRPr="00AA1680">
        <w:rPr>
          <w:b/>
          <w:i/>
          <w:iCs/>
          <w:w w:val="105"/>
          <w:sz w:val="21"/>
        </w:rPr>
        <w:t>neu bewertet werden</w:t>
      </w:r>
      <w:r>
        <w:rPr>
          <w:b/>
          <w:i/>
          <w:iCs/>
          <w:w w:val="105"/>
          <w:sz w:val="21"/>
        </w:rPr>
        <w:t xml:space="preserve">. </w:t>
      </w:r>
      <w:r w:rsidRPr="00AA1680">
        <w:rPr>
          <w:b/>
          <w:i/>
          <w:iCs/>
          <w:w w:val="105"/>
          <w:sz w:val="21"/>
        </w:rPr>
        <w:t>Immobilieneigentümer und alle Inhaber eines land- und forstwirtschaftlichen Betriebs müssen da</w:t>
      </w:r>
      <w:r>
        <w:rPr>
          <w:b/>
          <w:i/>
          <w:iCs/>
          <w:w w:val="105"/>
          <w:sz w:val="21"/>
        </w:rPr>
        <w:t>für</w:t>
      </w:r>
      <w:r w:rsidRPr="00AA1680">
        <w:rPr>
          <w:b/>
          <w:i/>
          <w:iCs/>
          <w:w w:val="105"/>
          <w:sz w:val="21"/>
        </w:rPr>
        <w:t xml:space="preserve"> </w:t>
      </w:r>
      <w:r>
        <w:rPr>
          <w:b/>
          <w:i/>
          <w:w w:val="105"/>
          <w:sz w:val="21"/>
        </w:rPr>
        <w:t>im</w:t>
      </w:r>
      <w:r>
        <w:rPr>
          <w:b/>
          <w:i/>
          <w:spacing w:val="-5"/>
          <w:w w:val="105"/>
          <w:sz w:val="21"/>
        </w:rPr>
        <w:t xml:space="preserve"> </w:t>
      </w:r>
      <w:r>
        <w:rPr>
          <w:b/>
          <w:i/>
          <w:w w:val="105"/>
          <w:sz w:val="21"/>
        </w:rPr>
        <w:t>Zeitraum</w:t>
      </w:r>
      <w:r>
        <w:rPr>
          <w:b/>
          <w:i/>
          <w:spacing w:val="11"/>
          <w:w w:val="105"/>
          <w:sz w:val="21"/>
        </w:rPr>
        <w:t xml:space="preserve"> </w:t>
      </w:r>
      <w:r>
        <w:rPr>
          <w:b/>
          <w:i/>
          <w:w w:val="105"/>
          <w:sz w:val="21"/>
        </w:rPr>
        <w:t>vom</w:t>
      </w:r>
      <w:r>
        <w:rPr>
          <w:b/>
          <w:i/>
          <w:spacing w:val="5"/>
          <w:w w:val="105"/>
          <w:sz w:val="21"/>
        </w:rPr>
        <w:t xml:space="preserve"> 1. Juli </w:t>
      </w:r>
      <w:r>
        <w:rPr>
          <w:b/>
          <w:i/>
          <w:w w:val="105"/>
          <w:sz w:val="21"/>
        </w:rPr>
        <w:t>bis</w:t>
      </w:r>
      <w:r>
        <w:rPr>
          <w:b/>
          <w:i/>
          <w:spacing w:val="1"/>
          <w:w w:val="105"/>
          <w:sz w:val="21"/>
        </w:rPr>
        <w:t xml:space="preserve"> </w:t>
      </w:r>
      <w:r>
        <w:rPr>
          <w:b/>
          <w:i/>
          <w:w w:val="105"/>
          <w:sz w:val="21"/>
        </w:rPr>
        <w:t>31. Oktober 2022</w:t>
      </w:r>
      <w:r>
        <w:rPr>
          <w:b/>
          <w:i/>
          <w:spacing w:val="17"/>
          <w:w w:val="105"/>
          <w:sz w:val="21"/>
        </w:rPr>
        <w:t xml:space="preserve"> selbst </w:t>
      </w:r>
      <w:r w:rsidRPr="00AA1680">
        <w:rPr>
          <w:b/>
          <w:i/>
          <w:iCs/>
          <w:w w:val="105"/>
          <w:sz w:val="21"/>
        </w:rPr>
        <w:t>aktiv werden</w:t>
      </w:r>
      <w:r>
        <w:rPr>
          <w:b/>
          <w:i/>
          <w:iCs/>
          <w:w w:val="105"/>
          <w:sz w:val="21"/>
        </w:rPr>
        <w:t xml:space="preserve"> und eine Grundsteuerwerterklärung auf elektronischem Wege an das Finanzamt übermitteln</w:t>
      </w:r>
      <w:r w:rsidRPr="00AA1680">
        <w:rPr>
          <w:b/>
          <w:i/>
          <w:iCs/>
          <w:w w:val="105"/>
          <w:sz w:val="21"/>
        </w:rPr>
        <w:t>.</w:t>
      </w:r>
      <w:r>
        <w:rPr>
          <w:b/>
          <w:i/>
          <w:iCs/>
          <w:w w:val="105"/>
          <w:sz w:val="21"/>
        </w:rPr>
        <w:t xml:space="preserve"> „Diese</w:t>
      </w:r>
      <w:r w:rsidRPr="00AA1680">
        <w:rPr>
          <w:b/>
          <w:i/>
          <w:iCs/>
          <w:w w:val="105"/>
          <w:sz w:val="21"/>
        </w:rPr>
        <w:t xml:space="preserve"> Einreichungsfrist </w:t>
      </w:r>
      <w:r>
        <w:rPr>
          <w:b/>
          <w:i/>
          <w:iCs/>
          <w:w w:val="105"/>
          <w:sz w:val="21"/>
        </w:rPr>
        <w:t xml:space="preserve">kann </w:t>
      </w:r>
      <w:r w:rsidRPr="00AA1680">
        <w:rPr>
          <w:b/>
          <w:i/>
          <w:iCs/>
          <w:w w:val="105"/>
          <w:sz w:val="21"/>
        </w:rPr>
        <w:t xml:space="preserve">agrarwirtschaftliche Betriebe vor erhebliche logistische </w:t>
      </w:r>
      <w:r w:rsidR="007D7D34">
        <w:rPr>
          <w:b/>
          <w:i/>
          <w:iCs/>
          <w:w w:val="105"/>
          <w:sz w:val="21"/>
        </w:rPr>
        <w:t>Herausforderungen</w:t>
      </w:r>
      <w:r w:rsidRPr="00AA1680">
        <w:rPr>
          <w:b/>
          <w:i/>
          <w:iCs/>
          <w:w w:val="105"/>
          <w:sz w:val="21"/>
        </w:rPr>
        <w:t xml:space="preserve"> stellen</w:t>
      </w:r>
      <w:r>
        <w:rPr>
          <w:b/>
          <w:i/>
          <w:iCs/>
          <w:w w:val="105"/>
          <w:sz w:val="21"/>
        </w:rPr>
        <w:t>“</w:t>
      </w:r>
      <w:r w:rsidRPr="00AA1680">
        <w:rPr>
          <w:b/>
          <w:i/>
          <w:iCs/>
          <w:w w:val="105"/>
          <w:sz w:val="21"/>
        </w:rPr>
        <w:t xml:space="preserve">, </w:t>
      </w:r>
      <w:r>
        <w:rPr>
          <w:b/>
          <w:i/>
          <w:iCs/>
          <w:w w:val="105"/>
          <w:sz w:val="21"/>
        </w:rPr>
        <w:t xml:space="preserve">befürchtet </w:t>
      </w:r>
      <w:r w:rsidR="005D4945">
        <w:rPr>
          <w:b/>
          <w:i/>
          <w:iCs/>
          <w:w w:val="105"/>
          <w:sz w:val="21"/>
        </w:rPr>
        <w:t xml:space="preserve">Agrarökonom und </w:t>
      </w:r>
      <w:r w:rsidR="00F21571" w:rsidRPr="00F21571">
        <w:rPr>
          <w:b/>
          <w:i/>
          <w:iCs/>
          <w:w w:val="105"/>
          <w:sz w:val="21"/>
        </w:rPr>
        <w:t xml:space="preserve">ETL </w:t>
      </w:r>
      <w:proofErr w:type="spellStart"/>
      <w:r w:rsidR="00F21571" w:rsidRPr="00F21571">
        <w:rPr>
          <w:b/>
          <w:i/>
          <w:iCs/>
          <w:w w:val="105"/>
          <w:sz w:val="21"/>
        </w:rPr>
        <w:t>Agrar</w:t>
      </w:r>
      <w:proofErr w:type="spellEnd"/>
      <w:r w:rsidR="00F21571" w:rsidRPr="00F21571">
        <w:rPr>
          <w:b/>
          <w:i/>
          <w:iCs/>
          <w:w w:val="105"/>
          <w:sz w:val="21"/>
        </w:rPr>
        <w:t xml:space="preserve"> &amp; Forst-Leiter Benjamin Hummel</w:t>
      </w:r>
      <w:r w:rsidR="00F21571">
        <w:rPr>
          <w:b/>
          <w:i/>
          <w:iCs/>
          <w:w w:val="105"/>
          <w:sz w:val="21"/>
        </w:rPr>
        <w:t xml:space="preserve">, </w:t>
      </w:r>
      <w:r w:rsidR="00767AA9">
        <w:rPr>
          <w:b/>
          <w:i/>
          <w:iCs/>
          <w:w w:val="105"/>
          <w:sz w:val="21"/>
        </w:rPr>
        <w:t>„</w:t>
      </w:r>
      <w:r w:rsidR="00F21571">
        <w:rPr>
          <w:b/>
          <w:i/>
          <w:iCs/>
          <w:w w:val="105"/>
          <w:sz w:val="21"/>
        </w:rPr>
        <w:t xml:space="preserve">denn sie </w:t>
      </w:r>
      <w:r w:rsidRPr="00AA1680">
        <w:rPr>
          <w:b/>
          <w:i/>
          <w:iCs/>
          <w:w w:val="105"/>
          <w:sz w:val="21"/>
        </w:rPr>
        <w:t xml:space="preserve">fällt </w:t>
      </w:r>
      <w:r w:rsidR="00F21571">
        <w:rPr>
          <w:b/>
          <w:i/>
          <w:iCs/>
          <w:w w:val="105"/>
          <w:sz w:val="21"/>
        </w:rPr>
        <w:t xml:space="preserve">in </w:t>
      </w:r>
      <w:r w:rsidRPr="00AA1680">
        <w:rPr>
          <w:b/>
          <w:i/>
          <w:iCs/>
          <w:w w:val="105"/>
          <w:sz w:val="21"/>
        </w:rPr>
        <w:t>die so wichtige Getreideernte, aber auch die Haupterntezeit von einheimische</w:t>
      </w:r>
      <w:r w:rsidR="00F21571">
        <w:rPr>
          <w:b/>
          <w:i/>
          <w:iCs/>
          <w:w w:val="105"/>
          <w:sz w:val="21"/>
        </w:rPr>
        <w:t>m</w:t>
      </w:r>
      <w:r w:rsidRPr="00AA1680">
        <w:rPr>
          <w:b/>
          <w:i/>
          <w:iCs/>
          <w:w w:val="105"/>
          <w:sz w:val="21"/>
        </w:rPr>
        <w:t xml:space="preserve"> </w:t>
      </w:r>
      <w:r w:rsidR="00F21571">
        <w:rPr>
          <w:b/>
          <w:i/>
          <w:iCs/>
          <w:w w:val="105"/>
          <w:sz w:val="21"/>
        </w:rPr>
        <w:t>Obst und Gemüse</w:t>
      </w:r>
      <w:r w:rsidR="00767AA9">
        <w:rPr>
          <w:b/>
          <w:i/>
          <w:iCs/>
          <w:w w:val="105"/>
          <w:sz w:val="21"/>
        </w:rPr>
        <w:t>“</w:t>
      </w:r>
      <w:r w:rsidR="00F21571">
        <w:rPr>
          <w:b/>
          <w:i/>
          <w:iCs/>
          <w:w w:val="105"/>
          <w:sz w:val="21"/>
        </w:rPr>
        <w:t>.</w:t>
      </w:r>
    </w:p>
    <w:p w14:paraId="77C45930" w14:textId="77777777" w:rsidR="00E63A57" w:rsidRDefault="00E63A57">
      <w:pPr>
        <w:pStyle w:val="Textkrper"/>
        <w:spacing w:before="9"/>
        <w:rPr>
          <w:b/>
          <w:i/>
          <w:sz w:val="30"/>
        </w:rPr>
      </w:pPr>
    </w:p>
    <w:p w14:paraId="50482B73" w14:textId="28CD918F" w:rsidR="007D7D34" w:rsidRDefault="00642CE7" w:rsidP="00D5562E">
      <w:pPr>
        <w:pStyle w:val="Textkrper"/>
        <w:ind w:left="122" w:hanging="2"/>
        <w:rPr>
          <w:rFonts w:ascii="Plain Thin" w:eastAsiaTheme="minorHAnsi" w:hAnsi="Plain Thin"/>
          <w:sz w:val="19"/>
          <w:szCs w:val="19"/>
        </w:rPr>
      </w:pPr>
      <w:r w:rsidRPr="00642CE7">
        <w:rPr>
          <w:rFonts w:ascii="Plain Thin" w:eastAsiaTheme="minorHAnsi" w:hAnsi="Plain Thin"/>
          <w:sz w:val="19"/>
          <w:szCs w:val="19"/>
        </w:rPr>
        <w:t>36 Millionen Grundstücke sowie land- und forstwirtschaftliche Betriebe</w:t>
      </w:r>
      <w:r>
        <w:rPr>
          <w:rFonts w:ascii="Plain Thin" w:eastAsiaTheme="minorHAnsi" w:hAnsi="Plain Thin"/>
          <w:sz w:val="19"/>
          <w:szCs w:val="19"/>
        </w:rPr>
        <w:t xml:space="preserve"> sind auf den Stichtag 1. Januar 2022 neu zu bewerten, nachdem das </w:t>
      </w:r>
      <w:r w:rsidRPr="00D5562E">
        <w:rPr>
          <w:rFonts w:ascii="Plain Thin" w:eastAsiaTheme="minorHAnsi" w:hAnsi="Plain Thin"/>
          <w:sz w:val="19"/>
          <w:szCs w:val="19"/>
        </w:rPr>
        <w:t>Bundesverfassungsgericht</w:t>
      </w:r>
      <w:r>
        <w:rPr>
          <w:rFonts w:ascii="Plain Thin" w:eastAsiaTheme="minorHAnsi" w:hAnsi="Plain Thin"/>
          <w:sz w:val="19"/>
          <w:szCs w:val="19"/>
        </w:rPr>
        <w:t xml:space="preserve"> im Jahr 2018 die</w:t>
      </w:r>
      <w:r w:rsidRPr="00D5562E">
        <w:rPr>
          <w:rFonts w:ascii="Plain Thin" w:eastAsiaTheme="minorHAnsi" w:hAnsi="Plain Thin"/>
          <w:sz w:val="19"/>
          <w:szCs w:val="19"/>
        </w:rPr>
        <w:t xml:space="preserve"> Einheitsbewertung der Grundsteuer </w:t>
      </w:r>
      <w:r>
        <w:rPr>
          <w:rFonts w:ascii="Plain Thin" w:eastAsiaTheme="minorHAnsi" w:hAnsi="Plain Thin"/>
          <w:sz w:val="19"/>
          <w:szCs w:val="19"/>
        </w:rPr>
        <w:t>für</w:t>
      </w:r>
      <w:r w:rsidRPr="00D5562E">
        <w:rPr>
          <w:rFonts w:ascii="Plain Thin" w:eastAsiaTheme="minorHAnsi" w:hAnsi="Plain Thin"/>
          <w:sz w:val="19"/>
          <w:szCs w:val="19"/>
        </w:rPr>
        <w:t xml:space="preserve"> verfassungswidrig</w:t>
      </w:r>
      <w:r>
        <w:rPr>
          <w:rFonts w:ascii="Plain Thin" w:eastAsiaTheme="minorHAnsi" w:hAnsi="Plain Thin"/>
          <w:sz w:val="19"/>
          <w:szCs w:val="19"/>
        </w:rPr>
        <w:t xml:space="preserve"> erklärt hatte. Das </w:t>
      </w:r>
      <w:r w:rsidR="007D7D34">
        <w:rPr>
          <w:rFonts w:ascii="Plain Thin" w:eastAsiaTheme="minorHAnsi" w:hAnsi="Plain Thin"/>
          <w:sz w:val="19"/>
          <w:szCs w:val="19"/>
        </w:rPr>
        <w:t>Urteil war nicht überraschend</w:t>
      </w:r>
      <w:r>
        <w:rPr>
          <w:rFonts w:ascii="Plain Thin" w:eastAsiaTheme="minorHAnsi" w:hAnsi="Plain Thin"/>
          <w:sz w:val="19"/>
          <w:szCs w:val="19"/>
        </w:rPr>
        <w:t xml:space="preserve">, denn die </w:t>
      </w:r>
      <w:r w:rsidR="00D5562E" w:rsidRPr="00D5562E">
        <w:rPr>
          <w:rFonts w:ascii="Plain Thin" w:eastAsiaTheme="minorHAnsi" w:hAnsi="Plain Thin"/>
          <w:sz w:val="19"/>
          <w:szCs w:val="19"/>
        </w:rPr>
        <w:t xml:space="preserve">bisherige Berechnung basiert auf Grundstückswerten </w:t>
      </w:r>
      <w:r w:rsidR="007D7D34">
        <w:rPr>
          <w:rFonts w:ascii="Plain Thin" w:eastAsiaTheme="minorHAnsi" w:hAnsi="Plain Thin"/>
          <w:sz w:val="19"/>
          <w:szCs w:val="19"/>
        </w:rPr>
        <w:t xml:space="preserve">- </w:t>
      </w:r>
      <w:r w:rsidR="00D5562E" w:rsidRPr="00D5562E">
        <w:rPr>
          <w:rFonts w:ascii="Plain Thin" w:eastAsiaTheme="minorHAnsi" w:hAnsi="Plain Thin"/>
          <w:sz w:val="19"/>
          <w:szCs w:val="19"/>
        </w:rPr>
        <w:t>den sogenannten Einheitswerten</w:t>
      </w:r>
      <w:r w:rsidR="007D7D34">
        <w:rPr>
          <w:rFonts w:ascii="Plain Thin" w:eastAsiaTheme="minorHAnsi" w:hAnsi="Plain Thin"/>
          <w:sz w:val="19"/>
          <w:szCs w:val="19"/>
        </w:rPr>
        <w:t xml:space="preserve"> -</w:t>
      </w:r>
      <w:r>
        <w:rPr>
          <w:rFonts w:ascii="Plain Thin" w:eastAsiaTheme="minorHAnsi" w:hAnsi="Plain Thin"/>
          <w:sz w:val="19"/>
          <w:szCs w:val="19"/>
        </w:rPr>
        <w:t xml:space="preserve"> aus </w:t>
      </w:r>
      <w:r w:rsidR="00D5562E" w:rsidRPr="00D5562E">
        <w:rPr>
          <w:rFonts w:ascii="Plain Thin" w:eastAsiaTheme="minorHAnsi" w:hAnsi="Plain Thin"/>
          <w:sz w:val="19"/>
          <w:szCs w:val="19"/>
        </w:rPr>
        <w:t xml:space="preserve">1964 für Grundstücke im ehemaligen Westteil und sogar 1935 für Grundstücke im ehemaligen Ostteil Deutschlands. </w:t>
      </w:r>
      <w:r>
        <w:rPr>
          <w:rFonts w:ascii="Plain Thin" w:eastAsiaTheme="minorHAnsi" w:hAnsi="Plain Thin"/>
          <w:sz w:val="19"/>
          <w:szCs w:val="19"/>
        </w:rPr>
        <w:t xml:space="preserve">Für die Neubewertung </w:t>
      </w:r>
      <w:r w:rsidR="005E5134">
        <w:rPr>
          <w:rFonts w:ascii="Plain Thin" w:eastAsiaTheme="minorHAnsi" w:hAnsi="Plain Thin"/>
          <w:sz w:val="19"/>
          <w:szCs w:val="19"/>
        </w:rPr>
        <w:t xml:space="preserve">müssen alle </w:t>
      </w:r>
      <w:r w:rsidR="005E5134" w:rsidRPr="00D5562E">
        <w:rPr>
          <w:rFonts w:ascii="Plain Thin" w:eastAsiaTheme="minorHAnsi" w:hAnsi="Plain Thin"/>
          <w:sz w:val="19"/>
          <w:szCs w:val="19"/>
        </w:rPr>
        <w:t xml:space="preserve">Immobilieneigentümer und alle Inhaber eines land- und forstwirtschaftlichen Betriebs </w:t>
      </w:r>
      <w:r w:rsidR="00C83071">
        <w:rPr>
          <w:rFonts w:ascii="Plain Thin" w:eastAsiaTheme="minorHAnsi" w:hAnsi="Plain Thin"/>
          <w:sz w:val="19"/>
          <w:szCs w:val="19"/>
        </w:rPr>
        <w:t>eine neue Steuererklärung, die Grundsteuerwerterklärung</w:t>
      </w:r>
      <w:r w:rsidR="007D7D34">
        <w:rPr>
          <w:rFonts w:ascii="Plain Thin" w:eastAsiaTheme="minorHAnsi" w:hAnsi="Plain Thin"/>
          <w:sz w:val="19"/>
          <w:szCs w:val="19"/>
        </w:rPr>
        <w:t>,</w:t>
      </w:r>
      <w:r w:rsidR="00C83071">
        <w:rPr>
          <w:rFonts w:ascii="Plain Thin" w:eastAsiaTheme="minorHAnsi" w:hAnsi="Plain Thin"/>
          <w:sz w:val="19"/>
          <w:szCs w:val="19"/>
        </w:rPr>
        <w:t xml:space="preserve"> erstellen und </w:t>
      </w:r>
      <w:r w:rsidR="00C83071" w:rsidRPr="00D5562E">
        <w:rPr>
          <w:rFonts w:ascii="Plain Thin" w:eastAsiaTheme="minorHAnsi" w:hAnsi="Plain Thin"/>
          <w:sz w:val="19"/>
          <w:szCs w:val="19"/>
        </w:rPr>
        <w:t xml:space="preserve">zwischen dem 1. Juli und 31. Oktober 2022 </w:t>
      </w:r>
      <w:r w:rsidR="007D7D34">
        <w:rPr>
          <w:rFonts w:ascii="Plain Thin" w:eastAsiaTheme="minorHAnsi" w:hAnsi="Plain Thin"/>
          <w:sz w:val="19"/>
          <w:szCs w:val="19"/>
        </w:rPr>
        <w:t xml:space="preserve">an das </w:t>
      </w:r>
      <w:r w:rsidR="00C83071" w:rsidRPr="00D5562E">
        <w:rPr>
          <w:rFonts w:ascii="Plain Thin" w:eastAsiaTheme="minorHAnsi" w:hAnsi="Plain Thin"/>
          <w:sz w:val="19"/>
          <w:szCs w:val="19"/>
        </w:rPr>
        <w:t xml:space="preserve">Finanzamt </w:t>
      </w:r>
      <w:r w:rsidR="007D7D34">
        <w:rPr>
          <w:rFonts w:ascii="Plain Thin" w:eastAsiaTheme="minorHAnsi" w:hAnsi="Plain Thin"/>
          <w:sz w:val="19"/>
          <w:szCs w:val="19"/>
        </w:rPr>
        <w:t>übermitteln</w:t>
      </w:r>
      <w:r w:rsidR="00C83071">
        <w:rPr>
          <w:rFonts w:ascii="Plain Thin" w:eastAsiaTheme="minorHAnsi" w:hAnsi="Plain Thin"/>
          <w:sz w:val="19"/>
          <w:szCs w:val="19"/>
        </w:rPr>
        <w:t xml:space="preserve">. </w:t>
      </w:r>
      <w:r w:rsidR="00C83071" w:rsidRPr="00D5562E">
        <w:rPr>
          <w:rFonts w:ascii="Plain Thin" w:eastAsiaTheme="minorHAnsi" w:hAnsi="Plain Thin"/>
          <w:sz w:val="19"/>
          <w:szCs w:val="19"/>
        </w:rPr>
        <w:t>Derzeit erstellt die Finanzverwaltung die neuen Erklärungsvordrucke</w:t>
      </w:r>
      <w:r w:rsidR="007D7D34">
        <w:rPr>
          <w:rFonts w:ascii="Plain Thin" w:eastAsiaTheme="minorHAnsi" w:hAnsi="Plain Thin"/>
          <w:sz w:val="19"/>
          <w:szCs w:val="19"/>
        </w:rPr>
        <w:t>. Z</w:t>
      </w:r>
      <w:r w:rsidR="00D5562E" w:rsidRPr="00D5562E">
        <w:rPr>
          <w:rFonts w:ascii="Plain Thin" w:eastAsiaTheme="minorHAnsi" w:hAnsi="Plain Thin"/>
          <w:sz w:val="19"/>
          <w:szCs w:val="19"/>
        </w:rPr>
        <w:t xml:space="preserve">um 1. Juli 2022 soll dann die Möglichkeit zur Erfassung und Übermittlung der Steuererklärung im ELSTER-Portal freigeschaltet werden. </w:t>
      </w:r>
    </w:p>
    <w:p w14:paraId="54CC1E36" w14:textId="77777777" w:rsidR="007D7D34" w:rsidRDefault="007D7D34" w:rsidP="00D5562E">
      <w:pPr>
        <w:pStyle w:val="Textkrper"/>
        <w:ind w:left="122" w:hanging="2"/>
        <w:rPr>
          <w:rFonts w:ascii="Plain Thin" w:eastAsiaTheme="minorHAnsi" w:hAnsi="Plain Thin"/>
          <w:sz w:val="19"/>
          <w:szCs w:val="19"/>
        </w:rPr>
      </w:pPr>
    </w:p>
    <w:p w14:paraId="59C5FFAC" w14:textId="084C7E82" w:rsidR="007D7D34" w:rsidRDefault="007D7D34" w:rsidP="006952F8">
      <w:pPr>
        <w:pStyle w:val="Textkrper"/>
        <w:ind w:left="122" w:hanging="2"/>
        <w:rPr>
          <w:rFonts w:ascii="Plain Thin" w:eastAsiaTheme="minorHAnsi" w:hAnsi="Plain Thin"/>
          <w:sz w:val="19"/>
          <w:szCs w:val="19"/>
        </w:rPr>
      </w:pPr>
      <w:r>
        <w:rPr>
          <w:rFonts w:ascii="Plain Thin" w:eastAsiaTheme="minorHAnsi" w:hAnsi="Plain Thin"/>
          <w:i/>
          <w:iCs/>
          <w:sz w:val="19"/>
          <w:szCs w:val="19"/>
        </w:rPr>
        <w:t>„</w:t>
      </w:r>
      <w:r w:rsidR="00D5562E" w:rsidRPr="007D7D34">
        <w:rPr>
          <w:rFonts w:ascii="Plain Thin" w:eastAsiaTheme="minorHAnsi" w:hAnsi="Plain Thin"/>
          <w:i/>
          <w:iCs/>
          <w:sz w:val="19"/>
          <w:szCs w:val="19"/>
        </w:rPr>
        <w:t>Die Kürze der Zeit</w:t>
      </w:r>
      <w:r w:rsidRPr="007D7D34">
        <w:rPr>
          <w:rFonts w:ascii="Plain Thin" w:eastAsiaTheme="minorHAnsi" w:hAnsi="Plain Thin"/>
          <w:i/>
          <w:iCs/>
          <w:sz w:val="19"/>
          <w:szCs w:val="19"/>
        </w:rPr>
        <w:t xml:space="preserve"> für die Erstellung und Übertragung der Grundsteuerwerterklärung</w:t>
      </w:r>
      <w:r w:rsidR="00D5562E" w:rsidRPr="007D7D34">
        <w:rPr>
          <w:rFonts w:ascii="Plain Thin" w:eastAsiaTheme="minorHAnsi" w:hAnsi="Plain Thin"/>
          <w:i/>
          <w:iCs/>
          <w:sz w:val="19"/>
          <w:szCs w:val="19"/>
        </w:rPr>
        <w:t xml:space="preserve"> erfordert bereits jetzt entsprechende Vorbereitungen</w:t>
      </w:r>
      <w:r>
        <w:rPr>
          <w:rFonts w:ascii="Plain Thin" w:eastAsiaTheme="minorHAnsi" w:hAnsi="Plain Thin"/>
          <w:i/>
          <w:iCs/>
          <w:sz w:val="19"/>
          <w:szCs w:val="19"/>
        </w:rPr>
        <w:t xml:space="preserve">, </w:t>
      </w:r>
      <w:r w:rsidRPr="007D7D34">
        <w:rPr>
          <w:rFonts w:ascii="Plain Thin" w:eastAsiaTheme="minorHAnsi" w:hAnsi="Plain Thin"/>
          <w:i/>
          <w:iCs/>
          <w:sz w:val="19"/>
          <w:szCs w:val="19"/>
        </w:rPr>
        <w:t>denn nicht jeder hat die in der Erklärung abgefragten Angaben auch zur Hand</w:t>
      </w:r>
      <w:r>
        <w:rPr>
          <w:rFonts w:ascii="Plain Thin" w:eastAsiaTheme="minorHAnsi" w:hAnsi="Plain Thin"/>
          <w:i/>
          <w:iCs/>
          <w:sz w:val="19"/>
          <w:szCs w:val="19"/>
        </w:rPr>
        <w:t>“</w:t>
      </w:r>
      <w:r w:rsidR="00D5562E" w:rsidRPr="00D5562E">
        <w:rPr>
          <w:rFonts w:ascii="Plain Thin" w:eastAsiaTheme="minorHAnsi" w:hAnsi="Plain Thin"/>
          <w:sz w:val="19"/>
          <w:szCs w:val="19"/>
        </w:rPr>
        <w:t xml:space="preserve">, </w:t>
      </w:r>
      <w:r>
        <w:rPr>
          <w:rFonts w:ascii="Plain Thin" w:eastAsiaTheme="minorHAnsi" w:hAnsi="Plain Thin"/>
          <w:sz w:val="19"/>
          <w:szCs w:val="19"/>
        </w:rPr>
        <w:t>betont</w:t>
      </w:r>
      <w:r w:rsidR="00767AA9">
        <w:rPr>
          <w:rFonts w:ascii="Plain Thin" w:eastAsiaTheme="minorHAnsi" w:hAnsi="Plain Thin"/>
          <w:sz w:val="19"/>
          <w:szCs w:val="19"/>
        </w:rPr>
        <w:t xml:space="preserve"> Benjamin Hummel</w:t>
      </w:r>
      <w:r w:rsidR="006952F8">
        <w:rPr>
          <w:rFonts w:ascii="Plain Thin" w:eastAsiaTheme="minorHAnsi" w:hAnsi="Plain Thin"/>
          <w:sz w:val="19"/>
          <w:szCs w:val="19"/>
        </w:rPr>
        <w:t>. Benötigt werden beispielsweise fr</w:t>
      </w:r>
      <w:r w:rsidR="006952F8" w:rsidRPr="006952F8">
        <w:rPr>
          <w:rFonts w:ascii="Plain Thin" w:eastAsiaTheme="minorHAnsi" w:hAnsi="Plain Thin"/>
          <w:sz w:val="19"/>
          <w:szCs w:val="19"/>
        </w:rPr>
        <w:t>ühere Einheitswertbescheide hinsichtlich Steuernummern, Aktenzeichen oder Nummerierung der Gebäude</w:t>
      </w:r>
      <w:r w:rsidR="006952F8">
        <w:rPr>
          <w:rFonts w:ascii="Plain Thin" w:eastAsiaTheme="minorHAnsi" w:hAnsi="Plain Thin"/>
          <w:sz w:val="19"/>
          <w:szCs w:val="19"/>
        </w:rPr>
        <w:t xml:space="preserve">, </w:t>
      </w:r>
      <w:r w:rsidR="006952F8" w:rsidRPr="006952F8">
        <w:rPr>
          <w:rFonts w:ascii="Plain Thin" w:eastAsiaTheme="minorHAnsi" w:hAnsi="Plain Thin"/>
          <w:sz w:val="19"/>
          <w:szCs w:val="19"/>
        </w:rPr>
        <w:t xml:space="preserve">Grundbuchauszüge </w:t>
      </w:r>
      <w:r w:rsidR="006952F8">
        <w:rPr>
          <w:rFonts w:ascii="Plain Thin" w:eastAsiaTheme="minorHAnsi" w:hAnsi="Plain Thin"/>
          <w:sz w:val="19"/>
          <w:szCs w:val="19"/>
        </w:rPr>
        <w:t xml:space="preserve">und </w:t>
      </w:r>
      <w:r w:rsidR="006952F8" w:rsidRPr="006952F8">
        <w:rPr>
          <w:rFonts w:ascii="Plain Thin" w:eastAsiaTheme="minorHAnsi" w:hAnsi="Plain Thin"/>
          <w:sz w:val="19"/>
          <w:szCs w:val="19"/>
        </w:rPr>
        <w:t>Unterlagen zur Flächenberechnung</w:t>
      </w:r>
      <w:r w:rsidR="006952F8">
        <w:rPr>
          <w:rFonts w:ascii="Plain Thin" w:eastAsiaTheme="minorHAnsi" w:hAnsi="Plain Thin"/>
          <w:sz w:val="19"/>
          <w:szCs w:val="19"/>
        </w:rPr>
        <w:t>.</w:t>
      </w:r>
      <w:r w:rsidR="006952F8" w:rsidRPr="006952F8">
        <w:rPr>
          <w:rFonts w:ascii="Plain Thin" w:eastAsiaTheme="minorHAnsi" w:hAnsi="Plain Thin"/>
          <w:sz w:val="19"/>
          <w:szCs w:val="19"/>
        </w:rPr>
        <w:t xml:space="preserve"> </w:t>
      </w:r>
    </w:p>
    <w:p w14:paraId="1F4EB0AE" w14:textId="6389DB13" w:rsidR="007D7D34" w:rsidRDefault="007D7D34" w:rsidP="00D5562E">
      <w:pPr>
        <w:pStyle w:val="Textkrper"/>
        <w:ind w:left="122" w:hanging="2"/>
        <w:rPr>
          <w:rFonts w:ascii="Plain Thin" w:eastAsiaTheme="minorHAnsi" w:hAnsi="Plain Thin"/>
          <w:sz w:val="19"/>
          <w:szCs w:val="19"/>
        </w:rPr>
      </w:pPr>
    </w:p>
    <w:p w14:paraId="35CD8355" w14:textId="5E7768AC" w:rsidR="006952F8" w:rsidRDefault="00881D1D" w:rsidP="008B688B">
      <w:pPr>
        <w:pStyle w:val="Textkrper"/>
        <w:ind w:left="122" w:hanging="2"/>
        <w:rPr>
          <w:rFonts w:ascii="Plain Thin" w:eastAsiaTheme="minorHAnsi" w:hAnsi="Plain Thin"/>
          <w:sz w:val="19"/>
          <w:szCs w:val="19"/>
        </w:rPr>
      </w:pPr>
      <w:r w:rsidRPr="00881D1D">
        <w:rPr>
          <w:rFonts w:ascii="Plain Thin" w:eastAsiaTheme="minorHAnsi" w:hAnsi="Plain Thin"/>
          <w:sz w:val="19"/>
          <w:szCs w:val="19"/>
        </w:rPr>
        <w:t>Land- und for</w:t>
      </w:r>
      <w:r w:rsidR="006952F8">
        <w:rPr>
          <w:rFonts w:ascii="Plain Thin" w:eastAsiaTheme="minorHAnsi" w:hAnsi="Plain Thin"/>
          <w:sz w:val="19"/>
          <w:szCs w:val="19"/>
        </w:rPr>
        <w:t>s</w:t>
      </w:r>
      <w:r w:rsidRPr="00881D1D">
        <w:rPr>
          <w:rFonts w:ascii="Plain Thin" w:eastAsiaTheme="minorHAnsi" w:hAnsi="Plain Thin"/>
          <w:sz w:val="19"/>
          <w:szCs w:val="19"/>
        </w:rPr>
        <w:t xml:space="preserve">twirtschaftliches Vermögen wird nach dem </w:t>
      </w:r>
      <w:r w:rsidR="006952F8">
        <w:rPr>
          <w:rFonts w:ascii="Plain Thin" w:eastAsiaTheme="minorHAnsi" w:hAnsi="Plain Thin"/>
          <w:sz w:val="19"/>
          <w:szCs w:val="19"/>
        </w:rPr>
        <w:t xml:space="preserve">sogenannten </w:t>
      </w:r>
      <w:r w:rsidRPr="00881D1D">
        <w:rPr>
          <w:rFonts w:ascii="Plain Thin" w:eastAsiaTheme="minorHAnsi" w:hAnsi="Plain Thin"/>
          <w:sz w:val="19"/>
          <w:szCs w:val="19"/>
        </w:rPr>
        <w:t>Ertragswert</w:t>
      </w:r>
      <w:r w:rsidR="006952F8">
        <w:rPr>
          <w:rFonts w:ascii="Plain Thin" w:eastAsiaTheme="minorHAnsi" w:hAnsi="Plain Thin"/>
          <w:sz w:val="19"/>
          <w:szCs w:val="19"/>
        </w:rPr>
        <w:t>verfahren</w:t>
      </w:r>
      <w:r w:rsidRPr="00881D1D">
        <w:rPr>
          <w:rFonts w:ascii="Plain Thin" w:eastAsiaTheme="minorHAnsi" w:hAnsi="Plain Thin"/>
          <w:sz w:val="19"/>
          <w:szCs w:val="19"/>
        </w:rPr>
        <w:t xml:space="preserve"> bewertet</w:t>
      </w:r>
      <w:r w:rsidR="006952F8">
        <w:rPr>
          <w:rFonts w:ascii="Plain Thin" w:eastAsiaTheme="minorHAnsi" w:hAnsi="Plain Thin"/>
          <w:sz w:val="19"/>
          <w:szCs w:val="19"/>
        </w:rPr>
        <w:t>.</w:t>
      </w:r>
      <w:r w:rsidRPr="00881D1D">
        <w:rPr>
          <w:rFonts w:ascii="Plain Thin" w:eastAsiaTheme="minorHAnsi" w:hAnsi="Plain Thin"/>
          <w:sz w:val="19"/>
          <w:szCs w:val="19"/>
        </w:rPr>
        <w:t xml:space="preserve"> Bei der Ermittlung des Ertragswertes sind die unterschiedlichen Nutzungsarten </w:t>
      </w:r>
      <w:r>
        <w:rPr>
          <w:rFonts w:ascii="Plain Thin" w:eastAsiaTheme="minorHAnsi" w:hAnsi="Plain Thin"/>
          <w:sz w:val="19"/>
          <w:szCs w:val="19"/>
        </w:rPr>
        <w:t xml:space="preserve">(Landwirtschaft, Forstwirtschaft, Weinbau, Gärtnerei etc.) </w:t>
      </w:r>
      <w:r w:rsidRPr="00881D1D">
        <w:rPr>
          <w:rFonts w:ascii="Plain Thin" w:eastAsiaTheme="minorHAnsi" w:hAnsi="Plain Thin"/>
          <w:sz w:val="19"/>
          <w:szCs w:val="19"/>
        </w:rPr>
        <w:t>zu berücksichtigen</w:t>
      </w:r>
      <w:r>
        <w:rPr>
          <w:rFonts w:ascii="Plain Thin" w:eastAsiaTheme="minorHAnsi" w:hAnsi="Plain Thin"/>
          <w:sz w:val="19"/>
          <w:szCs w:val="19"/>
        </w:rPr>
        <w:t xml:space="preserve">. </w:t>
      </w:r>
      <w:r w:rsidRPr="00881D1D">
        <w:rPr>
          <w:rFonts w:ascii="Plain Thin" w:eastAsiaTheme="minorHAnsi" w:hAnsi="Plain Thin"/>
          <w:sz w:val="19"/>
          <w:szCs w:val="19"/>
        </w:rPr>
        <w:t>Hinzu kommt die Bewertung der Hoffläche und der Wirtschaftsgebäude. Bei der landwirtschaftlichen Nutzung ist nicht nur die bewirtschaftete Fläche als solche zu bewerten, sondern es ist zu berücksichtigen, ob es sich um Ackerflächen handelt und wie viele Vieheinheiten zum Betrieb gehören. Die Summe dieser einzelnen Werte ergibt den Reinertrag. Um den Grundsteuerwert zu ermitteln, ist dann der gesamte Reinertrag mit einem Kapitalisierungsfaktor zu multiplizieren.</w:t>
      </w:r>
      <w:r>
        <w:rPr>
          <w:rFonts w:ascii="Plain Thin" w:eastAsiaTheme="minorHAnsi" w:hAnsi="Plain Thin"/>
          <w:sz w:val="19"/>
          <w:szCs w:val="19"/>
        </w:rPr>
        <w:t xml:space="preserve"> </w:t>
      </w:r>
    </w:p>
    <w:p w14:paraId="7144261F" w14:textId="77777777" w:rsidR="006952F8" w:rsidRDefault="006952F8" w:rsidP="008B688B">
      <w:pPr>
        <w:pStyle w:val="Textkrper"/>
        <w:ind w:left="122" w:hanging="2"/>
        <w:rPr>
          <w:rFonts w:ascii="Plain Thin" w:eastAsiaTheme="minorHAnsi" w:hAnsi="Plain Thin"/>
          <w:sz w:val="19"/>
          <w:szCs w:val="19"/>
        </w:rPr>
      </w:pPr>
    </w:p>
    <w:p w14:paraId="1486DDBB" w14:textId="28341631" w:rsidR="008B688B" w:rsidRDefault="008B688B" w:rsidP="008B688B">
      <w:pPr>
        <w:pStyle w:val="Textkrper"/>
        <w:ind w:left="122" w:hanging="2"/>
        <w:rPr>
          <w:rFonts w:ascii="Plain Thin" w:eastAsiaTheme="minorHAnsi" w:hAnsi="Plain Thin"/>
          <w:sz w:val="19"/>
          <w:szCs w:val="19"/>
        </w:rPr>
      </w:pPr>
      <w:r>
        <w:rPr>
          <w:rFonts w:ascii="Plain Thin" w:eastAsiaTheme="minorHAnsi" w:hAnsi="Plain Thin"/>
          <w:sz w:val="19"/>
          <w:szCs w:val="19"/>
        </w:rPr>
        <w:t>„</w:t>
      </w:r>
      <w:r w:rsidRPr="008B688B">
        <w:rPr>
          <w:rFonts w:ascii="Plain Thin" w:eastAsiaTheme="minorHAnsi" w:hAnsi="Plain Thin"/>
          <w:i/>
          <w:iCs/>
          <w:sz w:val="19"/>
          <w:szCs w:val="19"/>
        </w:rPr>
        <w:t xml:space="preserve">Die Bewertung von Land- und forstwirtschaftlichen Betrieben ist </w:t>
      </w:r>
      <w:r>
        <w:rPr>
          <w:rFonts w:ascii="Plain Thin" w:eastAsiaTheme="minorHAnsi" w:hAnsi="Plain Thin"/>
          <w:i/>
          <w:iCs/>
          <w:sz w:val="19"/>
          <w:szCs w:val="19"/>
        </w:rPr>
        <w:t xml:space="preserve">also </w:t>
      </w:r>
      <w:r w:rsidRPr="008B688B">
        <w:rPr>
          <w:rFonts w:ascii="Plain Thin" w:eastAsiaTheme="minorHAnsi" w:hAnsi="Plain Thin"/>
          <w:i/>
          <w:iCs/>
          <w:sz w:val="19"/>
          <w:szCs w:val="19"/>
        </w:rPr>
        <w:t>ziemlich komplex.</w:t>
      </w:r>
      <w:r>
        <w:rPr>
          <w:rFonts w:ascii="Plain Thin" w:eastAsiaTheme="minorHAnsi" w:hAnsi="Plain Thin"/>
          <w:i/>
          <w:iCs/>
          <w:sz w:val="19"/>
          <w:szCs w:val="19"/>
        </w:rPr>
        <w:t xml:space="preserve"> </w:t>
      </w:r>
      <w:r w:rsidRPr="008B688B">
        <w:rPr>
          <w:rFonts w:ascii="Plain Thin" w:eastAsiaTheme="minorHAnsi" w:hAnsi="Plain Thin"/>
          <w:i/>
          <w:iCs/>
          <w:sz w:val="19"/>
          <w:szCs w:val="19"/>
        </w:rPr>
        <w:t>Land- und Forstwirte sollten sich daher schon jetzt um Unterstützung durch spezialisierte Steuerberater kümmern, um während der Getreideernte und der Haupterntezeit von einheimischen Tomaten und Gurken sowie Obst und Wein nicht so unter Zeitdruck zu geraten</w:t>
      </w:r>
      <w:r>
        <w:rPr>
          <w:rFonts w:ascii="Plain Thin" w:eastAsiaTheme="minorHAnsi" w:hAnsi="Plain Thin"/>
          <w:i/>
          <w:iCs/>
          <w:sz w:val="19"/>
          <w:szCs w:val="19"/>
        </w:rPr>
        <w:t>“</w:t>
      </w:r>
      <w:r>
        <w:rPr>
          <w:rFonts w:ascii="Plain Thin" w:eastAsiaTheme="minorHAnsi" w:hAnsi="Plain Thin"/>
          <w:sz w:val="19"/>
          <w:szCs w:val="19"/>
        </w:rPr>
        <w:t>, empfiehlt Benjamin Hummel.</w:t>
      </w:r>
      <w:r w:rsidRPr="00D5562E">
        <w:rPr>
          <w:rFonts w:ascii="Plain Thin" w:eastAsiaTheme="minorHAnsi" w:hAnsi="Plain Thin"/>
          <w:sz w:val="19"/>
          <w:szCs w:val="19"/>
        </w:rPr>
        <w:t xml:space="preserve"> </w:t>
      </w:r>
    </w:p>
    <w:p w14:paraId="1E9D5306" w14:textId="25F7809A" w:rsidR="008B688B" w:rsidRDefault="008B688B" w:rsidP="00D5562E">
      <w:pPr>
        <w:pStyle w:val="Textkrper"/>
        <w:ind w:left="122" w:hanging="2"/>
        <w:rPr>
          <w:rFonts w:ascii="Plain Thin" w:eastAsiaTheme="minorHAnsi" w:hAnsi="Plain Thin"/>
          <w:sz w:val="19"/>
          <w:szCs w:val="19"/>
        </w:rPr>
      </w:pPr>
    </w:p>
    <w:p w14:paraId="3B2BD3EA" w14:textId="47D5E424" w:rsidR="005D4945" w:rsidRPr="002A034C" w:rsidRDefault="002A034C" w:rsidP="002A034C">
      <w:pPr>
        <w:pStyle w:val="StandardWeb"/>
        <w:shd w:val="clear" w:color="auto" w:fill="FFFFFF"/>
        <w:spacing w:before="120" w:beforeAutospacing="0" w:line="75" w:lineRule="atLeast"/>
        <w:ind w:left="142"/>
        <w:rPr>
          <w:rFonts w:ascii="Plain Thin" w:eastAsiaTheme="minorHAnsi" w:hAnsi="Plain Thin" w:cs="Arial"/>
          <w:sz w:val="19"/>
          <w:szCs w:val="19"/>
          <w:lang w:eastAsia="en-US"/>
        </w:rPr>
      </w:pPr>
      <w:r w:rsidRPr="002A034C">
        <w:rPr>
          <w:rFonts w:ascii="Plain Thin" w:eastAsiaTheme="minorHAnsi" w:hAnsi="Plain Thin" w:cs="Arial"/>
          <w:sz w:val="19"/>
          <w:szCs w:val="19"/>
          <w:lang w:eastAsia="en-US"/>
        </w:rPr>
        <w:t xml:space="preserve">Mehr erfahren Sie im Webinar </w:t>
      </w:r>
      <w:hyperlink r:id="rId7" w:history="1">
        <w:r w:rsidRPr="002A034C">
          <w:rPr>
            <w:rStyle w:val="Hyperlink"/>
            <w:rFonts w:ascii="Plain Thin" w:eastAsiaTheme="minorHAnsi" w:hAnsi="Plain Thin" w:cs="Arial"/>
            <w:sz w:val="19"/>
            <w:szCs w:val="19"/>
            <w:lang w:eastAsia="en-US"/>
          </w:rPr>
          <w:t>„</w:t>
        </w:r>
        <w:r w:rsidRPr="002A034C">
          <w:rPr>
            <w:rStyle w:val="Hyperlink"/>
            <w:rFonts w:ascii="Plain Thin" w:eastAsiaTheme="minorHAnsi" w:hAnsi="Plain Thin" w:cs="Arial"/>
            <w:sz w:val="19"/>
            <w:szCs w:val="19"/>
            <w:lang w:eastAsia="en-US"/>
          </w:rPr>
          <w:t>Reform der Grundsteuer - Alles, was Land- &amp; Forstwirte jetzt wissen müssen</w:t>
        </w:r>
        <w:r w:rsidRPr="002A034C">
          <w:rPr>
            <w:rStyle w:val="Hyperlink"/>
            <w:rFonts w:ascii="Plain Thin" w:eastAsiaTheme="minorHAnsi" w:hAnsi="Plain Thin" w:cs="Arial"/>
            <w:sz w:val="19"/>
            <w:szCs w:val="19"/>
            <w:lang w:eastAsia="en-US"/>
          </w:rPr>
          <w:t>“.</w:t>
        </w:r>
      </w:hyperlink>
      <w:r w:rsidRPr="002A034C">
        <w:rPr>
          <w:rFonts w:ascii="Plain Thin" w:eastAsiaTheme="minorHAnsi" w:hAnsi="Plain Thin" w:cs="Arial"/>
          <w:sz w:val="19"/>
          <w:szCs w:val="19"/>
          <w:lang w:eastAsia="en-US"/>
        </w:rPr>
        <w:t xml:space="preserve"> </w:t>
      </w:r>
    </w:p>
    <w:p w14:paraId="50DB2B88" w14:textId="77777777" w:rsidR="006952F8" w:rsidRDefault="006952F8" w:rsidP="00D5562E">
      <w:pPr>
        <w:pStyle w:val="Textkrper"/>
        <w:ind w:left="122" w:hanging="2"/>
        <w:rPr>
          <w:rFonts w:ascii="Plain Thin" w:eastAsiaTheme="minorHAnsi" w:hAnsi="Plain Thin"/>
          <w:sz w:val="19"/>
          <w:szCs w:val="19"/>
        </w:rPr>
      </w:pPr>
    </w:p>
    <w:p w14:paraId="384B5466" w14:textId="77777777" w:rsidR="00E63A57" w:rsidRDefault="00E63A57">
      <w:pPr>
        <w:pStyle w:val="Textkrper"/>
        <w:spacing w:before="4"/>
        <w:rPr>
          <w:sz w:val="31"/>
        </w:rPr>
      </w:pPr>
    </w:p>
    <w:p w14:paraId="3CF19789" w14:textId="77777777" w:rsidR="00E63A57" w:rsidRDefault="000664FA">
      <w:pPr>
        <w:ind w:left="121"/>
        <w:rPr>
          <w:b/>
        </w:rPr>
      </w:pPr>
      <w:r>
        <w:rPr>
          <w:b/>
        </w:rPr>
        <w:t>Über</w:t>
      </w:r>
      <w:r>
        <w:rPr>
          <w:b/>
          <w:spacing w:val="2"/>
        </w:rPr>
        <w:t xml:space="preserve"> </w:t>
      </w:r>
      <w:r>
        <w:rPr>
          <w:b/>
        </w:rPr>
        <w:t>die</w:t>
      </w:r>
      <w:r>
        <w:rPr>
          <w:b/>
          <w:spacing w:val="-11"/>
        </w:rPr>
        <w:t xml:space="preserve"> </w:t>
      </w:r>
      <w:r>
        <w:rPr>
          <w:b/>
        </w:rPr>
        <w:t>ETL-Gruppe</w:t>
      </w:r>
    </w:p>
    <w:p w14:paraId="1B4F2B61" w14:textId="77777777" w:rsidR="00E63A57" w:rsidRDefault="00E63A57">
      <w:pPr>
        <w:pStyle w:val="Textkrper"/>
        <w:spacing w:before="10"/>
        <w:rPr>
          <w:b/>
          <w:sz w:val="18"/>
        </w:rPr>
      </w:pPr>
    </w:p>
    <w:p w14:paraId="473FDC17" w14:textId="3B8FD094" w:rsidR="00E63A57" w:rsidRDefault="000664FA">
      <w:pPr>
        <w:spacing w:line="304" w:lineRule="auto"/>
        <w:ind w:left="120" w:right="429" w:firstLine="4"/>
        <w:rPr>
          <w:sz w:val="16"/>
        </w:rPr>
      </w:pPr>
      <w:r>
        <w:rPr>
          <w:sz w:val="16"/>
        </w:rPr>
        <w:t>Die ETL-Gruppe</w:t>
      </w:r>
      <w:r>
        <w:rPr>
          <w:spacing w:val="1"/>
          <w:sz w:val="16"/>
        </w:rPr>
        <w:t xml:space="preserve"> </w:t>
      </w:r>
      <w:r>
        <w:rPr>
          <w:sz w:val="16"/>
        </w:rPr>
        <w:t>ist in Deutschland</w:t>
      </w:r>
      <w:r>
        <w:rPr>
          <w:spacing w:val="1"/>
          <w:sz w:val="16"/>
        </w:rPr>
        <w:t xml:space="preserve"> </w:t>
      </w:r>
      <w:r>
        <w:rPr>
          <w:sz w:val="16"/>
        </w:rPr>
        <w:t>mit über</w:t>
      </w:r>
      <w:r>
        <w:rPr>
          <w:spacing w:val="1"/>
          <w:sz w:val="16"/>
        </w:rPr>
        <w:t xml:space="preserve"> </w:t>
      </w:r>
      <w:r>
        <w:rPr>
          <w:sz w:val="16"/>
        </w:rPr>
        <w:t>870 Kanzleien vertreten</w:t>
      </w:r>
      <w:r>
        <w:rPr>
          <w:spacing w:val="1"/>
          <w:sz w:val="16"/>
        </w:rPr>
        <w:t xml:space="preserve"> </w:t>
      </w:r>
      <w:r>
        <w:rPr>
          <w:sz w:val="16"/>
        </w:rPr>
        <w:t>und darüber</w:t>
      </w:r>
      <w:r>
        <w:rPr>
          <w:spacing w:val="1"/>
          <w:sz w:val="16"/>
        </w:rPr>
        <w:t xml:space="preserve"> </w:t>
      </w:r>
      <w:r>
        <w:rPr>
          <w:sz w:val="16"/>
        </w:rPr>
        <w:t>hinaus in 50 Ländern</w:t>
      </w:r>
      <w:r>
        <w:rPr>
          <w:spacing w:val="1"/>
          <w:sz w:val="16"/>
        </w:rPr>
        <w:t xml:space="preserve"> </w:t>
      </w:r>
      <w:r>
        <w:rPr>
          <w:sz w:val="16"/>
        </w:rPr>
        <w:t xml:space="preserve">weltweit mit </w:t>
      </w:r>
      <w:r w:rsidR="00901D2B">
        <w:rPr>
          <w:sz w:val="16"/>
        </w:rPr>
        <w:t>1.300 Standorten</w:t>
      </w:r>
      <w:r>
        <w:rPr>
          <w:sz w:val="16"/>
        </w:rPr>
        <w:t xml:space="preserve"> präsent. ETL ist Marktführer</w:t>
      </w:r>
      <w:r>
        <w:rPr>
          <w:spacing w:val="1"/>
          <w:sz w:val="16"/>
        </w:rPr>
        <w:t xml:space="preserve"> </w:t>
      </w:r>
      <w:r>
        <w:rPr>
          <w:sz w:val="16"/>
        </w:rPr>
        <w:t>im</w:t>
      </w:r>
      <w:r>
        <w:rPr>
          <w:spacing w:val="1"/>
          <w:sz w:val="16"/>
        </w:rPr>
        <w:t xml:space="preserve"> </w:t>
      </w:r>
      <w:r>
        <w:rPr>
          <w:sz w:val="16"/>
        </w:rPr>
        <w:t>Bereich Steuerberatung und gehört</w:t>
      </w:r>
      <w:r>
        <w:rPr>
          <w:spacing w:val="1"/>
          <w:sz w:val="16"/>
        </w:rPr>
        <w:t xml:space="preserve"> </w:t>
      </w:r>
      <w:r>
        <w:rPr>
          <w:sz w:val="16"/>
        </w:rPr>
        <w:t>zu den Top 5 der Wirtschaftsprüfungs- und</w:t>
      </w:r>
      <w:r>
        <w:rPr>
          <w:spacing w:val="1"/>
          <w:sz w:val="16"/>
        </w:rPr>
        <w:t xml:space="preserve"> </w:t>
      </w:r>
      <w:r>
        <w:rPr>
          <w:sz w:val="16"/>
        </w:rPr>
        <w:t>Steuerberatungsgesellschaften in</w:t>
      </w:r>
      <w:r>
        <w:rPr>
          <w:spacing w:val="1"/>
          <w:sz w:val="16"/>
        </w:rPr>
        <w:t xml:space="preserve"> </w:t>
      </w:r>
      <w:r>
        <w:rPr>
          <w:sz w:val="16"/>
        </w:rPr>
        <w:t>Deutschland.</w:t>
      </w:r>
      <w:r>
        <w:rPr>
          <w:spacing w:val="1"/>
          <w:sz w:val="16"/>
        </w:rPr>
        <w:t xml:space="preserve"> </w:t>
      </w:r>
      <w:r>
        <w:rPr>
          <w:sz w:val="16"/>
        </w:rPr>
        <w:t>Die</w:t>
      </w:r>
      <w:r>
        <w:rPr>
          <w:spacing w:val="1"/>
          <w:sz w:val="16"/>
        </w:rPr>
        <w:t xml:space="preserve"> </w:t>
      </w:r>
      <w:r>
        <w:rPr>
          <w:sz w:val="16"/>
        </w:rPr>
        <w:t>Unternehmensgruppe erwirtschaftet mit</w:t>
      </w:r>
      <w:r>
        <w:rPr>
          <w:spacing w:val="1"/>
          <w:sz w:val="16"/>
        </w:rPr>
        <w:t xml:space="preserve"> </w:t>
      </w:r>
      <w:r>
        <w:rPr>
          <w:sz w:val="16"/>
        </w:rPr>
        <w:t>ihren</w:t>
      </w:r>
      <w:r>
        <w:rPr>
          <w:spacing w:val="1"/>
          <w:sz w:val="16"/>
        </w:rPr>
        <w:t xml:space="preserve"> </w:t>
      </w:r>
      <w:r>
        <w:rPr>
          <w:sz w:val="16"/>
        </w:rPr>
        <w:t>Geschäftsbereichen</w:t>
      </w:r>
      <w:r>
        <w:rPr>
          <w:spacing w:val="1"/>
          <w:sz w:val="16"/>
        </w:rPr>
        <w:t xml:space="preserve"> </w:t>
      </w:r>
      <w:r>
        <w:rPr>
          <w:sz w:val="16"/>
        </w:rPr>
        <w:t>Steuerberatung, Wirtschaftsprüfung, Rechtsberatung, Unternehmensberatung</w:t>
      </w:r>
      <w:r>
        <w:rPr>
          <w:spacing w:val="1"/>
          <w:sz w:val="16"/>
        </w:rPr>
        <w:t xml:space="preserve"> </w:t>
      </w:r>
      <w:r>
        <w:rPr>
          <w:sz w:val="16"/>
        </w:rPr>
        <w:t>und IT bundesweit</w:t>
      </w:r>
      <w:r>
        <w:rPr>
          <w:spacing w:val="1"/>
          <w:sz w:val="16"/>
        </w:rPr>
        <w:t xml:space="preserve"> </w:t>
      </w:r>
      <w:r>
        <w:rPr>
          <w:sz w:val="16"/>
        </w:rPr>
        <w:t>einen</w:t>
      </w:r>
      <w:r>
        <w:rPr>
          <w:spacing w:val="44"/>
          <w:sz w:val="16"/>
        </w:rPr>
        <w:t xml:space="preserve"> </w:t>
      </w:r>
      <w:r>
        <w:rPr>
          <w:sz w:val="16"/>
        </w:rPr>
        <w:t>Gruppenumsatz</w:t>
      </w:r>
      <w:r>
        <w:rPr>
          <w:spacing w:val="1"/>
          <w:sz w:val="16"/>
        </w:rPr>
        <w:t xml:space="preserve"> </w:t>
      </w:r>
      <w:r>
        <w:rPr>
          <w:sz w:val="16"/>
        </w:rPr>
        <w:t>von über 979 Mio. Euro. Insgesamt</w:t>
      </w:r>
      <w:r>
        <w:rPr>
          <w:spacing w:val="1"/>
          <w:sz w:val="16"/>
        </w:rPr>
        <w:t xml:space="preserve"> </w:t>
      </w:r>
      <w:r>
        <w:rPr>
          <w:sz w:val="16"/>
        </w:rPr>
        <w:t>betreuen über 10.000 Mitarbeiter -</w:t>
      </w:r>
      <w:r>
        <w:rPr>
          <w:spacing w:val="1"/>
          <w:sz w:val="16"/>
        </w:rPr>
        <w:t xml:space="preserve"> </w:t>
      </w:r>
      <w:r>
        <w:rPr>
          <w:sz w:val="16"/>
        </w:rPr>
        <w:t>darunter mehr als 1.500 Steuerberater,</w:t>
      </w:r>
      <w:r>
        <w:rPr>
          <w:spacing w:val="1"/>
          <w:sz w:val="16"/>
        </w:rPr>
        <w:t xml:space="preserve"> </w:t>
      </w:r>
      <w:r>
        <w:rPr>
          <w:sz w:val="16"/>
        </w:rPr>
        <w:t>Rechtsanwälte,</w:t>
      </w:r>
      <w:r>
        <w:rPr>
          <w:spacing w:val="-5"/>
          <w:sz w:val="16"/>
        </w:rPr>
        <w:t xml:space="preserve"> </w:t>
      </w:r>
      <w:r>
        <w:rPr>
          <w:sz w:val="16"/>
        </w:rPr>
        <w:t>Wirtschaftsprüfer</w:t>
      </w:r>
      <w:r>
        <w:rPr>
          <w:spacing w:val="-3"/>
          <w:sz w:val="16"/>
        </w:rPr>
        <w:t xml:space="preserve"> </w:t>
      </w:r>
      <w:r>
        <w:rPr>
          <w:sz w:val="16"/>
        </w:rPr>
        <w:t>und</w:t>
      </w:r>
      <w:r>
        <w:rPr>
          <w:spacing w:val="1"/>
          <w:sz w:val="16"/>
        </w:rPr>
        <w:t xml:space="preserve"> </w:t>
      </w:r>
      <w:r>
        <w:rPr>
          <w:sz w:val="16"/>
        </w:rPr>
        <w:t>Unternehmensberater</w:t>
      </w:r>
      <w:r>
        <w:rPr>
          <w:spacing w:val="-4"/>
          <w:sz w:val="16"/>
        </w:rPr>
        <w:t xml:space="preserve"> </w:t>
      </w:r>
      <w:r>
        <w:rPr>
          <w:sz w:val="16"/>
        </w:rPr>
        <w:t>-</w:t>
      </w:r>
      <w:r>
        <w:rPr>
          <w:spacing w:val="44"/>
          <w:sz w:val="16"/>
        </w:rPr>
        <w:t xml:space="preserve"> </w:t>
      </w:r>
      <w:r>
        <w:rPr>
          <w:sz w:val="16"/>
        </w:rPr>
        <w:t>überall</w:t>
      </w:r>
      <w:r>
        <w:rPr>
          <w:spacing w:val="9"/>
          <w:sz w:val="16"/>
        </w:rPr>
        <w:t xml:space="preserve"> </w:t>
      </w:r>
      <w:r>
        <w:rPr>
          <w:sz w:val="16"/>
        </w:rPr>
        <w:t>in Deutschland</w:t>
      </w:r>
      <w:r>
        <w:rPr>
          <w:spacing w:val="18"/>
          <w:sz w:val="16"/>
        </w:rPr>
        <w:t xml:space="preserve"> </w:t>
      </w:r>
      <w:r>
        <w:rPr>
          <w:sz w:val="16"/>
        </w:rPr>
        <w:t>mehr</w:t>
      </w:r>
      <w:r>
        <w:rPr>
          <w:spacing w:val="14"/>
          <w:sz w:val="16"/>
        </w:rPr>
        <w:t xml:space="preserve"> </w:t>
      </w:r>
      <w:r>
        <w:rPr>
          <w:sz w:val="16"/>
        </w:rPr>
        <w:t>als</w:t>
      </w:r>
      <w:r>
        <w:rPr>
          <w:spacing w:val="7"/>
          <w:sz w:val="16"/>
        </w:rPr>
        <w:t xml:space="preserve"> </w:t>
      </w:r>
      <w:r>
        <w:rPr>
          <w:sz w:val="16"/>
        </w:rPr>
        <w:t>210.000</w:t>
      </w:r>
      <w:r>
        <w:rPr>
          <w:spacing w:val="18"/>
          <w:sz w:val="16"/>
        </w:rPr>
        <w:t xml:space="preserve"> </w:t>
      </w:r>
      <w:r>
        <w:rPr>
          <w:sz w:val="16"/>
        </w:rPr>
        <w:t>Mandanten.</w:t>
      </w:r>
    </w:p>
    <w:p w14:paraId="77EB2C81" w14:textId="77777777" w:rsidR="00E63A57" w:rsidRDefault="00E63A57">
      <w:pPr>
        <w:pStyle w:val="Textkrper"/>
        <w:rPr>
          <w:sz w:val="18"/>
        </w:rPr>
      </w:pPr>
    </w:p>
    <w:p w14:paraId="14173C04" w14:textId="77777777" w:rsidR="00E63A57" w:rsidRDefault="00E63A57">
      <w:pPr>
        <w:pStyle w:val="Textkrper"/>
        <w:rPr>
          <w:sz w:val="18"/>
        </w:rPr>
      </w:pPr>
    </w:p>
    <w:p w14:paraId="5A660F56" w14:textId="77777777" w:rsidR="00E63A57" w:rsidRDefault="000664FA">
      <w:pPr>
        <w:spacing w:before="144"/>
        <w:ind w:left="126"/>
        <w:rPr>
          <w:b/>
          <w:sz w:val="15"/>
        </w:rPr>
      </w:pPr>
      <w:r>
        <w:rPr>
          <w:b/>
          <w:w w:val="105"/>
          <w:sz w:val="15"/>
        </w:rPr>
        <w:t>Pressekontakt</w:t>
      </w:r>
    </w:p>
    <w:p w14:paraId="186744B0" w14:textId="77777777" w:rsidR="00E63A57" w:rsidRDefault="000664FA">
      <w:pPr>
        <w:spacing w:before="35" w:line="283" w:lineRule="auto"/>
        <w:ind w:left="127" w:hanging="3"/>
        <w:rPr>
          <w:sz w:val="16"/>
        </w:rPr>
      </w:pPr>
      <w:r>
        <w:rPr>
          <w:sz w:val="16"/>
        </w:rPr>
        <w:t>Danyal</w:t>
      </w:r>
      <w:r>
        <w:rPr>
          <w:spacing w:val="1"/>
          <w:sz w:val="16"/>
        </w:rPr>
        <w:t xml:space="preserve"> </w:t>
      </w:r>
      <w:r>
        <w:rPr>
          <w:sz w:val="16"/>
        </w:rPr>
        <w:t>Alaybeyoglu,</w:t>
      </w:r>
      <w:r>
        <w:rPr>
          <w:spacing w:val="1"/>
          <w:sz w:val="16"/>
        </w:rPr>
        <w:t xml:space="preserve"> </w:t>
      </w:r>
      <w:r>
        <w:rPr>
          <w:sz w:val="16"/>
        </w:rPr>
        <w:t>Tel.:</w:t>
      </w:r>
      <w:r>
        <w:rPr>
          <w:spacing w:val="1"/>
          <w:sz w:val="16"/>
        </w:rPr>
        <w:t xml:space="preserve"> </w:t>
      </w:r>
      <w:r>
        <w:rPr>
          <w:sz w:val="16"/>
        </w:rPr>
        <w:t>030</w:t>
      </w:r>
      <w:r>
        <w:rPr>
          <w:spacing w:val="1"/>
          <w:sz w:val="16"/>
        </w:rPr>
        <w:t xml:space="preserve"> </w:t>
      </w:r>
      <w:r>
        <w:rPr>
          <w:sz w:val="16"/>
        </w:rPr>
        <w:t>22</w:t>
      </w:r>
      <w:r>
        <w:rPr>
          <w:spacing w:val="1"/>
          <w:sz w:val="16"/>
        </w:rPr>
        <w:t xml:space="preserve"> </w:t>
      </w:r>
      <w:r>
        <w:rPr>
          <w:sz w:val="16"/>
        </w:rPr>
        <w:t>64</w:t>
      </w:r>
      <w:r>
        <w:rPr>
          <w:spacing w:val="1"/>
          <w:sz w:val="16"/>
        </w:rPr>
        <w:t xml:space="preserve"> </w:t>
      </w:r>
      <w:r>
        <w:rPr>
          <w:sz w:val="16"/>
        </w:rPr>
        <w:t>02</w:t>
      </w:r>
      <w:r>
        <w:rPr>
          <w:spacing w:val="1"/>
          <w:sz w:val="16"/>
        </w:rPr>
        <w:t xml:space="preserve"> </w:t>
      </w:r>
      <w:r>
        <w:rPr>
          <w:sz w:val="16"/>
        </w:rPr>
        <w:t>30,</w:t>
      </w:r>
      <w:r>
        <w:rPr>
          <w:spacing w:val="1"/>
          <w:sz w:val="16"/>
        </w:rPr>
        <w:t xml:space="preserve"> </w:t>
      </w:r>
      <w:r>
        <w:rPr>
          <w:sz w:val="16"/>
        </w:rPr>
        <w:t>E-Mail:</w:t>
      </w:r>
      <w:r>
        <w:rPr>
          <w:spacing w:val="1"/>
          <w:sz w:val="16"/>
        </w:rPr>
        <w:t xml:space="preserve"> </w:t>
      </w:r>
      <w:hyperlink r:id="rId8">
        <w:r>
          <w:rPr>
            <w:sz w:val="16"/>
          </w:rPr>
          <w:t>danyal.alaybeyoglu@etl.de,</w:t>
        </w:r>
      </w:hyperlink>
      <w:r>
        <w:rPr>
          <w:spacing w:val="1"/>
          <w:sz w:val="16"/>
        </w:rPr>
        <w:t xml:space="preserve"> </w:t>
      </w:r>
      <w:r>
        <w:rPr>
          <w:sz w:val="16"/>
        </w:rPr>
        <w:t>ETL,</w:t>
      </w:r>
      <w:r>
        <w:rPr>
          <w:spacing w:val="1"/>
          <w:sz w:val="16"/>
        </w:rPr>
        <w:t xml:space="preserve"> </w:t>
      </w:r>
      <w:r>
        <w:rPr>
          <w:sz w:val="16"/>
        </w:rPr>
        <w:t>Mauerstraße</w:t>
      </w:r>
      <w:r>
        <w:rPr>
          <w:spacing w:val="1"/>
          <w:sz w:val="16"/>
        </w:rPr>
        <w:t xml:space="preserve"> </w:t>
      </w:r>
      <w:r>
        <w:rPr>
          <w:sz w:val="16"/>
        </w:rPr>
        <w:t>86-88, 10117</w:t>
      </w:r>
      <w:r>
        <w:rPr>
          <w:spacing w:val="1"/>
          <w:sz w:val="16"/>
        </w:rPr>
        <w:t xml:space="preserve"> </w:t>
      </w:r>
      <w:r>
        <w:rPr>
          <w:sz w:val="16"/>
        </w:rPr>
        <w:t>Berlin,</w:t>
      </w:r>
      <w:r>
        <w:rPr>
          <w:spacing w:val="1"/>
          <w:sz w:val="16"/>
        </w:rPr>
        <w:t xml:space="preserve"> </w:t>
      </w:r>
      <w:hyperlink r:id="rId9">
        <w:r>
          <w:rPr>
            <w:sz w:val="16"/>
          </w:rPr>
          <w:t>www.etl.de</w:t>
        </w:r>
      </w:hyperlink>
    </w:p>
    <w:sectPr w:rsidR="00E63A57" w:rsidSect="001634DD">
      <w:headerReference w:type="default" r:id="rId10"/>
      <w:pgSz w:w="11910" w:h="16840"/>
      <w:pgMar w:top="1418" w:right="1281" w:bottom="1021"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3DD6" w14:textId="77777777" w:rsidR="000D570D" w:rsidRDefault="000D570D" w:rsidP="001634DD">
      <w:r>
        <w:separator/>
      </w:r>
    </w:p>
  </w:endnote>
  <w:endnote w:type="continuationSeparator" w:id="0">
    <w:p w14:paraId="25019B85" w14:textId="77777777" w:rsidR="000D570D" w:rsidRDefault="000D570D" w:rsidP="0016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in Thin">
    <w:charset w:val="00"/>
    <w:family w:val="swiss"/>
    <w:notTrueType/>
    <w:pitch w:val="variable"/>
    <w:sig w:usb0="8000002F" w:usb1="0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284F" w14:textId="77777777" w:rsidR="000D570D" w:rsidRDefault="000D570D" w:rsidP="001634DD">
      <w:r>
        <w:separator/>
      </w:r>
    </w:p>
  </w:footnote>
  <w:footnote w:type="continuationSeparator" w:id="0">
    <w:p w14:paraId="5C015E96" w14:textId="77777777" w:rsidR="000D570D" w:rsidRDefault="000D570D" w:rsidP="0016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DA46" w14:textId="0F0B5D25" w:rsidR="001634DD" w:rsidRDefault="001634DD" w:rsidP="001634DD">
    <w:pPr>
      <w:pStyle w:val="Kopfzeile"/>
      <w:jc w:val="right"/>
    </w:pPr>
    <w:r w:rsidRPr="001634DD">
      <w:rPr>
        <w:noProof/>
        <w:sz w:val="40"/>
        <w:szCs w:val="40"/>
      </w:rPr>
      <w:drawing>
        <wp:inline distT="0" distB="0" distL="0" distR="0" wp14:anchorId="420103F2" wp14:editId="6FC584A5">
          <wp:extent cx="2919600" cy="396000"/>
          <wp:effectExtent l="0" t="0" r="0" b="4445"/>
          <wp:docPr id="1" name="Grafik 7">
            <a:extLst xmlns:a="http://schemas.openxmlformats.org/drawingml/2006/main">
              <a:ext uri="{FF2B5EF4-FFF2-40B4-BE49-F238E27FC236}">
                <a16:creationId xmlns:a16="http://schemas.microsoft.com/office/drawing/2014/main" id="{82684BA5-5C17-294C-A304-25092F062A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82684BA5-5C17-294C-A304-25092F062A99}"/>
                      </a:ext>
                    </a:extLst>
                  </pic:cNvPr>
                  <pic:cNvPicPr>
                    <a:picLocks noChangeAspect="1"/>
                  </pic:cNvPicPr>
                </pic:nvPicPr>
                <pic:blipFill>
                  <a:blip r:embed="rId1"/>
                  <a:stretch>
                    <a:fillRect/>
                  </a:stretch>
                </pic:blipFill>
                <pic:spPr>
                  <a:xfrm>
                    <a:off x="0" y="0"/>
                    <a:ext cx="2919600" cy="39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57"/>
    <w:rsid w:val="00056F32"/>
    <w:rsid w:val="000664FA"/>
    <w:rsid w:val="000D570D"/>
    <w:rsid w:val="001634DD"/>
    <w:rsid w:val="002A034C"/>
    <w:rsid w:val="0036784E"/>
    <w:rsid w:val="004F6FAC"/>
    <w:rsid w:val="00544712"/>
    <w:rsid w:val="005D4945"/>
    <w:rsid w:val="005E5134"/>
    <w:rsid w:val="00642CE7"/>
    <w:rsid w:val="006952F8"/>
    <w:rsid w:val="006B3673"/>
    <w:rsid w:val="00767AA9"/>
    <w:rsid w:val="007D7D34"/>
    <w:rsid w:val="00881D1D"/>
    <w:rsid w:val="008B688B"/>
    <w:rsid w:val="00901D2B"/>
    <w:rsid w:val="00AA1680"/>
    <w:rsid w:val="00B24BF3"/>
    <w:rsid w:val="00C47E96"/>
    <w:rsid w:val="00C83071"/>
    <w:rsid w:val="00D5562E"/>
    <w:rsid w:val="00D82998"/>
    <w:rsid w:val="00DD6CBA"/>
    <w:rsid w:val="00E01EDF"/>
    <w:rsid w:val="00E63A57"/>
    <w:rsid w:val="00EF13A2"/>
    <w:rsid w:val="00F21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78E4B"/>
  <w15:docId w15:val="{D0121AFD-48C6-4885-93FD-A1F4A23A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Titel">
    <w:name w:val="Title"/>
    <w:basedOn w:val="Standard"/>
    <w:uiPriority w:val="10"/>
    <w:qFormat/>
    <w:pPr>
      <w:ind w:left="123"/>
    </w:pPr>
    <w:rPr>
      <w:sz w:val="40"/>
      <w:szCs w:val="4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634DD"/>
    <w:pPr>
      <w:tabs>
        <w:tab w:val="center" w:pos="4536"/>
        <w:tab w:val="right" w:pos="9072"/>
      </w:tabs>
    </w:pPr>
  </w:style>
  <w:style w:type="character" w:customStyle="1" w:styleId="KopfzeileZchn">
    <w:name w:val="Kopfzeile Zchn"/>
    <w:basedOn w:val="Absatz-Standardschriftart"/>
    <w:link w:val="Kopfzeile"/>
    <w:uiPriority w:val="99"/>
    <w:rsid w:val="001634DD"/>
    <w:rPr>
      <w:rFonts w:ascii="Arial" w:eastAsia="Arial" w:hAnsi="Arial" w:cs="Arial"/>
      <w:lang w:val="de-DE"/>
    </w:rPr>
  </w:style>
  <w:style w:type="paragraph" w:styleId="Fuzeile">
    <w:name w:val="footer"/>
    <w:basedOn w:val="Standard"/>
    <w:link w:val="FuzeileZchn"/>
    <w:uiPriority w:val="99"/>
    <w:unhideWhenUsed/>
    <w:rsid w:val="001634DD"/>
    <w:pPr>
      <w:tabs>
        <w:tab w:val="center" w:pos="4536"/>
        <w:tab w:val="right" w:pos="9072"/>
      </w:tabs>
    </w:pPr>
  </w:style>
  <w:style w:type="character" w:customStyle="1" w:styleId="FuzeileZchn">
    <w:name w:val="Fußzeile Zchn"/>
    <w:basedOn w:val="Absatz-Standardschriftart"/>
    <w:link w:val="Fuzeile"/>
    <w:uiPriority w:val="99"/>
    <w:rsid w:val="001634DD"/>
    <w:rPr>
      <w:rFonts w:ascii="Arial" w:eastAsia="Arial" w:hAnsi="Arial" w:cs="Arial"/>
      <w:lang w:val="de-DE"/>
    </w:rPr>
  </w:style>
  <w:style w:type="paragraph" w:styleId="StandardWeb">
    <w:name w:val="Normal (Web)"/>
    <w:basedOn w:val="Standard"/>
    <w:uiPriority w:val="99"/>
    <w:semiHidden/>
    <w:unhideWhenUsed/>
    <w:rsid w:val="005D4945"/>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D4945"/>
    <w:rPr>
      <w:color w:val="0000FF"/>
      <w:u w:val="single"/>
    </w:rPr>
  </w:style>
  <w:style w:type="character" w:styleId="BesuchterLink">
    <w:name w:val="FollowedHyperlink"/>
    <w:basedOn w:val="Absatz-Standardschriftart"/>
    <w:uiPriority w:val="99"/>
    <w:semiHidden/>
    <w:unhideWhenUsed/>
    <w:rsid w:val="002A034C"/>
    <w:rPr>
      <w:color w:val="800080" w:themeColor="followedHyperlink"/>
      <w:u w:val="single"/>
    </w:rPr>
  </w:style>
  <w:style w:type="character" w:styleId="NichtaufgelsteErwhnung">
    <w:name w:val="Unresolved Mention"/>
    <w:basedOn w:val="Absatz-Standardschriftart"/>
    <w:uiPriority w:val="99"/>
    <w:semiHidden/>
    <w:unhideWhenUsed/>
    <w:rsid w:val="002A0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94171">
      <w:bodyDiv w:val="1"/>
      <w:marLeft w:val="45"/>
      <w:marRight w:val="45"/>
      <w:marTop w:val="45"/>
      <w:marBottom w:val="45"/>
      <w:divBdr>
        <w:top w:val="none" w:sz="0" w:space="0" w:color="auto"/>
        <w:left w:val="none" w:sz="0" w:space="0" w:color="auto"/>
        <w:bottom w:val="none" w:sz="0" w:space="0" w:color="auto"/>
        <w:right w:val="none" w:sz="0" w:space="0" w:color="auto"/>
      </w:divBdr>
      <w:divsChild>
        <w:div w:id="575210324">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yal.alaybeyoglu@etl.de" TargetMode="External"/><Relationship Id="rId3" Type="http://schemas.openxmlformats.org/officeDocument/2006/relationships/settings" Target="settings.xml"/><Relationship Id="rId7" Type="http://schemas.openxmlformats.org/officeDocument/2006/relationships/hyperlink" Target="https://vimeo.com/681876369/aaf1134ef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99BFA-579D-4060-9428-D4D8AAA9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Admin</cp:lastModifiedBy>
  <cp:revision>3</cp:revision>
  <cp:lastPrinted>2022-02-22T18:22:00Z</cp:lastPrinted>
  <dcterms:created xsi:type="dcterms:W3CDTF">2022-03-01T08:08:00Z</dcterms:created>
  <dcterms:modified xsi:type="dcterms:W3CDTF">2022-03-01T08:18:00Z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2016</vt:lpwstr>
  </property>
  <property fmtid="{D5CDD505-2E9C-101B-9397-08002B2CF9AE}" pid="4" name="LastSaved">
    <vt:filetime>2022-02-21T00:00:00Z</vt:filetime>
  </property>
</Properties>
</file>