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907A" w14:textId="77777777" w:rsidR="00A34C60" w:rsidRDefault="00A34C60" w:rsidP="00A34C60">
      <w:pPr>
        <w:spacing w:line="360" w:lineRule="auto"/>
        <w:jc w:val="both"/>
        <w:rPr>
          <w:rFonts w:ascii="Plain" w:hAnsi="Plain" w:cs="Arial"/>
          <w:b/>
          <w:bCs/>
          <w:sz w:val="24"/>
          <w:szCs w:val="24"/>
        </w:rPr>
      </w:pPr>
      <w:r>
        <w:rPr>
          <w:noProof/>
          <w:lang w:eastAsia="de-DE"/>
        </w:rPr>
        <w:drawing>
          <wp:anchor distT="0" distB="0" distL="114300" distR="114300" simplePos="0" relativeHeight="251659264" behindDoc="0" locked="0" layoutInCell="1" allowOverlap="1" wp14:anchorId="354866E8" wp14:editId="35A09DBC">
            <wp:simplePos x="0" y="0"/>
            <wp:positionH relativeFrom="margin">
              <wp:align>right</wp:align>
            </wp:positionH>
            <wp:positionV relativeFrom="paragraph">
              <wp:posOffset>2540</wp:posOffset>
            </wp:positionV>
            <wp:extent cx="2473960" cy="552450"/>
            <wp:effectExtent l="0" t="0" r="254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73960" cy="552450"/>
                    </a:xfrm>
                    <a:prstGeom prst="rect">
                      <a:avLst/>
                    </a:prstGeom>
                  </pic:spPr>
                </pic:pic>
              </a:graphicData>
            </a:graphic>
            <wp14:sizeRelH relativeFrom="margin">
              <wp14:pctWidth>0</wp14:pctWidth>
            </wp14:sizeRelH>
            <wp14:sizeRelV relativeFrom="margin">
              <wp14:pctHeight>0</wp14:pctHeight>
            </wp14:sizeRelV>
          </wp:anchor>
        </w:drawing>
      </w:r>
    </w:p>
    <w:p w14:paraId="117E9527" w14:textId="77777777" w:rsidR="00A34C60" w:rsidRDefault="00A34C60" w:rsidP="00A34C60">
      <w:pPr>
        <w:spacing w:line="360" w:lineRule="auto"/>
        <w:jc w:val="both"/>
        <w:rPr>
          <w:rFonts w:ascii="Plain" w:hAnsi="Plain" w:cs="Arial"/>
          <w:b/>
          <w:bCs/>
          <w:sz w:val="24"/>
          <w:szCs w:val="24"/>
        </w:rPr>
      </w:pPr>
    </w:p>
    <w:p w14:paraId="402CC42C" w14:textId="77777777" w:rsidR="0080748D" w:rsidRDefault="00A34C60" w:rsidP="0080748D">
      <w:pPr>
        <w:spacing w:line="360" w:lineRule="auto"/>
        <w:jc w:val="both"/>
        <w:rPr>
          <w:rFonts w:ascii="Plain Thin" w:hAnsi="Plain Thin" w:cs="Arial"/>
          <w:bCs/>
          <w:sz w:val="24"/>
          <w:szCs w:val="24"/>
        </w:rPr>
      </w:pPr>
      <w:r w:rsidRPr="00AD3A92">
        <w:rPr>
          <w:rFonts w:ascii="Plain Thin" w:hAnsi="Plain Thin" w:cs="Arial"/>
          <w:bCs/>
          <w:sz w:val="24"/>
          <w:szCs w:val="24"/>
        </w:rPr>
        <w:t>PRESSEINFORMATION</w:t>
      </w:r>
    </w:p>
    <w:p w14:paraId="1186E27F" w14:textId="3BBD8CD0" w:rsidR="00424E72" w:rsidRPr="00003F21" w:rsidRDefault="00856BA4" w:rsidP="0080748D">
      <w:pPr>
        <w:spacing w:line="360" w:lineRule="auto"/>
        <w:jc w:val="both"/>
        <w:rPr>
          <w:rFonts w:ascii="Plain Thin" w:hAnsi="Plain Thin" w:cs="Arial"/>
          <w:b/>
          <w:bCs/>
          <w:sz w:val="40"/>
          <w:szCs w:val="40"/>
        </w:rPr>
      </w:pPr>
      <w:r>
        <w:rPr>
          <w:rFonts w:ascii="Plain Thin" w:hAnsi="Plain Thin" w:cs="Arial"/>
          <w:b/>
          <w:bCs/>
          <w:sz w:val="40"/>
          <w:szCs w:val="40"/>
        </w:rPr>
        <w:t>Grünes</w:t>
      </w:r>
      <w:r w:rsidRPr="00856BA4">
        <w:rPr>
          <w:rFonts w:ascii="Plain Thin" w:hAnsi="Plain Thin" w:cs="Arial"/>
          <w:b/>
          <w:bCs/>
          <w:sz w:val="40"/>
          <w:szCs w:val="40"/>
        </w:rPr>
        <w:t xml:space="preserve"> Licht für Corona-Impfungen in der Apotheke: Das regelt die neue Impfverordnung</w:t>
      </w:r>
    </w:p>
    <w:p w14:paraId="7EABCE6A" w14:textId="3CF36AB1" w:rsidR="006C7500" w:rsidRDefault="00782B79" w:rsidP="00856BA4">
      <w:pPr>
        <w:spacing w:line="360" w:lineRule="auto"/>
        <w:jc w:val="both"/>
        <w:rPr>
          <w:rFonts w:ascii="Plain Thin" w:hAnsi="Plain Thin" w:cs="Arial"/>
          <w:b/>
          <w:bCs/>
          <w:i/>
        </w:rPr>
      </w:pPr>
      <w:r>
        <w:rPr>
          <w:rFonts w:ascii="Plain Thin" w:hAnsi="Plain Thin" w:cs="Arial"/>
          <w:b/>
          <w:bCs/>
          <w:i/>
        </w:rPr>
        <w:t>Berlin/Essen.</w:t>
      </w:r>
      <w:r w:rsidR="00003F21">
        <w:rPr>
          <w:rFonts w:ascii="Plain Thin" w:hAnsi="Plain Thin" w:cs="Arial"/>
          <w:b/>
          <w:bCs/>
          <w:i/>
        </w:rPr>
        <w:t xml:space="preserve"> </w:t>
      </w:r>
      <w:r w:rsidR="00F364E3">
        <w:rPr>
          <w:rFonts w:ascii="Plain Thin" w:hAnsi="Plain Thin" w:cs="Arial"/>
          <w:b/>
          <w:bCs/>
          <w:i/>
        </w:rPr>
        <w:t>17</w:t>
      </w:r>
      <w:r w:rsidR="00003F21">
        <w:rPr>
          <w:rFonts w:ascii="Plain Thin" w:hAnsi="Plain Thin" w:cs="Arial"/>
          <w:b/>
          <w:bCs/>
          <w:i/>
        </w:rPr>
        <w:t>.</w:t>
      </w:r>
      <w:r w:rsidR="00856BA4">
        <w:rPr>
          <w:rFonts w:ascii="Plain Thin" w:hAnsi="Plain Thin" w:cs="Arial"/>
          <w:b/>
          <w:bCs/>
          <w:i/>
        </w:rPr>
        <w:t>02</w:t>
      </w:r>
      <w:r w:rsidR="0080748D">
        <w:rPr>
          <w:rFonts w:ascii="Plain Thin" w:hAnsi="Plain Thin" w:cs="Arial"/>
          <w:b/>
          <w:bCs/>
          <w:i/>
        </w:rPr>
        <w:t xml:space="preserve">.2022. </w:t>
      </w:r>
      <w:r w:rsidR="00856BA4" w:rsidRPr="00856BA4">
        <w:rPr>
          <w:rFonts w:ascii="Plain Thin" w:hAnsi="Plain Thin" w:cs="Arial"/>
          <w:b/>
          <w:bCs/>
          <w:i/>
        </w:rPr>
        <w:t xml:space="preserve">Nach </w:t>
      </w:r>
      <w:r w:rsidR="00856BA4">
        <w:rPr>
          <w:rFonts w:ascii="Plain Thin" w:hAnsi="Plain Thin" w:cs="Arial"/>
          <w:b/>
          <w:bCs/>
          <w:i/>
        </w:rPr>
        <w:t>einer langen Anlaufzeit</w:t>
      </w:r>
      <w:r w:rsidR="00856BA4" w:rsidRPr="00856BA4">
        <w:rPr>
          <w:rFonts w:ascii="Plain Thin" w:hAnsi="Plain Thin" w:cs="Arial"/>
          <w:b/>
          <w:bCs/>
          <w:i/>
        </w:rPr>
        <w:t xml:space="preserve"> ist es nun so weit: Seit dem 08. Februar 2022 können Apotheken offiziell mit den Corona-Impfungen starten. Mit Inkrafttreten der neuen Corona-Impfverordnung sind öffentliche Apotheken formal berechtigt, Schutzimpfungen gegen SARS-CoV-2 durchzuführen, sofern sie eine entsprechende Berechtigung haben. Der Beschluss des Bundesministeriums für Gesundheit (BMG) definiert jedoch enge Rahmenbedingungen und Voraussetzungen für die praktische Umsetzung.</w:t>
      </w:r>
      <w:r w:rsidR="00856BA4">
        <w:rPr>
          <w:rFonts w:ascii="Plain Thin" w:hAnsi="Plain Thin" w:cs="Arial"/>
          <w:b/>
          <w:bCs/>
          <w:i/>
        </w:rPr>
        <w:t xml:space="preserve"> </w:t>
      </w:r>
      <w:r w:rsidR="00856BA4" w:rsidRPr="00856BA4">
        <w:rPr>
          <w:rFonts w:ascii="Plain Thin" w:hAnsi="Plain Thin" w:cs="Arial"/>
          <w:b/>
          <w:bCs/>
          <w:i/>
        </w:rPr>
        <w:t>Mit einer vierteiligen Artikelserie beleuchtet ETL ADVISION</w:t>
      </w:r>
      <w:r w:rsidR="00856BA4">
        <w:rPr>
          <w:rFonts w:ascii="Plain Thin" w:hAnsi="Plain Thin" w:cs="Arial"/>
          <w:b/>
          <w:bCs/>
          <w:i/>
        </w:rPr>
        <w:t>, Deutschlands führende Steuerberatungsgruppe für das Gesundheitswesen,</w:t>
      </w:r>
      <w:r w:rsidR="00856BA4" w:rsidRPr="00856BA4">
        <w:rPr>
          <w:rFonts w:ascii="Plain Thin" w:hAnsi="Plain Thin" w:cs="Arial"/>
          <w:b/>
          <w:bCs/>
          <w:i/>
        </w:rPr>
        <w:t xml:space="preserve"> die Hintergründe, Inhalte und Auswirkungen der Impferlaubnis für öffentliche Apotheken</w:t>
      </w:r>
      <w:r w:rsidR="00856BA4">
        <w:rPr>
          <w:rFonts w:ascii="Plain Thin" w:hAnsi="Plain Thin" w:cs="Arial"/>
          <w:b/>
          <w:bCs/>
          <w:i/>
        </w:rPr>
        <w:t xml:space="preserve"> und</w:t>
      </w:r>
      <w:r w:rsidR="00856BA4" w:rsidRPr="00856BA4">
        <w:rPr>
          <w:rFonts w:ascii="Plain Thin" w:hAnsi="Plain Thin" w:cs="Arial"/>
          <w:b/>
          <w:bCs/>
          <w:i/>
        </w:rPr>
        <w:t xml:space="preserve"> n</w:t>
      </w:r>
      <w:r w:rsidR="00856BA4">
        <w:rPr>
          <w:rFonts w:ascii="Plain Thin" w:hAnsi="Plain Thin" w:cs="Arial"/>
          <w:b/>
          <w:bCs/>
          <w:i/>
        </w:rPr>
        <w:t>immt</w:t>
      </w:r>
      <w:r w:rsidR="00856BA4" w:rsidRPr="00856BA4">
        <w:rPr>
          <w:rFonts w:ascii="Plain Thin" w:hAnsi="Plain Thin" w:cs="Arial"/>
          <w:b/>
          <w:bCs/>
          <w:i/>
        </w:rPr>
        <w:t xml:space="preserve"> die damit einhergehenden Herausforderungen für Apotheker</w:t>
      </w:r>
      <w:r w:rsidR="00856BA4">
        <w:rPr>
          <w:rFonts w:ascii="Plain Thin" w:hAnsi="Plain Thin" w:cs="Arial"/>
          <w:b/>
          <w:bCs/>
          <w:i/>
        </w:rPr>
        <w:t xml:space="preserve"> – </w:t>
      </w:r>
      <w:r w:rsidR="00856BA4" w:rsidRPr="00856BA4">
        <w:rPr>
          <w:rFonts w:ascii="Plain Thin" w:hAnsi="Plain Thin" w:cs="Arial"/>
          <w:b/>
          <w:bCs/>
          <w:i/>
        </w:rPr>
        <w:t>Haltbarkeit, Wirtschaftlichkeit, räumliche und materielle Ressourcen sowie Arbeitsbelastung und Fachkräftemangel</w:t>
      </w:r>
      <w:r w:rsidR="00856BA4">
        <w:rPr>
          <w:rFonts w:ascii="Plain Thin" w:hAnsi="Plain Thin" w:cs="Arial"/>
          <w:b/>
          <w:bCs/>
          <w:i/>
        </w:rPr>
        <w:t xml:space="preserve"> –</w:t>
      </w:r>
      <w:r w:rsidR="00856BA4" w:rsidRPr="00856BA4">
        <w:rPr>
          <w:rFonts w:ascii="Plain Thin" w:hAnsi="Plain Thin" w:cs="Arial"/>
          <w:b/>
          <w:bCs/>
          <w:i/>
        </w:rPr>
        <w:t xml:space="preserve"> in den Blick</w:t>
      </w:r>
      <w:r w:rsidR="00F364E3">
        <w:rPr>
          <w:rFonts w:ascii="Plain Thin" w:hAnsi="Plain Thin" w:cs="Arial"/>
          <w:b/>
          <w:bCs/>
          <w:i/>
        </w:rPr>
        <w:t>.</w:t>
      </w:r>
    </w:p>
    <w:p w14:paraId="0B7CD6F2" w14:textId="16A096E7" w:rsidR="00856BA4" w:rsidRPr="00856BA4" w:rsidRDefault="00856BA4" w:rsidP="00856BA4">
      <w:pPr>
        <w:rPr>
          <w:rFonts w:ascii="Plain Thin" w:hAnsi="Plain Thin"/>
        </w:rPr>
      </w:pPr>
      <w:r w:rsidRPr="00856BA4">
        <w:rPr>
          <w:rFonts w:ascii="Plain Thin" w:hAnsi="Plain Thin"/>
        </w:rPr>
        <w:t>Bereits am 11. Dezember 2021 ist das „Gesetz zur Stärkung der Impfprävention gegen Covid-19“ in Kraft getreten. Damit wurde der Weg für Corona-Impfungen in Apotheken freigemacht. Ein neu eingefügter § 20b regelt die Einbindung von Apothekern, Zahnärzten und Tierärzten in die Impfkampagne.</w:t>
      </w:r>
      <w:r>
        <w:rPr>
          <w:rFonts w:ascii="Plain Thin" w:hAnsi="Plain Thin"/>
        </w:rPr>
        <w:t xml:space="preserve"> </w:t>
      </w:r>
      <w:r w:rsidRPr="00856BA4">
        <w:rPr>
          <w:rFonts w:ascii="Plain Thin" w:hAnsi="Plain Thin"/>
        </w:rPr>
        <w:t xml:space="preserve">Die neue </w:t>
      </w:r>
      <w:proofErr w:type="spellStart"/>
      <w:r w:rsidRPr="00856BA4">
        <w:rPr>
          <w:rFonts w:ascii="Plain Thin" w:hAnsi="Plain Thin"/>
        </w:rPr>
        <w:t>Coronavirus</w:t>
      </w:r>
      <w:proofErr w:type="spellEnd"/>
      <w:r w:rsidRPr="00856BA4">
        <w:rPr>
          <w:rFonts w:ascii="Plain Thin" w:hAnsi="Plain Thin"/>
        </w:rPr>
        <w:t>-Impfverordnung (</w:t>
      </w:r>
      <w:proofErr w:type="spellStart"/>
      <w:r w:rsidRPr="00856BA4">
        <w:rPr>
          <w:rFonts w:ascii="Plain Thin" w:hAnsi="Plain Thin"/>
        </w:rPr>
        <w:t>CoronaImpfV</w:t>
      </w:r>
      <w:proofErr w:type="spellEnd"/>
      <w:r w:rsidRPr="00856BA4">
        <w:rPr>
          <w:rFonts w:ascii="Plain Thin" w:hAnsi="Plain Thin"/>
        </w:rPr>
        <w:t>), in der das Bundesministerium für Gesundheit (BMG) die Rahmenbedingungen für die praktische Umsetzung konkretisieren musste, hat jedoch lange auf sich warten lassen.</w:t>
      </w:r>
    </w:p>
    <w:p w14:paraId="1B1D9F42" w14:textId="70E75519" w:rsidR="00856BA4" w:rsidRPr="00856BA4" w:rsidRDefault="00856BA4" w:rsidP="00856BA4">
      <w:pPr>
        <w:rPr>
          <w:rFonts w:ascii="Plain Thin" w:hAnsi="Plain Thin"/>
        </w:rPr>
      </w:pPr>
      <w:r w:rsidRPr="00856BA4">
        <w:rPr>
          <w:rFonts w:ascii="Plain Thin" w:hAnsi="Plain Thin"/>
        </w:rPr>
        <w:t xml:space="preserve">Mit Inkrafttreten der neuen Verordnung am 11. Januar 2022 wurden nunmehr auch die letzten rechtlichen Hürden für die neue Aufgabe in der Pandemiebewältigung genommen. Damit sind öffentliche Apotheken formal berechtigt, Schutzimpfungen gegen SARS-CoV-2 durchzuführen, sofern sie eine entsprechende Berechtigung haben. Zu den wesentlichen Voraussetzungen gehört, dass nur Personen, die zur Durchführung der Impfungen berechtigt sind, die Impfungen auch durchführen dürfen. Zudem müssen geeignete Räumlichkeiten mit entsprechender Ausstattung für die Impfungen und eine </w:t>
      </w:r>
      <w:r w:rsidRPr="00856BA4">
        <w:rPr>
          <w:rFonts w:ascii="Plain Thin" w:hAnsi="Plain Thin"/>
        </w:rPr>
        <w:lastRenderedPageBreak/>
        <w:t xml:space="preserve">dafür erforderliche Betriebshaftpflichtversicherung, die mögliche Schäden aus der Durchführung der Impfungen abdeckt, vorhanden sein. </w:t>
      </w:r>
    </w:p>
    <w:p w14:paraId="4D2A9960" w14:textId="4451E011" w:rsidR="00856BA4" w:rsidRPr="00856BA4" w:rsidRDefault="00856BA4" w:rsidP="00856BA4">
      <w:pPr>
        <w:rPr>
          <w:rFonts w:ascii="Plain Thin" w:hAnsi="Plain Thin"/>
        </w:rPr>
      </w:pPr>
      <w:r w:rsidRPr="00856BA4">
        <w:rPr>
          <w:rFonts w:ascii="Plain Thin" w:hAnsi="Plain Thin"/>
        </w:rPr>
        <w:t xml:space="preserve">Zu den grundlegenden Voraussetzungen zählt auch, dass </w:t>
      </w:r>
      <w:proofErr w:type="spellStart"/>
      <w:proofErr w:type="gramStart"/>
      <w:r w:rsidRPr="00856BA4">
        <w:rPr>
          <w:rFonts w:ascii="Plain Thin" w:hAnsi="Plain Thin"/>
        </w:rPr>
        <w:t>Apothekenleiter:innen</w:t>
      </w:r>
      <w:proofErr w:type="spellEnd"/>
      <w:proofErr w:type="gramEnd"/>
      <w:r w:rsidRPr="00856BA4">
        <w:rPr>
          <w:rFonts w:ascii="Plain Thin" w:hAnsi="Plain Thin"/>
        </w:rPr>
        <w:t xml:space="preserve"> die erforderliche Selbstauskunft bei ihrer Kammer eingereicht und bestätigt bekommen haben. Nur mit dieser Bescheinigung der zuständigen Landesapothekerkammer sind Apotheken überhaupt berechtigt, Covid-19-Impfstoffe für den „Eigenbedarf“ zu bestellen.</w:t>
      </w:r>
      <w:r>
        <w:rPr>
          <w:rFonts w:ascii="Plain Thin" w:hAnsi="Plain Thin"/>
        </w:rPr>
        <w:t xml:space="preserve"> </w:t>
      </w:r>
      <w:r w:rsidRPr="00856BA4">
        <w:rPr>
          <w:rFonts w:ascii="Plain Thin" w:hAnsi="Plain Thin"/>
        </w:rPr>
        <w:t xml:space="preserve">Darüber hinaus müssen </w:t>
      </w:r>
      <w:proofErr w:type="spellStart"/>
      <w:proofErr w:type="gramStart"/>
      <w:r w:rsidRPr="00856BA4">
        <w:rPr>
          <w:rFonts w:ascii="Plain Thin" w:hAnsi="Plain Thin"/>
        </w:rPr>
        <w:t>Apotheker:innen</w:t>
      </w:r>
      <w:proofErr w:type="spellEnd"/>
      <w:proofErr w:type="gramEnd"/>
      <w:r w:rsidRPr="00856BA4">
        <w:rPr>
          <w:rFonts w:ascii="Plain Thin" w:hAnsi="Plain Thin"/>
        </w:rPr>
        <w:t xml:space="preserve"> entsprechend geschult sein. </w:t>
      </w:r>
    </w:p>
    <w:p w14:paraId="6C7D08DC" w14:textId="140DBE86" w:rsidR="00856BA4" w:rsidRDefault="00856BA4" w:rsidP="00856BA4">
      <w:pPr>
        <w:rPr>
          <w:rFonts w:ascii="Plain Thin" w:hAnsi="Plain Thin"/>
        </w:rPr>
      </w:pPr>
      <w:r w:rsidRPr="00856BA4">
        <w:rPr>
          <w:rFonts w:ascii="Plain Thin" w:hAnsi="Plain Thin"/>
        </w:rPr>
        <w:t>Parallel wurden die technischen Voraussetzungen abgeschlossen, um die Zahl der geimpften Personen elektronisch an das Robert-Koch-Institut (RKI) zu melden. Die besondere Herausforderung beim Impfangebot in Apotheken liegt – wie so oft – im Detail. Die begrenzte Haltbarkeit der Impfstoffe in den verschiedenen Stadien in Kombination mit den begrenzten räumlichen und materiellen Ressourcen macht die zeitliche Planung der Patientenströme sehr anspruchsvoll. Hiervon hängt es auch ab, ob und inwieweit sich das Impfangebot aus wirtschaftlicher Sicht für die Apotheke rechnet. Dazu kommen der Fachkräftemangel und die ohnehin hohe Arbeitsbelastung in der Apotheke durch neue Dienstleistungen, wie das Erstellen der digitalen Impfzertifikate oder die Bürgertests.</w:t>
      </w:r>
    </w:p>
    <w:p w14:paraId="7DF89DD9" w14:textId="3F04A746" w:rsidR="00856BA4" w:rsidRPr="00856BA4" w:rsidRDefault="00856BA4" w:rsidP="00856BA4">
      <w:pPr>
        <w:rPr>
          <w:rFonts w:ascii="Plain Thin" w:hAnsi="Plain Thin"/>
        </w:rPr>
      </w:pPr>
      <w:r w:rsidRPr="00856BA4">
        <w:rPr>
          <w:rFonts w:ascii="Plain Thin" w:hAnsi="Plain Thin"/>
        </w:rPr>
        <w:t>Wichtig ist in jedem Fall, sich im ersten Schritt Gedanken um den Workflow zu machen und sich bei der Versicherung eine schriftliche Bestätigung der Risikoübernahme einzuholen.</w:t>
      </w:r>
      <w:r>
        <w:rPr>
          <w:rFonts w:ascii="Plain Thin" w:hAnsi="Plain Thin"/>
        </w:rPr>
        <w:t xml:space="preserve"> </w:t>
      </w:r>
      <w:r w:rsidRPr="00856BA4">
        <w:rPr>
          <w:rFonts w:ascii="Plain Thin" w:hAnsi="Plain Thin"/>
        </w:rPr>
        <w:t>Nicht zuletzt sind auch die steuerlichen Folgen der Ausweitung des Dienstleistungsangebotes in den Apotheken zu beachten, damit die nun mögliche Durchführung von Impfleistungen nicht zu unerwünschten Risiken und steuerlichen Nebenwirkungen führt.</w:t>
      </w:r>
    </w:p>
    <w:p w14:paraId="75512DF3" w14:textId="15E60A79" w:rsidR="00C2220B" w:rsidRDefault="00FA47E8">
      <w:pPr>
        <w:rPr>
          <w:rFonts w:ascii="Plain Thin" w:hAnsi="Plain Thin"/>
        </w:rPr>
      </w:pPr>
      <w:r>
        <w:rPr>
          <w:rFonts w:ascii="Plain Thin" w:hAnsi="Plain Thin"/>
        </w:rPr>
        <w:t xml:space="preserve">Die vierteilige ETL ADVISION-Artikelserie zur Impfpflicht für Apotheken behandelt die </w:t>
      </w:r>
      <w:r w:rsidRPr="00FA47E8">
        <w:rPr>
          <w:rFonts w:ascii="Plain Thin" w:hAnsi="Plain Thin"/>
        </w:rPr>
        <w:t>Themenschwerpunkt</w:t>
      </w:r>
      <w:r>
        <w:rPr>
          <w:rFonts w:ascii="Plain Thin" w:hAnsi="Plain Thin"/>
        </w:rPr>
        <w:t>e</w:t>
      </w:r>
      <w:r w:rsidRPr="00FA47E8">
        <w:rPr>
          <w:rFonts w:ascii="Plain Thin" w:hAnsi="Plain Thin"/>
        </w:rPr>
        <w:t xml:space="preserve"> „Schulungen und Räumlichkeiten“</w:t>
      </w:r>
      <w:r>
        <w:rPr>
          <w:rFonts w:ascii="Plain Thin" w:hAnsi="Plain Thin"/>
        </w:rPr>
        <w:t xml:space="preserve">, </w:t>
      </w:r>
      <w:r w:rsidRPr="00FA47E8">
        <w:rPr>
          <w:rFonts w:ascii="Plain Thin" w:hAnsi="Plain Thin"/>
        </w:rPr>
        <w:t>„Vergütung und Abrechnung“, „</w:t>
      </w:r>
      <w:proofErr w:type="spellStart"/>
      <w:r w:rsidRPr="00FA47E8">
        <w:rPr>
          <w:rFonts w:ascii="Plain Thin" w:hAnsi="Plain Thin"/>
        </w:rPr>
        <w:t>Impfsurveillance</w:t>
      </w:r>
      <w:proofErr w:type="spellEnd"/>
      <w:r w:rsidRPr="00FA47E8">
        <w:rPr>
          <w:rFonts w:ascii="Plain Thin" w:hAnsi="Plain Thin"/>
        </w:rPr>
        <w:t xml:space="preserve"> und Dokumentation“ sowie ein</w:t>
      </w:r>
      <w:r>
        <w:rPr>
          <w:rFonts w:ascii="Plain Thin" w:hAnsi="Plain Thin"/>
        </w:rPr>
        <w:t>en</w:t>
      </w:r>
      <w:r w:rsidRPr="00FA47E8">
        <w:rPr>
          <w:rFonts w:ascii="Plain Thin" w:hAnsi="Plain Thin"/>
        </w:rPr>
        <w:t xml:space="preserve"> </w:t>
      </w:r>
      <w:r>
        <w:rPr>
          <w:rFonts w:ascii="Plain Thin" w:hAnsi="Plain Thin"/>
        </w:rPr>
        <w:t>„</w:t>
      </w:r>
      <w:r w:rsidRPr="00FA47E8">
        <w:rPr>
          <w:rFonts w:ascii="Plain Thin" w:hAnsi="Plain Thin"/>
        </w:rPr>
        <w:t>Exkurs zur Abgabe von Covid-19 Arzneimitteln und PCR-Tests in Apotheken</w:t>
      </w:r>
      <w:r>
        <w:rPr>
          <w:rFonts w:ascii="Plain Thin" w:hAnsi="Plain Thin"/>
        </w:rPr>
        <w:t>“. Die Artikel werden in der Woche vom 14. Februar 2022 auf der unten angegebenen Website veröffentlicht:</w:t>
      </w:r>
    </w:p>
    <w:p w14:paraId="0687E7A7" w14:textId="3CECD576" w:rsidR="003A2253" w:rsidRPr="0031490D" w:rsidRDefault="00FA47E8">
      <w:pPr>
        <w:rPr>
          <w:bCs/>
          <w:sz w:val="24"/>
          <w:szCs w:val="24"/>
        </w:rPr>
      </w:pPr>
      <w:r>
        <w:rPr>
          <w:bCs/>
          <w:sz w:val="24"/>
          <w:szCs w:val="24"/>
        </w:rPr>
        <w:t>Zur Artikelserie</w:t>
      </w:r>
      <w:bookmarkStart w:id="0" w:name="_GoBack"/>
      <w:r>
        <w:rPr>
          <w:bCs/>
          <w:sz w:val="24"/>
          <w:szCs w:val="24"/>
        </w:rPr>
        <w:t xml:space="preserve">: </w:t>
      </w:r>
      <w:hyperlink r:id="rId5" w:history="1">
        <w:r w:rsidRPr="007E4F47">
          <w:rPr>
            <w:rStyle w:val="Hyperlink"/>
            <w:bCs/>
            <w:sz w:val="24"/>
            <w:szCs w:val="24"/>
          </w:rPr>
          <w:t>https://www.etl-advision.de/corona-impfungen-in-apotheken/</w:t>
        </w:r>
      </w:hyperlink>
      <w:bookmarkEnd w:id="0"/>
    </w:p>
    <w:p w14:paraId="26CE970F" w14:textId="77777777" w:rsidR="003A2253" w:rsidRPr="003A2253" w:rsidRDefault="003A2253" w:rsidP="003A2253">
      <w:pPr>
        <w:jc w:val="both"/>
        <w:rPr>
          <w:rFonts w:ascii="Plain Thin" w:eastAsia="Calibri" w:hAnsi="Plain Thin" w:cs="Arial"/>
          <w:b/>
          <w:bCs/>
        </w:rPr>
      </w:pPr>
      <w:r w:rsidRPr="003A2253">
        <w:rPr>
          <w:rFonts w:ascii="Plain Thin" w:eastAsia="Calibri" w:hAnsi="Plain Thin" w:cs="Arial"/>
          <w:b/>
          <w:bCs/>
        </w:rPr>
        <w:t>Über ETL ADVISION</w:t>
      </w:r>
    </w:p>
    <w:p w14:paraId="5E85E66D" w14:textId="77777777" w:rsidR="003A2253" w:rsidRPr="003A2253" w:rsidRDefault="003A2253" w:rsidP="003A2253">
      <w:pPr>
        <w:spacing w:after="0" w:line="240" w:lineRule="auto"/>
        <w:rPr>
          <w:rFonts w:ascii="Plain Thin" w:eastAsia="Calibri" w:hAnsi="Plain Thin" w:cs="Calibri"/>
          <w:sz w:val="16"/>
          <w:szCs w:val="16"/>
        </w:rPr>
      </w:pPr>
      <w:r w:rsidRPr="003A2253">
        <w:rPr>
          <w:rFonts w:ascii="Plain Thin" w:eastAsia="Calibri" w:hAnsi="Plain Thin" w:cs="Calibri"/>
          <w:sz w:val="16"/>
          <w:szCs w:val="16"/>
        </w:rPr>
        <w:t xml:space="preserve">ETL ADVISION ist die marktführende Steuerberatung mit integrierter Rechtsberatung. Unsere ETL ADVISION Kanzleien beraten und unterstützen in allen steuerrechtlichen, rechtlichen, betriebswirtschaftlichen und organisatorischen Angelegenheiten, um die wirtschaftliche Stabilität der Mandanten nachhaltig zu sichern und auszubauen. Dabei nutzen wir unsere Fachexpertise und langjährige Berufserfahrung. Darüber hinaus können wir auf das Know-how des Experten-Netzwerkes der ETL ADVISION zurückgreifen. ETL ADVISION ist ein Verbund von mehr als 120 kooperierenden ETL-Steuerberatungskanzleien und bundesweit führend in der Steuerberatung im Gesundheitswesen. Die Spezialisierung auf die Beratung von </w:t>
      </w:r>
      <w:proofErr w:type="spellStart"/>
      <w:r w:rsidRPr="003A2253">
        <w:rPr>
          <w:rFonts w:ascii="Plain Thin" w:eastAsia="Calibri" w:hAnsi="Plain Thin" w:cs="Calibri"/>
          <w:sz w:val="16"/>
          <w:szCs w:val="16"/>
        </w:rPr>
        <w:t>Heilberuflern</w:t>
      </w:r>
      <w:proofErr w:type="spellEnd"/>
      <w:r w:rsidRPr="003A2253">
        <w:rPr>
          <w:rFonts w:ascii="Plain Thin" w:eastAsia="Calibri" w:hAnsi="Plain Thin" w:cs="Calibri"/>
          <w:sz w:val="16"/>
          <w:szCs w:val="16"/>
        </w:rPr>
        <w:t xml:space="preserve"> erfolgt auf der Basis einer qualifizierten Aus- und Weiterbildung der ETL ADVISION-Steuerberater und ihrer Mitarbeiter in unserer ETL Akademie und ermöglicht eine umfassende Betreuung in allen unternehmerischen Belangen.</w:t>
      </w:r>
    </w:p>
    <w:p w14:paraId="51E5C47B" w14:textId="77777777" w:rsidR="003A2253" w:rsidRPr="003A2253" w:rsidRDefault="00F364E3" w:rsidP="003A2253">
      <w:pPr>
        <w:spacing w:after="0" w:line="252" w:lineRule="auto"/>
        <w:jc w:val="both"/>
        <w:rPr>
          <w:rFonts w:ascii="Plain Thin" w:eastAsia="Calibri" w:hAnsi="Plain Thin" w:cs="Calibri"/>
          <w:sz w:val="16"/>
          <w:szCs w:val="16"/>
        </w:rPr>
      </w:pPr>
      <w:hyperlink r:id="rId6" w:history="1">
        <w:r w:rsidR="003A2253" w:rsidRPr="003A2253">
          <w:rPr>
            <w:rFonts w:ascii="Plain Thin" w:eastAsia="Calibri" w:hAnsi="Plain Thin" w:cs="Calibri"/>
            <w:color w:val="0563C1"/>
            <w:sz w:val="16"/>
            <w:szCs w:val="16"/>
            <w:u w:val="single"/>
          </w:rPr>
          <w:t>www.etl-advision.de</w:t>
        </w:r>
      </w:hyperlink>
    </w:p>
    <w:p w14:paraId="76AF7733" w14:textId="77777777" w:rsidR="003A2253" w:rsidRPr="003A2253" w:rsidRDefault="003A2253" w:rsidP="003A2253">
      <w:pPr>
        <w:rPr>
          <w:rFonts w:ascii="Arial" w:eastAsia="Calibri" w:hAnsi="Arial" w:cs="Arial"/>
          <w:sz w:val="20"/>
          <w:szCs w:val="20"/>
        </w:rPr>
      </w:pPr>
    </w:p>
    <w:p w14:paraId="447CDB89" w14:textId="77777777" w:rsidR="003A2253" w:rsidRPr="003A2253" w:rsidRDefault="003A2253" w:rsidP="003A2253">
      <w:pPr>
        <w:spacing w:before="360" w:after="0" w:line="240" w:lineRule="auto"/>
        <w:contextualSpacing/>
        <w:jc w:val="both"/>
        <w:rPr>
          <w:rFonts w:ascii="Plain Thin" w:eastAsia="Calibri" w:hAnsi="Plain Thin" w:cs="Times New Roman"/>
          <w:b/>
          <w:sz w:val="16"/>
          <w:szCs w:val="16"/>
        </w:rPr>
      </w:pPr>
      <w:r w:rsidRPr="003A2253">
        <w:rPr>
          <w:rFonts w:ascii="Plain Thin" w:eastAsia="Calibri" w:hAnsi="Plain Thin" w:cs="Times New Roman"/>
          <w:b/>
          <w:sz w:val="16"/>
          <w:szCs w:val="16"/>
        </w:rPr>
        <w:t>Pressekontakt</w:t>
      </w:r>
    </w:p>
    <w:p w14:paraId="04FEE1ED" w14:textId="77777777" w:rsidR="003A2253" w:rsidRPr="003A2253" w:rsidRDefault="003A2253" w:rsidP="003A2253">
      <w:pPr>
        <w:spacing w:after="0" w:line="240" w:lineRule="auto"/>
        <w:contextualSpacing/>
        <w:jc w:val="both"/>
        <w:rPr>
          <w:rFonts w:ascii="Plain Thin" w:eastAsia="Calibri" w:hAnsi="Plain Thin" w:cs="Calibri Light"/>
          <w:sz w:val="16"/>
          <w:szCs w:val="16"/>
        </w:rPr>
      </w:pPr>
      <w:r w:rsidRPr="003A2253">
        <w:rPr>
          <w:rFonts w:ascii="Plain Thin" w:eastAsia="Calibri" w:hAnsi="Plain Thin" w:cs="Calibri Light"/>
          <w:sz w:val="16"/>
          <w:szCs w:val="16"/>
        </w:rPr>
        <w:t>Danyal Alaybeyoglu, Tel.: 030 22 64 02 30, E-Mail: danyal.alaybeyoglu@etl.de, ETL, Mauerstraße 86-88, 10117 Berlin, www.etl.de</w:t>
      </w:r>
    </w:p>
    <w:p w14:paraId="1C1D90CA" w14:textId="352C8FEF" w:rsidR="003A2253" w:rsidRPr="00424E72" w:rsidRDefault="003A2253">
      <w:pPr>
        <w:rPr>
          <w:rFonts w:ascii="Plain Thin" w:hAnsi="Plain Thin"/>
        </w:rPr>
      </w:pPr>
    </w:p>
    <w:sectPr w:rsidR="003A2253" w:rsidRPr="00424E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w:altName w:val="Calibri"/>
    <w:panose1 w:val="020B0503020202020204"/>
    <w:charset w:val="00"/>
    <w:family w:val="swiss"/>
    <w:notTrueType/>
    <w:pitch w:val="variable"/>
    <w:sig w:usb0="8000002F" w:usb1="0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Plain Thin">
    <w:altName w:val="Calibri"/>
    <w:panose1 w:val="020B04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0"/>
    <w:rsid w:val="00003F21"/>
    <w:rsid w:val="00020033"/>
    <w:rsid w:val="001065AF"/>
    <w:rsid w:val="00254CA9"/>
    <w:rsid w:val="0031490D"/>
    <w:rsid w:val="0033627B"/>
    <w:rsid w:val="0034570A"/>
    <w:rsid w:val="003A2253"/>
    <w:rsid w:val="003D6E5D"/>
    <w:rsid w:val="003E1A87"/>
    <w:rsid w:val="00424E72"/>
    <w:rsid w:val="00474C55"/>
    <w:rsid w:val="00495BD9"/>
    <w:rsid w:val="0050609E"/>
    <w:rsid w:val="0068101E"/>
    <w:rsid w:val="006C4CB0"/>
    <w:rsid w:val="006C7500"/>
    <w:rsid w:val="00731516"/>
    <w:rsid w:val="00782B79"/>
    <w:rsid w:val="00785AB4"/>
    <w:rsid w:val="0080748D"/>
    <w:rsid w:val="00856BA4"/>
    <w:rsid w:val="00A34C60"/>
    <w:rsid w:val="00AB1246"/>
    <w:rsid w:val="00AB5B45"/>
    <w:rsid w:val="00AC1342"/>
    <w:rsid w:val="00AE75E9"/>
    <w:rsid w:val="00B53C7E"/>
    <w:rsid w:val="00BB56CB"/>
    <w:rsid w:val="00C2220B"/>
    <w:rsid w:val="00C22E68"/>
    <w:rsid w:val="00D634A9"/>
    <w:rsid w:val="00F364E3"/>
    <w:rsid w:val="00FA4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2934"/>
  <w15:chartTrackingRefBased/>
  <w15:docId w15:val="{92CA01C9-1018-4E4C-9FCC-FE124BD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2253"/>
    <w:rPr>
      <w:color w:val="0563C1" w:themeColor="hyperlink"/>
      <w:u w:val="single"/>
    </w:rPr>
  </w:style>
  <w:style w:type="character" w:customStyle="1" w:styleId="UnresolvedMention">
    <w:name w:val="Unresolved Mention"/>
    <w:basedOn w:val="Absatz-Standardschriftart"/>
    <w:uiPriority w:val="99"/>
    <w:semiHidden/>
    <w:unhideWhenUsed/>
    <w:rsid w:val="00495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l-advision.de/" TargetMode="External"/><Relationship Id="rId5" Type="http://schemas.openxmlformats.org/officeDocument/2006/relationships/hyperlink" Target="https://www.etl-advision.de/corona-impfungen-in-apotheken/"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Admin</cp:lastModifiedBy>
  <cp:revision>5</cp:revision>
  <cp:lastPrinted>2022-02-08T10:23:00Z</cp:lastPrinted>
  <dcterms:created xsi:type="dcterms:W3CDTF">2022-02-14T09:08:00Z</dcterms:created>
  <dcterms:modified xsi:type="dcterms:W3CDTF">2022-02-17T07:52:00Z</dcterms:modified>
</cp:coreProperties>
</file>