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EE728" w14:textId="50636C18" w:rsidR="00CA79D7" w:rsidRPr="006456EA" w:rsidRDefault="00161817" w:rsidP="00CA79D7">
      <w:pPr>
        <w:pStyle w:val="EinfAbs"/>
        <w:tabs>
          <w:tab w:val="left" w:pos="200"/>
        </w:tabs>
        <w:rPr>
          <w:rFonts w:ascii="Source Sans Pro" w:hAnsi="Source Sans Pro" w:cs="Source Sans Pro"/>
          <w:caps/>
          <w:color w:val="0086A8"/>
          <w:sz w:val="22"/>
          <w:szCs w:val="22"/>
        </w:rPr>
      </w:pPr>
      <w:r>
        <w:rPr>
          <w:rFonts w:ascii="Source Sans Pro" w:hAnsi="Source Sans Pro" w:cs="Source Sans Pro"/>
          <w:caps/>
          <w:color w:val="0086A8"/>
          <w:sz w:val="22"/>
          <w:szCs w:val="22"/>
        </w:rPr>
        <w:t>top-7-investment</w:t>
      </w:r>
      <w:r w:rsidR="000021F4">
        <w:rPr>
          <w:rFonts w:ascii="Source Sans Pro" w:hAnsi="Source Sans Pro" w:cs="Source Sans Pro"/>
          <w:caps/>
          <w:color w:val="0086A8"/>
          <w:sz w:val="22"/>
          <w:szCs w:val="22"/>
        </w:rPr>
        <w:t>märkte Q</w:t>
      </w:r>
      <w:r w:rsidR="00F40B12">
        <w:rPr>
          <w:rFonts w:ascii="Source Sans Pro" w:hAnsi="Source Sans Pro" w:cs="Source Sans Pro"/>
          <w:caps/>
          <w:color w:val="0086A8"/>
          <w:sz w:val="22"/>
          <w:szCs w:val="22"/>
        </w:rPr>
        <w:t>1</w:t>
      </w:r>
      <w:r w:rsidR="005D46DE">
        <w:rPr>
          <w:rFonts w:ascii="Source Sans Pro" w:hAnsi="Source Sans Pro" w:cs="Source Sans Pro"/>
          <w:caps/>
          <w:color w:val="0086A8"/>
          <w:sz w:val="22"/>
          <w:szCs w:val="22"/>
        </w:rPr>
        <w:t>-</w:t>
      </w:r>
      <w:r w:rsidR="0017673F">
        <w:rPr>
          <w:rFonts w:ascii="Source Sans Pro" w:hAnsi="Source Sans Pro" w:cs="Source Sans Pro"/>
          <w:caps/>
          <w:color w:val="0086A8"/>
          <w:sz w:val="22"/>
          <w:szCs w:val="22"/>
        </w:rPr>
        <w:t>3</w:t>
      </w:r>
      <w:r w:rsidR="001550FE">
        <w:rPr>
          <w:rFonts w:ascii="Source Sans Pro" w:hAnsi="Source Sans Pro" w:cs="Source Sans Pro"/>
          <w:caps/>
          <w:color w:val="0086A8"/>
          <w:sz w:val="22"/>
          <w:szCs w:val="22"/>
        </w:rPr>
        <w:t>/202</w:t>
      </w:r>
      <w:r w:rsidR="007F12A3">
        <w:rPr>
          <w:rFonts w:ascii="Source Sans Pro" w:hAnsi="Source Sans Pro" w:cs="Source Sans Pro"/>
          <w:caps/>
          <w:color w:val="0086A8"/>
          <w:sz w:val="22"/>
          <w:szCs w:val="22"/>
        </w:rPr>
        <w:t>3</w:t>
      </w:r>
      <w:r w:rsidR="00CA79D7" w:rsidRPr="006456EA">
        <w:rPr>
          <w:rFonts w:ascii="Source Sans Pro" w:hAnsi="Source Sans Pro" w:cs="Source Sans Pro"/>
          <w:caps/>
          <w:color w:val="0086A8"/>
          <w:sz w:val="22"/>
          <w:szCs w:val="22"/>
        </w:rPr>
        <w:t xml:space="preserve"> </w:t>
      </w:r>
    </w:p>
    <w:p w14:paraId="7C2D2599" w14:textId="7348128E" w:rsidR="00CA79D7" w:rsidRDefault="00806D63" w:rsidP="003152C9">
      <w:pPr>
        <w:pStyle w:val="EinfAbs"/>
        <w:tabs>
          <w:tab w:val="left" w:pos="200"/>
        </w:tabs>
        <w:spacing w:line="440" w:lineRule="exact"/>
        <w:rPr>
          <w:rFonts w:ascii="Source Sans Pro" w:hAnsi="Source Sans Pro" w:cs="Source Sans Pro"/>
          <w:sz w:val="36"/>
          <w:szCs w:val="36"/>
        </w:rPr>
      </w:pPr>
      <w:r>
        <w:rPr>
          <w:rFonts w:ascii="Source Sans Pro" w:hAnsi="Source Sans Pro" w:cs="Source Sans Pro"/>
          <w:sz w:val="36"/>
          <w:szCs w:val="36"/>
        </w:rPr>
        <w:t>Transaktionsgeschehen auf niedrigem Niveau</w:t>
      </w:r>
    </w:p>
    <w:p w14:paraId="743073FD" w14:textId="5C5794E2" w:rsidR="003152C9" w:rsidRDefault="003152C9" w:rsidP="003152C9">
      <w:pPr>
        <w:pStyle w:val="EinfAbs"/>
        <w:tabs>
          <w:tab w:val="left" w:pos="200"/>
        </w:tabs>
        <w:spacing w:line="440" w:lineRule="exact"/>
        <w:rPr>
          <w:rFonts w:ascii="Source Sans Pro" w:hAnsi="Source Sans Pro" w:cs="Source Sans Pro"/>
          <w:sz w:val="36"/>
          <w:szCs w:val="36"/>
        </w:rPr>
      </w:pPr>
    </w:p>
    <w:p w14:paraId="14EADD5C" w14:textId="26F79378" w:rsidR="004F09D7" w:rsidRDefault="00720309" w:rsidP="004F09D7">
      <w:pPr>
        <w:pStyle w:val="EinfAbs"/>
        <w:tabs>
          <w:tab w:val="left" w:pos="200"/>
        </w:tabs>
        <w:rPr>
          <w:rFonts w:ascii="Source Sans Pro" w:hAnsi="Source Sans Pro" w:cs="Source Sans Pro"/>
          <w:color w:val="0086A8"/>
          <w:sz w:val="22"/>
          <w:szCs w:val="22"/>
        </w:rPr>
      </w:pPr>
      <w:r w:rsidRPr="00966A04">
        <w:rPr>
          <w:rFonts w:ascii="Source Sans Pro" w:hAnsi="Source Sans Pro" w:cs="Source Sans Pro"/>
          <w:noProof/>
          <w:color w:val="0086A8"/>
          <w:sz w:val="22"/>
          <w:szCs w:val="22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1D0C1328" wp14:editId="71144EFA">
            <wp:simplePos x="0" y="0"/>
            <wp:positionH relativeFrom="column">
              <wp:posOffset>22225</wp:posOffset>
            </wp:positionH>
            <wp:positionV relativeFrom="paragraph">
              <wp:posOffset>20955</wp:posOffset>
            </wp:positionV>
            <wp:extent cx="4572000" cy="2560955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6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673">
        <w:rPr>
          <w:rFonts w:ascii="Source Sans Pro" w:hAnsi="Source Sans Pro" w:cs="Source Sans Pro"/>
          <w:color w:val="0086A8"/>
          <w:sz w:val="22"/>
          <w:szCs w:val="22"/>
        </w:rPr>
        <w:br w:type="textWrapping" w:clear="all"/>
      </w:r>
    </w:p>
    <w:p w14:paraId="3ACD8EF4" w14:textId="69DF9A1F" w:rsidR="00E560D3" w:rsidRPr="009B432F" w:rsidRDefault="0017673F" w:rsidP="009B432F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Arial"/>
          <w:bCs/>
          <w:sz w:val="22"/>
          <w:szCs w:val="22"/>
        </w:rPr>
      </w:pPr>
      <w:r>
        <w:rPr>
          <w:rFonts w:ascii="Source Sans Pro" w:hAnsi="Source Sans Pro" w:cs="Source Sans Pro"/>
          <w:color w:val="0086A8"/>
          <w:sz w:val="22"/>
          <w:szCs w:val="22"/>
        </w:rPr>
        <w:t>04</w:t>
      </w:r>
      <w:r w:rsidR="007D5A52" w:rsidRPr="006456EA">
        <w:rPr>
          <w:rFonts w:ascii="Source Sans Pro" w:hAnsi="Source Sans Pro" w:cs="Source Sans Pro"/>
          <w:color w:val="0087A8"/>
          <w:sz w:val="22"/>
          <w:szCs w:val="22"/>
        </w:rPr>
        <w:t xml:space="preserve">. </w:t>
      </w:r>
      <w:r>
        <w:rPr>
          <w:rFonts w:ascii="Source Sans Pro" w:hAnsi="Source Sans Pro" w:cs="Source Sans Pro"/>
          <w:color w:val="0087A8"/>
          <w:sz w:val="22"/>
          <w:szCs w:val="22"/>
        </w:rPr>
        <w:t>Oktober</w:t>
      </w:r>
      <w:r w:rsidR="000021F4">
        <w:rPr>
          <w:rFonts w:ascii="Source Sans Pro" w:hAnsi="Source Sans Pro" w:cs="Source Sans Pro"/>
          <w:color w:val="0087A8"/>
          <w:sz w:val="22"/>
          <w:szCs w:val="22"/>
        </w:rPr>
        <w:t xml:space="preserve"> 202</w:t>
      </w:r>
      <w:r w:rsidR="007F12A3">
        <w:rPr>
          <w:rFonts w:ascii="Source Sans Pro" w:hAnsi="Source Sans Pro" w:cs="Source Sans Pro"/>
          <w:color w:val="0087A8"/>
          <w:sz w:val="22"/>
          <w:szCs w:val="22"/>
        </w:rPr>
        <w:t>3</w:t>
      </w:r>
      <w:r w:rsidR="007D5A52" w:rsidRPr="006456EA">
        <w:rPr>
          <w:rFonts w:ascii="Source Sans Pro" w:hAnsi="Source Sans Pro" w:cs="Source Sans Pro"/>
          <w:color w:val="0087A8"/>
          <w:sz w:val="22"/>
          <w:szCs w:val="22"/>
        </w:rPr>
        <w:t>, Hamburg.</w:t>
      </w:r>
      <w:r w:rsidR="007D5A52">
        <w:rPr>
          <w:rFonts w:ascii="Source Sans Pro" w:hAnsi="Source Sans Pro" w:cs="Source Sans Pro"/>
          <w:color w:val="0086A8"/>
          <w:sz w:val="22"/>
          <w:szCs w:val="22"/>
        </w:rPr>
        <w:t xml:space="preserve"> </w:t>
      </w:r>
      <w:r w:rsidR="000645A4">
        <w:rPr>
          <w:rFonts w:ascii="Source Sans Pro" w:hAnsi="Source Sans Pro" w:cs="Source Sans Pro"/>
          <w:color w:val="auto"/>
          <w:sz w:val="22"/>
          <w:szCs w:val="22"/>
        </w:rPr>
        <w:t>D</w:t>
      </w:r>
      <w:r w:rsidR="005126C2">
        <w:rPr>
          <w:rFonts w:ascii="Source Sans Pro" w:hAnsi="Source Sans Pro" w:cs="Source Sans Pro"/>
          <w:color w:val="auto"/>
          <w:sz w:val="22"/>
          <w:szCs w:val="22"/>
        </w:rPr>
        <w:t>ie</w:t>
      </w:r>
      <w:r w:rsidR="0030528A" w:rsidRPr="0030528A">
        <w:rPr>
          <w:rFonts w:ascii="Source Sans Pro" w:hAnsi="Source Sans Pro" w:cs="Source Sans Pro"/>
          <w:color w:val="auto"/>
          <w:sz w:val="22"/>
          <w:szCs w:val="22"/>
        </w:rPr>
        <w:t xml:space="preserve"> </w:t>
      </w:r>
      <w:r w:rsidR="0030528A">
        <w:rPr>
          <w:rFonts w:ascii="Source Sans Pro" w:hAnsi="Source Sans Pro" w:cs="Source Sans Pro"/>
          <w:color w:val="auto"/>
          <w:sz w:val="22"/>
          <w:szCs w:val="22"/>
        </w:rPr>
        <w:t xml:space="preserve">gehemmte </w:t>
      </w:r>
      <w:r w:rsidR="008E2B64">
        <w:rPr>
          <w:rFonts w:ascii="Source Sans Pro" w:hAnsi="Source Sans Pro" w:cs="Source Sans Pro"/>
          <w:color w:val="auto"/>
          <w:sz w:val="22"/>
          <w:szCs w:val="22"/>
        </w:rPr>
        <w:t>D</w:t>
      </w:r>
      <w:r w:rsidR="005126C2">
        <w:rPr>
          <w:rFonts w:ascii="Source Sans Pro" w:hAnsi="Source Sans Pro" w:cs="Source Sans Pro"/>
          <w:color w:val="auto"/>
          <w:sz w:val="22"/>
          <w:szCs w:val="22"/>
        </w:rPr>
        <w:t>ynamik</w:t>
      </w:r>
      <w:r w:rsidR="0030528A">
        <w:rPr>
          <w:rFonts w:ascii="Source Sans Pro" w:hAnsi="Source Sans Pro" w:cs="Source Sans Pro"/>
          <w:color w:val="auto"/>
          <w:sz w:val="22"/>
          <w:szCs w:val="22"/>
        </w:rPr>
        <w:t xml:space="preserve"> de</w:t>
      </w:r>
      <w:r w:rsidR="000645A4">
        <w:rPr>
          <w:rFonts w:ascii="Source Sans Pro" w:hAnsi="Source Sans Pro" w:cs="Source Sans Pro"/>
          <w:color w:val="auto"/>
          <w:sz w:val="22"/>
          <w:szCs w:val="22"/>
        </w:rPr>
        <w:t xml:space="preserve">s </w:t>
      </w:r>
      <w:r w:rsidR="005126C2">
        <w:rPr>
          <w:rFonts w:ascii="Source Sans Pro" w:hAnsi="Source Sans Pro" w:cs="Source Sans Pro"/>
          <w:color w:val="auto"/>
          <w:sz w:val="22"/>
          <w:szCs w:val="22"/>
        </w:rPr>
        <w:t>1.</w:t>
      </w:r>
      <w:r w:rsidR="0030528A">
        <w:rPr>
          <w:rFonts w:ascii="Source Sans Pro" w:hAnsi="Source Sans Pro" w:cs="Source Sans Pro"/>
          <w:color w:val="auto"/>
          <w:sz w:val="22"/>
          <w:szCs w:val="22"/>
        </w:rPr>
        <w:t xml:space="preserve"> Halbjahre</w:t>
      </w:r>
      <w:r w:rsidR="000645A4">
        <w:rPr>
          <w:rFonts w:ascii="Source Sans Pro" w:hAnsi="Source Sans Pro" w:cs="Source Sans Pro"/>
          <w:color w:val="auto"/>
          <w:sz w:val="22"/>
          <w:szCs w:val="22"/>
        </w:rPr>
        <w:t>s</w:t>
      </w:r>
      <w:r w:rsidR="0030528A" w:rsidRPr="0030528A">
        <w:rPr>
          <w:rFonts w:ascii="Source Sans Pro" w:hAnsi="Source Sans Pro" w:cs="Source Sans Pro"/>
          <w:color w:val="auto"/>
          <w:sz w:val="22"/>
          <w:szCs w:val="22"/>
        </w:rPr>
        <w:t xml:space="preserve"> setzte sich</w:t>
      </w:r>
      <w:r w:rsidR="0030528A">
        <w:rPr>
          <w:rFonts w:ascii="Source Sans Pro" w:hAnsi="Source Sans Pro" w:cs="Source Sans Pro"/>
          <w:color w:val="auto"/>
          <w:sz w:val="22"/>
          <w:szCs w:val="22"/>
        </w:rPr>
        <w:t xml:space="preserve"> auf den Top-7-Märkten für gewerbliche Immobilieninvestments</w:t>
      </w:r>
      <w:r w:rsidR="000645A4">
        <w:rPr>
          <w:rFonts w:ascii="Source Sans Pro" w:hAnsi="Source Sans Pro" w:cs="Source Sans Pro"/>
          <w:color w:val="auto"/>
          <w:sz w:val="22"/>
          <w:szCs w:val="22"/>
        </w:rPr>
        <w:t xml:space="preserve"> fort. Zum Ende des 3. Quartals lag das Transaktionsvolumen (TAV) bei </w:t>
      </w:r>
      <w:r w:rsidR="004F6C7A">
        <w:rPr>
          <w:rFonts w:ascii="Source Sans Pro" w:hAnsi="Source Sans Pro" w:cs="Source Sans Pro"/>
          <w:color w:val="auto"/>
          <w:sz w:val="22"/>
          <w:szCs w:val="22"/>
        </w:rPr>
        <w:t>rund</w:t>
      </w:r>
      <w:r w:rsidR="000645A4">
        <w:rPr>
          <w:rFonts w:ascii="Source Sans Pro" w:hAnsi="Source Sans Pro" w:cs="Source Sans Pro"/>
          <w:color w:val="auto"/>
          <w:sz w:val="22"/>
          <w:szCs w:val="22"/>
        </w:rPr>
        <w:t xml:space="preserve"> </w:t>
      </w:r>
      <w:r w:rsidR="004F6C7A">
        <w:rPr>
          <w:rFonts w:ascii="Source Sans Pro" w:hAnsi="Source Sans Pro" w:cs="Source Sans Pro"/>
          <w:color w:val="auto"/>
          <w:sz w:val="22"/>
          <w:szCs w:val="22"/>
        </w:rPr>
        <w:t>5,7</w:t>
      </w:r>
      <w:r w:rsidR="000645A4">
        <w:rPr>
          <w:rFonts w:ascii="Source Sans Pro" w:hAnsi="Source Sans Pro" w:cs="Source Sans Pro"/>
          <w:color w:val="auto"/>
          <w:sz w:val="22"/>
          <w:szCs w:val="22"/>
        </w:rPr>
        <w:t xml:space="preserve"> Mrd. € und damit </w:t>
      </w:r>
      <w:r w:rsidR="00546BC8">
        <w:rPr>
          <w:rFonts w:ascii="Source Sans Pro" w:hAnsi="Source Sans Pro" w:cs="Source Sans Pro"/>
          <w:color w:val="auto"/>
          <w:sz w:val="22"/>
          <w:szCs w:val="22"/>
        </w:rPr>
        <w:t>etwa 72 %</w:t>
      </w:r>
      <w:r w:rsidR="000645A4">
        <w:rPr>
          <w:rFonts w:ascii="Source Sans Pro" w:hAnsi="Source Sans Pro" w:cs="Source Sans Pro"/>
          <w:color w:val="auto"/>
          <w:sz w:val="22"/>
          <w:szCs w:val="22"/>
        </w:rPr>
        <w:t xml:space="preserve"> </w:t>
      </w:r>
      <w:r w:rsidR="00546BC8">
        <w:rPr>
          <w:rFonts w:ascii="Source Sans Pro" w:hAnsi="Source Sans Pro" w:cs="Source Sans Pro"/>
          <w:color w:val="auto"/>
          <w:sz w:val="22"/>
          <w:szCs w:val="22"/>
        </w:rPr>
        <w:t xml:space="preserve">unter </w:t>
      </w:r>
      <w:r w:rsidR="000645A4">
        <w:rPr>
          <w:rFonts w:ascii="Source Sans Pro" w:hAnsi="Source Sans Pro" w:cs="Source Sans Pro"/>
          <w:color w:val="auto"/>
          <w:sz w:val="22"/>
          <w:szCs w:val="22"/>
        </w:rPr>
        <w:t xml:space="preserve">dem Vorjahreswert von 20,5 Mrd. €. Letzterer wurde jedoch </w:t>
      </w:r>
      <w:r w:rsidR="000645A4" w:rsidRPr="000645A4">
        <w:rPr>
          <w:rFonts w:ascii="Source Sans Pro" w:hAnsi="Source Sans Pro" w:cs="Source Sans Pro"/>
          <w:color w:val="auto"/>
          <w:sz w:val="22"/>
          <w:szCs w:val="22"/>
        </w:rPr>
        <w:t xml:space="preserve">maßgeblich von </w:t>
      </w:r>
      <w:r w:rsidR="000645A4">
        <w:rPr>
          <w:rFonts w:ascii="Source Sans Pro" w:hAnsi="Source Sans Pro" w:cs="Source Sans Pro"/>
          <w:color w:val="auto"/>
          <w:sz w:val="22"/>
          <w:szCs w:val="22"/>
        </w:rPr>
        <w:t>der großvolumigen</w:t>
      </w:r>
      <w:r w:rsidR="000645A4" w:rsidRPr="000645A4">
        <w:rPr>
          <w:rFonts w:ascii="Source Sans Pro" w:hAnsi="Source Sans Pro" w:cs="Source Sans Pro"/>
          <w:color w:val="auto"/>
          <w:sz w:val="22"/>
          <w:szCs w:val="22"/>
        </w:rPr>
        <w:t xml:space="preserve"> Übernahme der </w:t>
      </w:r>
      <w:proofErr w:type="spellStart"/>
      <w:r w:rsidR="000645A4" w:rsidRPr="000645A4">
        <w:rPr>
          <w:rFonts w:ascii="Source Sans Pro" w:hAnsi="Source Sans Pro" w:cs="Source Sans Pro"/>
          <w:color w:val="auto"/>
          <w:sz w:val="22"/>
          <w:szCs w:val="22"/>
        </w:rPr>
        <w:t>alstria</w:t>
      </w:r>
      <w:proofErr w:type="spellEnd"/>
      <w:r w:rsidR="000645A4" w:rsidRPr="000645A4">
        <w:rPr>
          <w:rFonts w:ascii="Source Sans Pro" w:hAnsi="Source Sans Pro" w:cs="Source Sans Pro"/>
          <w:color w:val="auto"/>
          <w:sz w:val="22"/>
          <w:szCs w:val="22"/>
        </w:rPr>
        <w:t xml:space="preserve"> </w:t>
      </w:r>
      <w:r w:rsidR="000645A4">
        <w:rPr>
          <w:rFonts w:ascii="Source Sans Pro" w:hAnsi="Source Sans Pro" w:cs="Source Sans Pro"/>
          <w:color w:val="auto"/>
          <w:sz w:val="22"/>
          <w:szCs w:val="22"/>
        </w:rPr>
        <w:t>durch</w:t>
      </w:r>
      <w:r w:rsidR="000645A4" w:rsidRPr="000645A4">
        <w:rPr>
          <w:rFonts w:ascii="Source Sans Pro" w:hAnsi="Source Sans Pro" w:cs="Source Sans Pro"/>
          <w:color w:val="auto"/>
          <w:sz w:val="22"/>
          <w:szCs w:val="22"/>
        </w:rPr>
        <w:t xml:space="preserve"> Brookfield Properties</w:t>
      </w:r>
      <w:r w:rsidR="000645A4">
        <w:rPr>
          <w:rFonts w:ascii="Source Sans Pro" w:hAnsi="Source Sans Pro" w:cs="Source Sans Pro"/>
          <w:color w:val="auto"/>
          <w:sz w:val="22"/>
          <w:szCs w:val="22"/>
        </w:rPr>
        <w:t xml:space="preserve"> getragen, die das Volumen in allen Top-7-Städten bis auf München in die Höhe trieb – </w:t>
      </w:r>
      <w:r w:rsidR="000645A4" w:rsidRPr="000645A4">
        <w:rPr>
          <w:rFonts w:ascii="Source Sans Pro" w:hAnsi="Source Sans Pro" w:cs="Source Sans Pro"/>
          <w:color w:val="auto"/>
          <w:sz w:val="22"/>
          <w:szCs w:val="22"/>
        </w:rPr>
        <w:t xml:space="preserve">sowie </w:t>
      </w:r>
      <w:r w:rsidR="000645A4">
        <w:rPr>
          <w:rFonts w:ascii="Source Sans Pro" w:hAnsi="Source Sans Pro" w:cs="Source Sans Pro"/>
          <w:color w:val="auto"/>
          <w:sz w:val="22"/>
          <w:szCs w:val="22"/>
        </w:rPr>
        <w:t xml:space="preserve">von </w:t>
      </w:r>
      <w:r w:rsidR="000645A4" w:rsidRPr="000645A4">
        <w:rPr>
          <w:rFonts w:ascii="Source Sans Pro" w:hAnsi="Source Sans Pro" w:cs="Source Sans Pro"/>
          <w:color w:val="auto"/>
          <w:sz w:val="22"/>
          <w:szCs w:val="22"/>
        </w:rPr>
        <w:t>weiteren Sondereffekten</w:t>
      </w:r>
      <w:r w:rsidR="009B432F">
        <w:rPr>
          <w:rFonts w:ascii="Source Sans Pro" w:hAnsi="Source Sans Pro" w:cs="Source Sans Pro"/>
          <w:color w:val="auto"/>
          <w:sz w:val="22"/>
          <w:szCs w:val="22"/>
        </w:rPr>
        <w:t xml:space="preserve"> </w:t>
      </w:r>
      <w:r w:rsidR="000645A4" w:rsidRPr="000645A4">
        <w:rPr>
          <w:rFonts w:ascii="Source Sans Pro" w:hAnsi="Source Sans Pro" w:cs="Source Sans Pro"/>
          <w:color w:val="auto"/>
          <w:sz w:val="22"/>
          <w:szCs w:val="22"/>
        </w:rPr>
        <w:t>an einzelnen Standorten</w:t>
      </w:r>
      <w:r w:rsidR="000C370A">
        <w:rPr>
          <w:rFonts w:ascii="Source Sans Pro" w:hAnsi="Source Sans Pro" w:cs="Source Sans Pro"/>
          <w:color w:val="auto"/>
          <w:sz w:val="22"/>
          <w:szCs w:val="22"/>
        </w:rPr>
        <w:t xml:space="preserve">. </w:t>
      </w:r>
      <w:r w:rsidR="00AC6877">
        <w:rPr>
          <w:rFonts w:ascii="Source Sans Pro" w:hAnsi="Source Sans Pro" w:cs="Source Sans Pro"/>
          <w:color w:val="auto"/>
          <w:sz w:val="22"/>
          <w:szCs w:val="22"/>
        </w:rPr>
        <w:t>I</w:t>
      </w:r>
      <w:r w:rsidR="009B432F">
        <w:rPr>
          <w:rFonts w:ascii="Source Sans Pro" w:hAnsi="Source Sans Pro" w:cs="Source Sans Pro"/>
          <w:color w:val="auto"/>
          <w:sz w:val="22"/>
          <w:szCs w:val="22"/>
        </w:rPr>
        <w:t>m 3. Quartal</w:t>
      </w:r>
      <w:r w:rsidR="005126C2">
        <w:rPr>
          <w:rFonts w:ascii="Source Sans Pro" w:hAnsi="Source Sans Pro" w:cs="Source Sans Pro"/>
          <w:color w:val="auto"/>
          <w:sz w:val="22"/>
          <w:szCs w:val="22"/>
        </w:rPr>
        <w:t xml:space="preserve"> 2023</w:t>
      </w:r>
      <w:r w:rsidR="009B432F">
        <w:rPr>
          <w:rFonts w:ascii="Source Sans Pro" w:hAnsi="Source Sans Pro" w:cs="Source Sans Pro"/>
          <w:color w:val="auto"/>
          <w:sz w:val="22"/>
          <w:szCs w:val="22"/>
        </w:rPr>
        <w:t xml:space="preserve"> wurden Immobilieninvestments für </w:t>
      </w:r>
      <w:r w:rsidR="00546BC8">
        <w:rPr>
          <w:rFonts w:ascii="Source Sans Pro" w:hAnsi="Source Sans Pro" w:cs="Source Sans Pro"/>
          <w:color w:val="auto"/>
          <w:sz w:val="22"/>
          <w:szCs w:val="22"/>
        </w:rPr>
        <w:t>rund</w:t>
      </w:r>
      <w:r w:rsidR="009B432F">
        <w:rPr>
          <w:rFonts w:ascii="Source Sans Pro" w:hAnsi="Source Sans Pro" w:cs="Source Sans Pro"/>
          <w:color w:val="auto"/>
          <w:sz w:val="22"/>
          <w:szCs w:val="22"/>
        </w:rPr>
        <w:t xml:space="preserve"> 1,4 Mrd. € abgeschlossen. Im Vergleich zum </w:t>
      </w:r>
      <w:r w:rsidR="007C4CC4">
        <w:rPr>
          <w:rFonts w:ascii="Source Sans Pro" w:hAnsi="Source Sans Pro" w:cs="Source Sans Pro"/>
          <w:color w:val="auto"/>
          <w:sz w:val="22"/>
          <w:szCs w:val="22"/>
        </w:rPr>
        <w:t>2. Q</w:t>
      </w:r>
      <w:r w:rsidR="009B432F">
        <w:rPr>
          <w:rFonts w:ascii="Source Sans Pro" w:hAnsi="Source Sans Pro" w:cs="Source Sans Pro"/>
          <w:color w:val="auto"/>
          <w:sz w:val="22"/>
          <w:szCs w:val="22"/>
        </w:rPr>
        <w:t>uartal (2,</w:t>
      </w:r>
      <w:r w:rsidR="007C4CC4">
        <w:rPr>
          <w:rFonts w:ascii="Source Sans Pro" w:hAnsi="Source Sans Pro" w:cs="Source Sans Pro"/>
          <w:color w:val="auto"/>
          <w:sz w:val="22"/>
          <w:szCs w:val="22"/>
        </w:rPr>
        <w:t>2</w:t>
      </w:r>
      <w:r w:rsidR="009B432F">
        <w:rPr>
          <w:rFonts w:ascii="Source Sans Pro" w:hAnsi="Source Sans Pro" w:cs="Source Sans Pro"/>
          <w:color w:val="auto"/>
          <w:sz w:val="22"/>
          <w:szCs w:val="22"/>
        </w:rPr>
        <w:t xml:space="preserve"> Mrd. €) lässt sich ein Rückgang um </w:t>
      </w:r>
      <w:r w:rsidR="00546BC8">
        <w:rPr>
          <w:rFonts w:ascii="Source Sans Pro" w:hAnsi="Source Sans Pro" w:cs="Source Sans Pro"/>
          <w:color w:val="auto"/>
          <w:sz w:val="22"/>
          <w:szCs w:val="22"/>
        </w:rPr>
        <w:t>etwa</w:t>
      </w:r>
      <w:r w:rsidR="009B432F">
        <w:rPr>
          <w:rFonts w:ascii="Source Sans Pro" w:hAnsi="Source Sans Pro" w:cs="Source Sans Pro"/>
          <w:color w:val="auto"/>
          <w:sz w:val="22"/>
          <w:szCs w:val="22"/>
        </w:rPr>
        <w:t xml:space="preserve"> </w:t>
      </w:r>
      <w:r w:rsidR="007C4CC4">
        <w:rPr>
          <w:rFonts w:ascii="Source Sans Pro" w:hAnsi="Source Sans Pro" w:cs="Source Sans Pro"/>
          <w:color w:val="auto"/>
          <w:sz w:val="22"/>
          <w:szCs w:val="22"/>
        </w:rPr>
        <w:t xml:space="preserve">34 </w:t>
      </w:r>
      <w:r w:rsidR="009B432F">
        <w:rPr>
          <w:rFonts w:ascii="Source Sans Pro" w:hAnsi="Source Sans Pro" w:cs="Source Sans Pro"/>
          <w:color w:val="auto"/>
          <w:sz w:val="22"/>
          <w:szCs w:val="22"/>
        </w:rPr>
        <w:t>% feststellen.</w:t>
      </w:r>
      <w:r w:rsidR="00FE2C12">
        <w:rPr>
          <w:rFonts w:ascii="Source Sans Pro" w:hAnsi="Source Sans Pro" w:cs="Source Sans Pro"/>
          <w:color w:val="auto"/>
          <w:sz w:val="22"/>
          <w:szCs w:val="22"/>
        </w:rPr>
        <w:t xml:space="preserve"> </w:t>
      </w:r>
      <w:r w:rsidR="000C370A">
        <w:rPr>
          <w:rFonts w:ascii="Source Sans Pro" w:hAnsi="Source Sans Pro" w:cs="Source Sans Pro"/>
          <w:color w:val="auto"/>
          <w:sz w:val="22"/>
          <w:szCs w:val="22"/>
        </w:rPr>
        <w:t xml:space="preserve">Diese Ergebnisse gehen auf Analysen von German Property Partners (GPP) zurück. </w:t>
      </w:r>
      <w:r w:rsidR="000C370A" w:rsidRPr="003B63A8">
        <w:rPr>
          <w:rFonts w:ascii="Source Sans Pro" w:hAnsi="Source Sans Pro" w:cs="Source Sans Pro"/>
          <w:sz w:val="22"/>
          <w:szCs w:val="22"/>
        </w:rPr>
        <w:t>Zu</w:t>
      </w:r>
      <w:r w:rsidR="000C370A" w:rsidRPr="00EB1611">
        <w:rPr>
          <w:rFonts w:ascii="Source Sans Pro" w:hAnsi="Source Sans Pro" w:cs="Source Sans Pro"/>
          <w:sz w:val="22"/>
          <w:szCs w:val="22"/>
        </w:rPr>
        <w:t xml:space="preserve"> dem Gewerbeimmobiliennetzwerk gehören </w:t>
      </w:r>
      <w:r w:rsidR="000C370A" w:rsidRPr="00EB1611">
        <w:rPr>
          <w:rFonts w:ascii="Source Sans Pro" w:hAnsi="Source Sans Pro" w:cs="Arial"/>
          <w:bCs/>
          <w:sz w:val="22"/>
          <w:szCs w:val="22"/>
        </w:rPr>
        <w:t xml:space="preserve">Grossmann &amp; Berger, </w:t>
      </w:r>
      <w:proofErr w:type="spellStart"/>
      <w:r w:rsidR="000C370A" w:rsidRPr="00EB1611">
        <w:rPr>
          <w:rFonts w:ascii="Source Sans Pro" w:hAnsi="Source Sans Pro" w:cs="Arial"/>
          <w:bCs/>
          <w:sz w:val="22"/>
          <w:szCs w:val="22"/>
        </w:rPr>
        <w:t>Anteon</w:t>
      </w:r>
      <w:proofErr w:type="spellEnd"/>
      <w:r w:rsidR="000C370A" w:rsidRPr="00EB1611">
        <w:rPr>
          <w:rFonts w:ascii="Source Sans Pro" w:hAnsi="Source Sans Pro" w:cs="Arial"/>
          <w:bCs/>
          <w:sz w:val="22"/>
          <w:szCs w:val="22"/>
        </w:rPr>
        <w:t xml:space="preserve"> Immobilien, GREIF &amp; CONTZEN Immobilien, </w:t>
      </w:r>
      <w:proofErr w:type="spellStart"/>
      <w:r w:rsidR="000C370A" w:rsidRPr="00EB1611">
        <w:rPr>
          <w:rFonts w:ascii="Source Sans Pro" w:hAnsi="Source Sans Pro" w:cs="Arial"/>
          <w:bCs/>
          <w:sz w:val="22"/>
          <w:szCs w:val="22"/>
        </w:rPr>
        <w:t>b</w:t>
      </w:r>
      <w:r w:rsidR="000C370A">
        <w:rPr>
          <w:rFonts w:ascii="Source Sans Pro" w:hAnsi="Source Sans Pro" w:cs="Arial"/>
          <w:bCs/>
          <w:sz w:val="22"/>
          <w:szCs w:val="22"/>
        </w:rPr>
        <w:t>lackolive</w:t>
      </w:r>
      <w:proofErr w:type="spellEnd"/>
      <w:r w:rsidR="000C370A">
        <w:rPr>
          <w:rFonts w:ascii="Source Sans Pro" w:hAnsi="Source Sans Pro" w:cs="Arial"/>
          <w:bCs/>
          <w:sz w:val="22"/>
          <w:szCs w:val="22"/>
        </w:rPr>
        <w:t xml:space="preserve"> </w:t>
      </w:r>
      <w:proofErr w:type="spellStart"/>
      <w:r w:rsidR="000C370A">
        <w:rPr>
          <w:rFonts w:ascii="Source Sans Pro" w:hAnsi="Source Sans Pro" w:cs="Arial"/>
          <w:bCs/>
          <w:sz w:val="22"/>
          <w:szCs w:val="22"/>
        </w:rPr>
        <w:t>advisors</w:t>
      </w:r>
      <w:proofErr w:type="spellEnd"/>
      <w:r w:rsidR="000C370A">
        <w:rPr>
          <w:rFonts w:ascii="Source Sans Pro" w:hAnsi="Source Sans Pro" w:cs="Arial"/>
          <w:bCs/>
          <w:sz w:val="22"/>
          <w:szCs w:val="22"/>
        </w:rPr>
        <w:t xml:space="preserve"> und E &amp; G Real Estate.</w:t>
      </w:r>
    </w:p>
    <w:p w14:paraId="19D25B26" w14:textId="77777777" w:rsidR="00610BB3" w:rsidRDefault="00610BB3" w:rsidP="00895E64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Arial"/>
          <w:bCs/>
          <w:sz w:val="22"/>
          <w:szCs w:val="22"/>
        </w:rPr>
      </w:pPr>
    </w:p>
    <w:p w14:paraId="757AFD0B" w14:textId="0ACCDE61" w:rsidR="00F24B1D" w:rsidRDefault="00F24B1D" w:rsidP="00895E64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Arial"/>
          <w:bCs/>
          <w:sz w:val="22"/>
          <w:szCs w:val="22"/>
        </w:rPr>
      </w:pPr>
      <w:r>
        <w:rPr>
          <w:rFonts w:ascii="Source Sans Pro" w:hAnsi="Source Sans Pro" w:cs="Arial"/>
          <w:bCs/>
          <w:sz w:val="22"/>
          <w:szCs w:val="22"/>
        </w:rPr>
        <w:t>„</w:t>
      </w:r>
      <w:r w:rsidR="00815243" w:rsidRPr="00815243">
        <w:rPr>
          <w:rFonts w:ascii="Source Sans Pro" w:hAnsi="Source Sans Pro" w:cs="Arial"/>
          <w:bCs/>
          <w:i/>
          <w:iCs/>
          <w:sz w:val="22"/>
          <w:szCs w:val="22"/>
        </w:rPr>
        <w:t>Die Unsicherheit</w:t>
      </w:r>
      <w:r w:rsidR="00815243">
        <w:rPr>
          <w:rFonts w:ascii="Source Sans Pro" w:hAnsi="Source Sans Pro" w:cs="Arial"/>
          <w:bCs/>
          <w:i/>
          <w:iCs/>
          <w:sz w:val="22"/>
          <w:szCs w:val="22"/>
        </w:rPr>
        <w:t xml:space="preserve"> </w:t>
      </w:r>
      <w:r w:rsidR="00167D63">
        <w:rPr>
          <w:rFonts w:ascii="Source Sans Pro" w:hAnsi="Source Sans Pro" w:cs="Arial"/>
          <w:bCs/>
          <w:i/>
          <w:iCs/>
          <w:sz w:val="22"/>
          <w:szCs w:val="22"/>
        </w:rPr>
        <w:t>vieler</w:t>
      </w:r>
      <w:r w:rsidR="00815243">
        <w:rPr>
          <w:rFonts w:ascii="Source Sans Pro" w:hAnsi="Source Sans Pro" w:cs="Arial"/>
          <w:bCs/>
          <w:i/>
          <w:iCs/>
          <w:sz w:val="22"/>
          <w:szCs w:val="22"/>
        </w:rPr>
        <w:t xml:space="preserve"> Investoren hinsichtlich</w:t>
      </w:r>
      <w:r w:rsidR="00815243" w:rsidRPr="00815243">
        <w:rPr>
          <w:rFonts w:ascii="Source Sans Pro" w:hAnsi="Source Sans Pro" w:cs="Arial"/>
          <w:bCs/>
          <w:i/>
          <w:iCs/>
          <w:sz w:val="22"/>
          <w:szCs w:val="22"/>
        </w:rPr>
        <w:t xml:space="preserve"> der Zins- und Inflationsentwicklung</w:t>
      </w:r>
      <w:r w:rsidR="00815243">
        <w:rPr>
          <w:rFonts w:ascii="Source Sans Pro" w:hAnsi="Source Sans Pro" w:cs="Arial"/>
          <w:bCs/>
          <w:i/>
          <w:iCs/>
          <w:sz w:val="22"/>
          <w:szCs w:val="22"/>
        </w:rPr>
        <w:t xml:space="preserve"> blieb auch im dritten Quartal bestehen. Verstärkt wurde die</w:t>
      </w:r>
      <w:r w:rsidR="00167D63">
        <w:rPr>
          <w:rFonts w:ascii="Source Sans Pro" w:hAnsi="Source Sans Pro" w:cs="Arial"/>
          <w:bCs/>
          <w:i/>
          <w:iCs/>
          <w:sz w:val="22"/>
          <w:szCs w:val="22"/>
        </w:rPr>
        <w:t xml:space="preserve"> Zurückhaltung</w:t>
      </w:r>
      <w:r w:rsidR="00815243">
        <w:rPr>
          <w:rFonts w:ascii="Source Sans Pro" w:hAnsi="Source Sans Pro" w:cs="Arial"/>
          <w:bCs/>
          <w:i/>
          <w:iCs/>
          <w:sz w:val="22"/>
          <w:szCs w:val="22"/>
        </w:rPr>
        <w:t xml:space="preserve"> durch Insolvenzmeldungen mehrerer Projektentwickler</w:t>
      </w:r>
      <w:r w:rsidR="006E0EFC">
        <w:rPr>
          <w:rFonts w:ascii="Source Sans Pro" w:hAnsi="Source Sans Pro" w:cs="Arial"/>
          <w:bCs/>
          <w:i/>
          <w:iCs/>
          <w:sz w:val="22"/>
          <w:szCs w:val="22"/>
        </w:rPr>
        <w:t xml:space="preserve">“, </w:t>
      </w:r>
      <w:r w:rsidR="006E0EFC" w:rsidRPr="00F24B1D">
        <w:rPr>
          <w:rFonts w:ascii="Source Sans Pro" w:hAnsi="Source Sans Pro" w:cs="Arial"/>
          <w:bCs/>
          <w:iCs/>
          <w:sz w:val="22"/>
          <w:szCs w:val="22"/>
        </w:rPr>
        <w:t>erklärt GPP</w:t>
      </w:r>
      <w:r w:rsidR="006E0EFC">
        <w:rPr>
          <w:rFonts w:ascii="Source Sans Pro" w:hAnsi="Source Sans Pro" w:cs="Arial"/>
          <w:bCs/>
          <w:sz w:val="22"/>
          <w:szCs w:val="22"/>
        </w:rPr>
        <w:t xml:space="preserve">-Sprecher </w:t>
      </w:r>
      <w:r w:rsidR="006E0EFC" w:rsidRPr="0041188F">
        <w:rPr>
          <w:rFonts w:ascii="Source Sans Pro" w:hAnsi="Source Sans Pro" w:cs="Source Sans Pro"/>
          <w:b/>
          <w:sz w:val="22"/>
          <w:szCs w:val="22"/>
        </w:rPr>
        <w:t>Andreas Rehberg</w:t>
      </w:r>
      <w:r w:rsidRPr="006E0EFC">
        <w:rPr>
          <w:rFonts w:ascii="Source Sans Pro" w:hAnsi="Source Sans Pro" w:cs="Arial"/>
          <w:bCs/>
          <w:i/>
          <w:iCs/>
          <w:sz w:val="22"/>
          <w:szCs w:val="22"/>
        </w:rPr>
        <w:t xml:space="preserve">. </w:t>
      </w:r>
      <w:r w:rsidR="00815243">
        <w:rPr>
          <w:rFonts w:ascii="Source Sans Pro" w:hAnsi="Source Sans Pro" w:cs="Arial"/>
          <w:bCs/>
          <w:i/>
          <w:iCs/>
          <w:sz w:val="22"/>
          <w:szCs w:val="22"/>
        </w:rPr>
        <w:t xml:space="preserve">„Das Transaktionsgeschehen bewegt sich nach wie vor auf einem niedrigen Niveau. Die Abschlüsse, die zustande kommen, erzielen überwiegend kleine bis mittelgroße Volumina. </w:t>
      </w:r>
      <w:r w:rsidR="00167D63">
        <w:rPr>
          <w:rFonts w:ascii="Source Sans Pro" w:hAnsi="Source Sans Pro" w:cs="Arial"/>
          <w:bCs/>
          <w:i/>
          <w:iCs/>
          <w:sz w:val="22"/>
          <w:szCs w:val="22"/>
        </w:rPr>
        <w:t>Nach wie vor hält die</w:t>
      </w:r>
      <w:r w:rsidR="005D748C">
        <w:rPr>
          <w:rFonts w:ascii="Source Sans Pro" w:hAnsi="Source Sans Pro" w:cs="Arial"/>
          <w:bCs/>
          <w:i/>
          <w:iCs/>
          <w:sz w:val="22"/>
          <w:szCs w:val="22"/>
        </w:rPr>
        <w:t xml:space="preserve"> Preisfindungsphase an, viele Investoren verbleiben in abwartender Haltung. </w:t>
      </w:r>
      <w:r w:rsidR="00815243" w:rsidRPr="00815243">
        <w:rPr>
          <w:rFonts w:ascii="Source Sans Pro" w:hAnsi="Source Sans Pro" w:cs="Arial"/>
          <w:bCs/>
          <w:i/>
          <w:iCs/>
          <w:sz w:val="22"/>
          <w:szCs w:val="22"/>
        </w:rPr>
        <w:t>Einzelne Marktteilnehmer, vor allem eigenkapitalstarke Investoren, sind weiterhin aktiv</w:t>
      </w:r>
      <w:r w:rsidR="005D748C">
        <w:rPr>
          <w:rFonts w:ascii="Source Sans Pro" w:hAnsi="Source Sans Pro" w:cs="Arial"/>
          <w:bCs/>
          <w:i/>
          <w:iCs/>
          <w:sz w:val="22"/>
          <w:szCs w:val="22"/>
        </w:rPr>
        <w:t>.“</w:t>
      </w:r>
    </w:p>
    <w:p w14:paraId="7006318E" w14:textId="77777777" w:rsidR="00962D9D" w:rsidRDefault="00962D9D" w:rsidP="000136D7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Arial"/>
          <w:bCs/>
          <w:sz w:val="22"/>
          <w:szCs w:val="22"/>
        </w:rPr>
      </w:pPr>
    </w:p>
    <w:p w14:paraId="6A8B1676" w14:textId="58E47341" w:rsidR="004979AD" w:rsidRDefault="000C370A" w:rsidP="004979AD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aps/>
          <w:color w:val="0086A8"/>
          <w:sz w:val="22"/>
          <w:szCs w:val="22"/>
        </w:rPr>
      </w:pPr>
      <w:r>
        <w:rPr>
          <w:rFonts w:ascii="Source Sans Pro" w:hAnsi="Source Sans Pro" w:cs="Source Sans Pro"/>
          <w:caps/>
          <w:color w:val="0086A8"/>
          <w:sz w:val="22"/>
          <w:szCs w:val="22"/>
        </w:rPr>
        <w:t>Stärkste TAV-Rückgänge in Frankfurt und Hamburg</w:t>
      </w:r>
    </w:p>
    <w:p w14:paraId="2F753EA3" w14:textId="7E46EFA4" w:rsidR="00B258C6" w:rsidRDefault="000C370A" w:rsidP="00070B06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  <w:r>
        <w:rPr>
          <w:rFonts w:ascii="Source Sans Pro" w:hAnsi="Source Sans Pro" w:cs="Source Sans Pro"/>
          <w:sz w:val="22"/>
          <w:szCs w:val="22"/>
        </w:rPr>
        <w:t>Gemäß GPP-Analyse</w:t>
      </w:r>
      <w:r w:rsidR="00167D63">
        <w:rPr>
          <w:rFonts w:ascii="Source Sans Pro" w:hAnsi="Source Sans Pro" w:cs="Source Sans Pro"/>
          <w:sz w:val="22"/>
          <w:szCs w:val="22"/>
        </w:rPr>
        <w:t>n</w:t>
      </w:r>
      <w:r>
        <w:rPr>
          <w:rFonts w:ascii="Source Sans Pro" w:hAnsi="Source Sans Pro" w:cs="Source Sans Pro"/>
          <w:sz w:val="22"/>
          <w:szCs w:val="22"/>
        </w:rPr>
        <w:t xml:space="preserve"> </w:t>
      </w:r>
      <w:r w:rsidR="0005241D">
        <w:rPr>
          <w:rFonts w:ascii="Source Sans Pro" w:hAnsi="Source Sans Pro" w:cs="Source Sans Pro"/>
          <w:sz w:val="22"/>
          <w:szCs w:val="22"/>
        </w:rPr>
        <w:t>verblieb</w:t>
      </w:r>
      <w:r>
        <w:rPr>
          <w:rFonts w:ascii="Source Sans Pro" w:hAnsi="Source Sans Pro" w:cs="Source Sans Pro"/>
          <w:sz w:val="22"/>
          <w:szCs w:val="22"/>
        </w:rPr>
        <w:t xml:space="preserve"> das TAV an allen Top-7-Standorten weit unter den Vorjahreswerten. Das deutlichste Minus </w:t>
      </w:r>
      <w:r w:rsidR="0005241D">
        <w:rPr>
          <w:rFonts w:ascii="Source Sans Pro" w:hAnsi="Source Sans Pro" w:cs="Source Sans Pro"/>
          <w:sz w:val="22"/>
          <w:szCs w:val="22"/>
        </w:rPr>
        <w:t>zeigte sich in Frankfurt (-86 % auf 526 Mio. €). I</w:t>
      </w:r>
      <w:r w:rsidR="00860AF4">
        <w:rPr>
          <w:rFonts w:ascii="Source Sans Pro" w:hAnsi="Source Sans Pro" w:cs="Source Sans Pro"/>
          <w:sz w:val="22"/>
          <w:szCs w:val="22"/>
        </w:rPr>
        <w:t>n Hamburg (-81 % auf 730 Mio. €) und Düsseldorf (-78 % auf 530 Mio. €)</w:t>
      </w:r>
      <w:r w:rsidR="0005241D">
        <w:rPr>
          <w:rFonts w:ascii="Source Sans Pro" w:hAnsi="Source Sans Pro" w:cs="Source Sans Pro"/>
          <w:sz w:val="22"/>
          <w:szCs w:val="22"/>
        </w:rPr>
        <w:t xml:space="preserve"> erfasste GPP ähnlich starke Rückgänge. In Stuttgart nahm das TAV im Vorjahresvergleich am wenigsten ab (</w:t>
      </w:r>
      <w:r w:rsidR="00860AF4">
        <w:rPr>
          <w:rFonts w:ascii="Source Sans Pro" w:hAnsi="Source Sans Pro" w:cs="Source Sans Pro"/>
          <w:sz w:val="22"/>
          <w:szCs w:val="22"/>
        </w:rPr>
        <w:t>-5</w:t>
      </w:r>
      <w:r w:rsidR="007C4CC4">
        <w:rPr>
          <w:rFonts w:ascii="Source Sans Pro" w:hAnsi="Source Sans Pro" w:cs="Source Sans Pro"/>
          <w:sz w:val="22"/>
          <w:szCs w:val="22"/>
        </w:rPr>
        <w:t>1</w:t>
      </w:r>
      <w:r w:rsidR="00860AF4">
        <w:rPr>
          <w:rFonts w:ascii="Source Sans Pro" w:hAnsi="Source Sans Pro" w:cs="Source Sans Pro"/>
          <w:sz w:val="22"/>
          <w:szCs w:val="22"/>
        </w:rPr>
        <w:t xml:space="preserve"> % auf 410 Mio. €</w:t>
      </w:r>
      <w:r w:rsidR="0005241D">
        <w:rPr>
          <w:rFonts w:ascii="Source Sans Pro" w:hAnsi="Source Sans Pro" w:cs="Source Sans Pro"/>
          <w:sz w:val="22"/>
          <w:szCs w:val="22"/>
        </w:rPr>
        <w:t>).</w:t>
      </w:r>
      <w:r w:rsidR="00860AF4">
        <w:rPr>
          <w:rFonts w:ascii="Source Sans Pro" w:hAnsi="Source Sans Pro" w:cs="Source Sans Pro"/>
          <w:sz w:val="22"/>
          <w:szCs w:val="22"/>
        </w:rPr>
        <w:t xml:space="preserve"> </w:t>
      </w:r>
      <w:r w:rsidR="00AC6877" w:rsidRPr="00AC6877">
        <w:rPr>
          <w:rFonts w:ascii="Source Sans Pro" w:hAnsi="Source Sans Pro" w:cs="Source Sans Pro"/>
          <w:sz w:val="22"/>
          <w:szCs w:val="22"/>
        </w:rPr>
        <w:t xml:space="preserve">Dazwischen lag Köln mit einer Abnahme </w:t>
      </w:r>
      <w:r w:rsidR="00AC6877" w:rsidRPr="00AC6877">
        <w:rPr>
          <w:rFonts w:ascii="Source Sans Pro" w:hAnsi="Source Sans Pro" w:cs="Source Sans Pro"/>
          <w:sz w:val="22"/>
          <w:szCs w:val="22"/>
        </w:rPr>
        <w:lastRenderedPageBreak/>
        <w:t xml:space="preserve">von 65 % auf 300 Mio. €. </w:t>
      </w:r>
      <w:r w:rsidR="00860AF4">
        <w:rPr>
          <w:rFonts w:ascii="Source Sans Pro" w:hAnsi="Source Sans Pro" w:cs="Source Sans Pro"/>
          <w:sz w:val="22"/>
          <w:szCs w:val="22"/>
        </w:rPr>
        <w:t xml:space="preserve">Das höchste </w:t>
      </w:r>
      <w:r w:rsidR="0005241D">
        <w:rPr>
          <w:rFonts w:ascii="Source Sans Pro" w:hAnsi="Source Sans Pro" w:cs="Source Sans Pro"/>
          <w:sz w:val="22"/>
          <w:szCs w:val="22"/>
        </w:rPr>
        <w:t>Volumen</w:t>
      </w:r>
      <w:r w:rsidR="00860AF4">
        <w:rPr>
          <w:rFonts w:ascii="Source Sans Pro" w:hAnsi="Source Sans Pro" w:cs="Source Sans Pro"/>
          <w:sz w:val="22"/>
          <w:szCs w:val="22"/>
        </w:rPr>
        <w:t xml:space="preserve"> </w:t>
      </w:r>
      <w:r w:rsidR="00B258C6">
        <w:rPr>
          <w:rFonts w:ascii="Source Sans Pro" w:hAnsi="Source Sans Pro" w:cs="Source Sans Pro"/>
          <w:sz w:val="22"/>
          <w:szCs w:val="22"/>
        </w:rPr>
        <w:t xml:space="preserve">erzielte Berlin. In der Bundeshauptstadt wurden Immobilieninvestments für rund </w:t>
      </w:r>
      <w:r w:rsidR="00B258C6" w:rsidRPr="00B258C6">
        <w:rPr>
          <w:rFonts w:ascii="Source Sans Pro" w:hAnsi="Source Sans Pro" w:cs="Source Sans Pro"/>
          <w:sz w:val="22"/>
          <w:szCs w:val="22"/>
        </w:rPr>
        <w:t>2,25 Mrd. €</w:t>
      </w:r>
      <w:r w:rsidR="00B258C6">
        <w:rPr>
          <w:rFonts w:ascii="Source Sans Pro" w:hAnsi="Source Sans Pro" w:cs="Source Sans Pro"/>
          <w:sz w:val="22"/>
          <w:szCs w:val="22"/>
        </w:rPr>
        <w:t xml:space="preserve"> abgeschlossen</w:t>
      </w:r>
      <w:r w:rsidR="0005241D">
        <w:rPr>
          <w:rFonts w:ascii="Source Sans Pro" w:hAnsi="Source Sans Pro" w:cs="Source Sans Pro"/>
          <w:sz w:val="22"/>
          <w:szCs w:val="22"/>
        </w:rPr>
        <w:t>.</w:t>
      </w:r>
    </w:p>
    <w:p w14:paraId="18BCEEF2" w14:textId="77777777" w:rsidR="00B258C6" w:rsidRDefault="00B258C6" w:rsidP="00B258C6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</w:p>
    <w:p w14:paraId="0BD3950C" w14:textId="1AA892E4" w:rsidR="00B258C6" w:rsidRPr="00B258C6" w:rsidRDefault="00B258C6" w:rsidP="00070B06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  <w:r>
        <w:rPr>
          <w:rFonts w:ascii="Source Sans Pro" w:hAnsi="Source Sans Pro" w:cs="Source Sans Pro"/>
          <w:sz w:val="22"/>
          <w:szCs w:val="22"/>
        </w:rPr>
        <w:t>Büro</w:t>
      </w:r>
      <w:r w:rsidR="0005241D">
        <w:rPr>
          <w:rFonts w:ascii="Source Sans Pro" w:hAnsi="Source Sans Pro" w:cs="Source Sans Pro"/>
          <w:sz w:val="22"/>
          <w:szCs w:val="22"/>
        </w:rPr>
        <w:t>immobilien</w:t>
      </w:r>
      <w:r>
        <w:rPr>
          <w:rFonts w:ascii="Source Sans Pro" w:hAnsi="Source Sans Pro" w:cs="Source Sans Pro"/>
          <w:sz w:val="22"/>
          <w:szCs w:val="22"/>
        </w:rPr>
        <w:t xml:space="preserve"> </w:t>
      </w:r>
      <w:r w:rsidR="00167D63">
        <w:rPr>
          <w:rFonts w:ascii="Source Sans Pro" w:hAnsi="Source Sans Pro" w:cs="Source Sans Pro"/>
          <w:sz w:val="22"/>
          <w:szCs w:val="22"/>
        </w:rPr>
        <w:t>blieben die</w:t>
      </w:r>
      <w:r>
        <w:rPr>
          <w:rFonts w:ascii="Source Sans Pro" w:hAnsi="Source Sans Pro" w:cs="Source Sans Pro"/>
          <w:sz w:val="22"/>
          <w:szCs w:val="22"/>
        </w:rPr>
        <w:t xml:space="preserve"> mit </w:t>
      </w:r>
      <w:r w:rsidR="0005241D">
        <w:rPr>
          <w:rFonts w:ascii="Source Sans Pro" w:hAnsi="Source Sans Pro" w:cs="Source Sans Pro"/>
          <w:sz w:val="22"/>
          <w:szCs w:val="22"/>
        </w:rPr>
        <w:t>Abstand am meiste</w:t>
      </w:r>
      <w:r w:rsidR="00801725">
        <w:rPr>
          <w:rFonts w:ascii="Source Sans Pro" w:hAnsi="Source Sans Pro" w:cs="Source Sans Pro"/>
          <w:sz w:val="22"/>
          <w:szCs w:val="22"/>
        </w:rPr>
        <w:t>n</w:t>
      </w:r>
      <w:r w:rsidR="0005241D">
        <w:rPr>
          <w:rFonts w:ascii="Source Sans Pro" w:hAnsi="Source Sans Pro" w:cs="Source Sans Pro"/>
          <w:sz w:val="22"/>
          <w:szCs w:val="22"/>
        </w:rPr>
        <w:t xml:space="preserve"> gehandelte Assetklasse. Sie machten in etwa die Hälfte des TAV (51 %) aus</w:t>
      </w:r>
      <w:r>
        <w:rPr>
          <w:rFonts w:ascii="Source Sans Pro" w:hAnsi="Source Sans Pro" w:cs="Source Sans Pro"/>
          <w:sz w:val="22"/>
          <w:szCs w:val="22"/>
        </w:rPr>
        <w:t xml:space="preserve">. </w:t>
      </w:r>
      <w:r w:rsidR="0005241D">
        <w:rPr>
          <w:rFonts w:ascii="Source Sans Pro" w:hAnsi="Source Sans Pro" w:cs="Source Sans Pro"/>
          <w:sz w:val="22"/>
          <w:szCs w:val="22"/>
        </w:rPr>
        <w:t>Dieses Ergebnis liegt allerdings deutlich unter dem Vorjahreswert</w:t>
      </w:r>
      <w:r>
        <w:rPr>
          <w:rFonts w:ascii="Source Sans Pro" w:hAnsi="Source Sans Pro" w:cs="Source Sans Pro"/>
          <w:sz w:val="22"/>
          <w:szCs w:val="22"/>
        </w:rPr>
        <w:t xml:space="preserve"> von 75 %</w:t>
      </w:r>
      <w:r w:rsidR="0005241D">
        <w:rPr>
          <w:rFonts w:ascii="Source Sans Pro" w:hAnsi="Source Sans Pro" w:cs="Source Sans Pro"/>
          <w:sz w:val="22"/>
          <w:szCs w:val="22"/>
        </w:rPr>
        <w:t xml:space="preserve">. </w:t>
      </w:r>
      <w:r>
        <w:rPr>
          <w:rFonts w:ascii="Source Sans Pro" w:hAnsi="Source Sans Pro" w:cs="Source Sans Pro"/>
          <w:sz w:val="22"/>
          <w:szCs w:val="22"/>
        </w:rPr>
        <w:t xml:space="preserve">Einzelhandelsimmobilien waren </w:t>
      </w:r>
      <w:r w:rsidR="00070B06">
        <w:rPr>
          <w:rFonts w:ascii="Source Sans Pro" w:hAnsi="Source Sans Pro" w:cs="Source Sans Pro"/>
          <w:sz w:val="22"/>
          <w:szCs w:val="22"/>
        </w:rPr>
        <w:t>mit einem</w:t>
      </w:r>
      <w:r w:rsidR="0005241D">
        <w:rPr>
          <w:rFonts w:ascii="Source Sans Pro" w:hAnsi="Source Sans Pro" w:cs="Source Sans Pro"/>
          <w:sz w:val="22"/>
          <w:szCs w:val="22"/>
        </w:rPr>
        <w:t xml:space="preserve"> Volumenanteil von rund </w:t>
      </w:r>
      <w:r>
        <w:rPr>
          <w:rFonts w:ascii="Source Sans Pro" w:hAnsi="Source Sans Pro" w:cs="Source Sans Pro"/>
          <w:sz w:val="22"/>
          <w:szCs w:val="22"/>
        </w:rPr>
        <w:t xml:space="preserve">18 % hingegen deutlich gefragter als im </w:t>
      </w:r>
      <w:r w:rsidR="007C4CC4">
        <w:rPr>
          <w:rFonts w:ascii="Source Sans Pro" w:hAnsi="Source Sans Pro" w:cs="Source Sans Pro"/>
          <w:sz w:val="22"/>
          <w:szCs w:val="22"/>
        </w:rPr>
        <w:t>Vorjahreszeitraum</w:t>
      </w:r>
      <w:r w:rsidR="00872A06">
        <w:rPr>
          <w:rFonts w:ascii="Source Sans Pro" w:hAnsi="Source Sans Pro" w:cs="Source Sans Pro"/>
          <w:sz w:val="22"/>
          <w:szCs w:val="22"/>
        </w:rPr>
        <w:t xml:space="preserve"> </w:t>
      </w:r>
      <w:r>
        <w:rPr>
          <w:rFonts w:ascii="Source Sans Pro" w:hAnsi="Source Sans Pro" w:cs="Source Sans Pro"/>
          <w:sz w:val="22"/>
          <w:szCs w:val="22"/>
        </w:rPr>
        <w:t>(3 %). 11 % des TAV entfielen auf Mixed-</w:t>
      </w:r>
      <w:r w:rsidR="007C4CC4">
        <w:rPr>
          <w:rFonts w:ascii="Source Sans Pro" w:hAnsi="Source Sans Pro" w:cs="Source Sans Pro"/>
          <w:sz w:val="22"/>
          <w:szCs w:val="22"/>
        </w:rPr>
        <w:t>U</w:t>
      </w:r>
      <w:r>
        <w:rPr>
          <w:rFonts w:ascii="Source Sans Pro" w:hAnsi="Source Sans Pro" w:cs="Source Sans Pro"/>
          <w:sz w:val="22"/>
          <w:szCs w:val="22"/>
        </w:rPr>
        <w:t>se-Objekte</w:t>
      </w:r>
      <w:r w:rsidR="00070B06">
        <w:rPr>
          <w:rFonts w:ascii="Source Sans Pro" w:hAnsi="Source Sans Pro" w:cs="Source Sans Pro"/>
          <w:sz w:val="22"/>
          <w:szCs w:val="22"/>
        </w:rPr>
        <w:t>. Der Anteil i</w:t>
      </w:r>
      <w:r>
        <w:rPr>
          <w:rFonts w:ascii="Source Sans Pro" w:hAnsi="Source Sans Pro" w:cs="Source Sans Pro"/>
          <w:sz w:val="22"/>
          <w:szCs w:val="22"/>
        </w:rPr>
        <w:t>nternationale</w:t>
      </w:r>
      <w:r w:rsidR="00070B06">
        <w:rPr>
          <w:rFonts w:ascii="Source Sans Pro" w:hAnsi="Source Sans Pro" w:cs="Source Sans Pro"/>
          <w:sz w:val="22"/>
          <w:szCs w:val="22"/>
        </w:rPr>
        <w:t>r</w:t>
      </w:r>
      <w:r>
        <w:rPr>
          <w:rFonts w:ascii="Source Sans Pro" w:hAnsi="Source Sans Pro" w:cs="Source Sans Pro"/>
          <w:sz w:val="22"/>
          <w:szCs w:val="22"/>
        </w:rPr>
        <w:t xml:space="preserve"> Investoren </w:t>
      </w:r>
      <w:r w:rsidR="00070B06">
        <w:rPr>
          <w:rFonts w:ascii="Source Sans Pro" w:hAnsi="Source Sans Pro" w:cs="Source Sans Pro"/>
          <w:sz w:val="22"/>
          <w:szCs w:val="22"/>
        </w:rPr>
        <w:t>belief sich auf 22 %. Damit zeigten sie</w:t>
      </w:r>
      <w:r>
        <w:rPr>
          <w:rFonts w:ascii="Source Sans Pro" w:hAnsi="Source Sans Pro" w:cs="Source Sans Pro"/>
          <w:sz w:val="22"/>
          <w:szCs w:val="22"/>
        </w:rPr>
        <w:t xml:space="preserve"> sich</w:t>
      </w:r>
      <w:r w:rsidR="00070B06">
        <w:rPr>
          <w:rFonts w:ascii="Source Sans Pro" w:hAnsi="Source Sans Pro" w:cs="Source Sans Pro"/>
          <w:sz w:val="22"/>
          <w:szCs w:val="22"/>
        </w:rPr>
        <w:t xml:space="preserve"> deutlich</w:t>
      </w:r>
      <w:r>
        <w:rPr>
          <w:rFonts w:ascii="Source Sans Pro" w:hAnsi="Source Sans Pro" w:cs="Source Sans Pro"/>
          <w:sz w:val="22"/>
          <w:szCs w:val="22"/>
        </w:rPr>
        <w:t xml:space="preserve"> weniger aktiv als im Vergleichszeitraum 2022 (52 %)</w:t>
      </w:r>
      <w:r w:rsidR="00070B06">
        <w:rPr>
          <w:rFonts w:ascii="Source Sans Pro" w:hAnsi="Source Sans Pro" w:cs="Source Sans Pro"/>
          <w:sz w:val="22"/>
          <w:szCs w:val="22"/>
        </w:rPr>
        <w:t>. E</w:t>
      </w:r>
      <w:r>
        <w:rPr>
          <w:rFonts w:ascii="Source Sans Pro" w:hAnsi="Source Sans Pro" w:cs="Source Sans Pro"/>
          <w:sz w:val="22"/>
          <w:szCs w:val="22"/>
        </w:rPr>
        <w:t xml:space="preserve">twa 26 % des TAV </w:t>
      </w:r>
      <w:r w:rsidR="00070B06">
        <w:rPr>
          <w:rFonts w:ascii="Source Sans Pro" w:hAnsi="Source Sans Pro" w:cs="Source Sans Pro"/>
          <w:sz w:val="22"/>
          <w:szCs w:val="22"/>
        </w:rPr>
        <w:t xml:space="preserve">entfielen auf </w:t>
      </w:r>
      <w:r w:rsidR="00070B06" w:rsidRPr="00070B06">
        <w:rPr>
          <w:rFonts w:ascii="Source Sans Pro" w:hAnsi="Source Sans Pro" w:cs="Source Sans Pro"/>
          <w:sz w:val="22"/>
          <w:szCs w:val="22"/>
        </w:rPr>
        <w:t>Portfolio-Verkäufe</w:t>
      </w:r>
      <w:r w:rsidR="00070B06">
        <w:rPr>
          <w:rFonts w:ascii="Source Sans Pro" w:hAnsi="Source Sans Pro" w:cs="Source Sans Pro"/>
          <w:sz w:val="22"/>
          <w:szCs w:val="22"/>
        </w:rPr>
        <w:t>.</w:t>
      </w:r>
    </w:p>
    <w:p w14:paraId="4FDD6406" w14:textId="77777777" w:rsidR="00816613" w:rsidRPr="00034121" w:rsidRDefault="00816613" w:rsidP="004F09D7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Arial"/>
          <w:bCs/>
          <w:sz w:val="22"/>
          <w:szCs w:val="22"/>
        </w:rPr>
      </w:pPr>
    </w:p>
    <w:p w14:paraId="7E871430" w14:textId="2AC764BB" w:rsidR="00F159E2" w:rsidRDefault="00962D9D" w:rsidP="00AD7DB5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Arial"/>
          <w:bCs/>
          <w:sz w:val="22"/>
          <w:szCs w:val="22"/>
        </w:rPr>
      </w:pPr>
      <w:r>
        <w:rPr>
          <w:rFonts w:ascii="Source Sans Pro" w:hAnsi="Source Sans Pro" w:cs="Source Sans Pro"/>
          <w:caps/>
          <w:color w:val="0086A8"/>
          <w:sz w:val="22"/>
          <w:szCs w:val="22"/>
        </w:rPr>
        <w:t>Spitzenren</w:t>
      </w:r>
      <w:r w:rsidR="00404BCC">
        <w:rPr>
          <w:rFonts w:ascii="Source Sans Pro" w:hAnsi="Source Sans Pro" w:cs="Source Sans Pro"/>
          <w:caps/>
          <w:color w:val="0086A8"/>
          <w:sz w:val="22"/>
          <w:szCs w:val="22"/>
        </w:rPr>
        <w:t>diten</w:t>
      </w:r>
      <w:r w:rsidR="004946A6">
        <w:rPr>
          <w:rFonts w:ascii="Source Sans Pro" w:hAnsi="Source Sans Pro" w:cs="Source Sans Pro"/>
          <w:caps/>
          <w:color w:val="0086A8"/>
          <w:sz w:val="22"/>
          <w:szCs w:val="22"/>
        </w:rPr>
        <w:t>: Plus</w:t>
      </w:r>
      <w:r w:rsidR="005D748C">
        <w:rPr>
          <w:rFonts w:ascii="Source Sans Pro" w:hAnsi="Source Sans Pro" w:cs="Source Sans Pro"/>
          <w:caps/>
          <w:color w:val="0086A8"/>
          <w:sz w:val="22"/>
          <w:szCs w:val="22"/>
        </w:rPr>
        <w:t xml:space="preserve"> </w:t>
      </w:r>
      <w:r w:rsidR="004946A6">
        <w:rPr>
          <w:rFonts w:ascii="Source Sans Pro" w:hAnsi="Source Sans Pro" w:cs="Source Sans Pro"/>
          <w:caps/>
          <w:color w:val="0086A8"/>
          <w:sz w:val="22"/>
          <w:szCs w:val="22"/>
        </w:rPr>
        <w:t>an allen Standorten</w:t>
      </w:r>
    </w:p>
    <w:p w14:paraId="296A9F74" w14:textId="43934357" w:rsidR="00811278" w:rsidRPr="005D748C" w:rsidRDefault="0041324D" w:rsidP="005D748C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  <w:r>
        <w:rPr>
          <w:rFonts w:ascii="Source Sans Pro" w:hAnsi="Source Sans Pro" w:cs="Source Sans Pro"/>
          <w:sz w:val="22"/>
          <w:szCs w:val="22"/>
        </w:rPr>
        <w:t xml:space="preserve">Die </w:t>
      </w:r>
      <w:r w:rsidR="00B258C6">
        <w:rPr>
          <w:rFonts w:ascii="Source Sans Pro" w:hAnsi="Source Sans Pro" w:cs="Source Sans Pro"/>
          <w:sz w:val="22"/>
          <w:szCs w:val="22"/>
        </w:rPr>
        <w:t xml:space="preserve">Netto-Spitzenrenditen stiegen </w:t>
      </w:r>
      <w:r>
        <w:rPr>
          <w:rFonts w:ascii="Source Sans Pro" w:hAnsi="Source Sans Pro" w:cs="Source Sans Pro"/>
          <w:sz w:val="22"/>
          <w:szCs w:val="22"/>
        </w:rPr>
        <w:t>Analyse</w:t>
      </w:r>
      <w:r w:rsidR="00167D63">
        <w:rPr>
          <w:rFonts w:ascii="Source Sans Pro" w:hAnsi="Source Sans Pro" w:cs="Source Sans Pro"/>
          <w:sz w:val="22"/>
          <w:szCs w:val="22"/>
        </w:rPr>
        <w:t>n</w:t>
      </w:r>
      <w:r>
        <w:rPr>
          <w:rFonts w:ascii="Source Sans Pro" w:hAnsi="Source Sans Pro" w:cs="Source Sans Pro"/>
          <w:sz w:val="22"/>
          <w:szCs w:val="22"/>
        </w:rPr>
        <w:t xml:space="preserve"> </w:t>
      </w:r>
      <w:r w:rsidR="00167D63">
        <w:rPr>
          <w:rFonts w:ascii="Source Sans Pro" w:hAnsi="Source Sans Pro" w:cs="Source Sans Pro"/>
          <w:sz w:val="22"/>
          <w:szCs w:val="22"/>
        </w:rPr>
        <w:t xml:space="preserve">von GPP zufolge </w:t>
      </w:r>
      <w:r w:rsidR="00B258C6">
        <w:rPr>
          <w:rFonts w:ascii="Source Sans Pro" w:hAnsi="Source Sans Pro" w:cs="Source Sans Pro"/>
          <w:sz w:val="22"/>
          <w:szCs w:val="22"/>
        </w:rPr>
        <w:t xml:space="preserve">an allen Top-7-Standorten </w:t>
      </w:r>
      <w:r>
        <w:rPr>
          <w:rFonts w:ascii="Source Sans Pro" w:hAnsi="Source Sans Pro" w:cs="Source Sans Pro"/>
          <w:sz w:val="22"/>
          <w:szCs w:val="22"/>
        </w:rPr>
        <w:t>sowie</w:t>
      </w:r>
      <w:r w:rsidR="00B258C6">
        <w:rPr>
          <w:rFonts w:ascii="Source Sans Pro" w:hAnsi="Source Sans Pro" w:cs="Source Sans Pro"/>
          <w:sz w:val="22"/>
          <w:szCs w:val="22"/>
        </w:rPr>
        <w:t xml:space="preserve"> in allen Assetklassen weiter an</w:t>
      </w:r>
      <w:r>
        <w:rPr>
          <w:rFonts w:ascii="Source Sans Pro" w:hAnsi="Source Sans Pro" w:cs="Source Sans Pro"/>
          <w:sz w:val="22"/>
          <w:szCs w:val="22"/>
        </w:rPr>
        <w:t xml:space="preserve">. </w:t>
      </w:r>
      <w:r w:rsidR="00B258C6">
        <w:rPr>
          <w:rFonts w:ascii="Source Sans Pro" w:hAnsi="Source Sans Pro" w:cs="Source Sans Pro"/>
          <w:sz w:val="22"/>
          <w:szCs w:val="22"/>
        </w:rPr>
        <w:t xml:space="preserve">Die </w:t>
      </w:r>
      <w:r w:rsidR="004946A6">
        <w:rPr>
          <w:rFonts w:ascii="Source Sans Pro" w:hAnsi="Source Sans Pro" w:cs="Source Sans Pro"/>
          <w:sz w:val="22"/>
          <w:szCs w:val="22"/>
        </w:rPr>
        <w:t xml:space="preserve">durchschnittliche </w:t>
      </w:r>
      <w:r w:rsidR="00B258C6">
        <w:rPr>
          <w:rFonts w:ascii="Source Sans Pro" w:hAnsi="Source Sans Pro" w:cs="Source Sans Pro"/>
          <w:sz w:val="22"/>
          <w:szCs w:val="22"/>
        </w:rPr>
        <w:t>Top-7-Spitzenrendite für Büro</w:t>
      </w:r>
      <w:r>
        <w:rPr>
          <w:rFonts w:ascii="Source Sans Pro" w:hAnsi="Source Sans Pro" w:cs="Source Sans Pro"/>
          <w:sz w:val="22"/>
          <w:szCs w:val="22"/>
        </w:rPr>
        <w:t>immobilien</w:t>
      </w:r>
      <w:r w:rsidR="00B258C6">
        <w:rPr>
          <w:rFonts w:ascii="Source Sans Pro" w:hAnsi="Source Sans Pro" w:cs="Source Sans Pro"/>
          <w:sz w:val="22"/>
          <w:szCs w:val="22"/>
        </w:rPr>
        <w:t xml:space="preserve"> </w:t>
      </w:r>
      <w:r>
        <w:rPr>
          <w:rFonts w:ascii="Source Sans Pro" w:hAnsi="Source Sans Pro" w:cs="Source Sans Pro"/>
          <w:sz w:val="22"/>
          <w:szCs w:val="22"/>
        </w:rPr>
        <w:t xml:space="preserve">kletterte um 1,04 %-Punkte auf 4,16 %. </w:t>
      </w:r>
      <w:r w:rsidRPr="0041324D">
        <w:rPr>
          <w:rFonts w:ascii="Source Sans Pro" w:hAnsi="Source Sans Pro" w:cs="Source Sans Pro"/>
          <w:sz w:val="22"/>
          <w:szCs w:val="22"/>
        </w:rPr>
        <w:t>Für Industrie- und Logistikimmobilien</w:t>
      </w:r>
      <w:r>
        <w:rPr>
          <w:rFonts w:ascii="Source Sans Pro" w:hAnsi="Source Sans Pro" w:cs="Source Sans Pro"/>
          <w:sz w:val="22"/>
          <w:szCs w:val="22"/>
        </w:rPr>
        <w:t xml:space="preserve"> verzeichnete sie ein Plus von 0,8</w:t>
      </w:r>
      <w:r w:rsidR="007C4CC4">
        <w:rPr>
          <w:rFonts w:ascii="Source Sans Pro" w:hAnsi="Source Sans Pro" w:cs="Source Sans Pro"/>
          <w:sz w:val="22"/>
          <w:szCs w:val="22"/>
        </w:rPr>
        <w:t>0</w:t>
      </w:r>
      <w:r>
        <w:rPr>
          <w:rFonts w:ascii="Source Sans Pro" w:hAnsi="Source Sans Pro" w:cs="Source Sans Pro"/>
          <w:sz w:val="22"/>
          <w:szCs w:val="22"/>
        </w:rPr>
        <w:t xml:space="preserve"> %-Punkte</w:t>
      </w:r>
      <w:r w:rsidR="005D748C">
        <w:rPr>
          <w:rFonts w:ascii="Source Sans Pro" w:hAnsi="Source Sans Pro" w:cs="Source Sans Pro"/>
          <w:sz w:val="22"/>
          <w:szCs w:val="22"/>
        </w:rPr>
        <w:t>n</w:t>
      </w:r>
      <w:r>
        <w:rPr>
          <w:rFonts w:ascii="Source Sans Pro" w:hAnsi="Source Sans Pro" w:cs="Source Sans Pro"/>
          <w:sz w:val="22"/>
          <w:szCs w:val="22"/>
        </w:rPr>
        <w:t xml:space="preserve"> auf 4,3</w:t>
      </w:r>
      <w:r w:rsidR="007C4CC4">
        <w:rPr>
          <w:rFonts w:ascii="Source Sans Pro" w:hAnsi="Source Sans Pro" w:cs="Source Sans Pro"/>
          <w:sz w:val="22"/>
          <w:szCs w:val="22"/>
        </w:rPr>
        <w:t>7</w:t>
      </w:r>
      <w:r>
        <w:rPr>
          <w:rFonts w:ascii="Source Sans Pro" w:hAnsi="Source Sans Pro" w:cs="Source Sans Pro"/>
          <w:sz w:val="22"/>
          <w:szCs w:val="22"/>
        </w:rPr>
        <w:t xml:space="preserve"> %. </w:t>
      </w:r>
      <w:r w:rsidR="00962D9D">
        <w:rPr>
          <w:rFonts w:ascii="Source Sans Pro" w:hAnsi="Source Sans Pro" w:cs="Source Sans Pro"/>
          <w:sz w:val="22"/>
          <w:szCs w:val="22"/>
        </w:rPr>
        <w:t>Aufgrund von nur wenigen zugrundeliegenden Transaktionen sind die</w:t>
      </w:r>
      <w:r w:rsidR="004946A6">
        <w:rPr>
          <w:rFonts w:ascii="Source Sans Pro" w:hAnsi="Source Sans Pro" w:cs="Source Sans Pro"/>
          <w:sz w:val="22"/>
          <w:szCs w:val="22"/>
        </w:rPr>
        <w:t>se</w:t>
      </w:r>
      <w:r w:rsidR="00962D9D">
        <w:rPr>
          <w:rFonts w:ascii="Source Sans Pro" w:hAnsi="Source Sans Pro" w:cs="Source Sans Pro"/>
          <w:sz w:val="22"/>
          <w:szCs w:val="22"/>
        </w:rPr>
        <w:t xml:space="preserve"> Rendite-Einschätzungen allerdings nicht repräsentativ.</w:t>
      </w:r>
    </w:p>
    <w:p w14:paraId="28CDED79" w14:textId="77777777" w:rsidR="000B2DF4" w:rsidRPr="00AD7DB5" w:rsidRDefault="000B2DF4" w:rsidP="00F159E2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</w:p>
    <w:p w14:paraId="35EAB08A" w14:textId="42289537" w:rsidR="00481D27" w:rsidRPr="00481D27" w:rsidRDefault="005D46DE" w:rsidP="007F12A3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Arial"/>
          <w:bCs/>
          <w:sz w:val="22"/>
          <w:szCs w:val="22"/>
        </w:rPr>
      </w:pPr>
      <w:r>
        <w:rPr>
          <w:rFonts w:ascii="Source Sans Pro" w:hAnsi="Source Sans Pro" w:cs="Source Sans Pro"/>
          <w:caps/>
          <w:color w:val="0086A8"/>
          <w:sz w:val="22"/>
          <w:szCs w:val="22"/>
        </w:rPr>
        <w:t>Prognose</w:t>
      </w:r>
      <w:r w:rsidR="0017673F">
        <w:rPr>
          <w:rFonts w:ascii="Source Sans Pro" w:hAnsi="Source Sans Pro" w:cs="Source Sans Pro"/>
          <w:caps/>
          <w:color w:val="0086A8"/>
          <w:sz w:val="22"/>
          <w:szCs w:val="22"/>
        </w:rPr>
        <w:t xml:space="preserve">: </w:t>
      </w:r>
      <w:r w:rsidR="00811278">
        <w:rPr>
          <w:rFonts w:ascii="Source Sans Pro" w:hAnsi="Source Sans Pro" w:cs="Source Sans Pro"/>
          <w:caps/>
          <w:color w:val="0086A8"/>
          <w:sz w:val="22"/>
          <w:szCs w:val="22"/>
        </w:rPr>
        <w:t>Zunehmende Planbarkeit i</w:t>
      </w:r>
      <w:r w:rsidR="00AC6877">
        <w:rPr>
          <w:rFonts w:ascii="Source Sans Pro" w:hAnsi="Source Sans Pro" w:cs="Source Sans Pro"/>
          <w:caps/>
          <w:color w:val="0086A8"/>
          <w:sz w:val="22"/>
          <w:szCs w:val="22"/>
        </w:rPr>
        <w:t>m Jahr</w:t>
      </w:r>
      <w:r w:rsidR="00811278">
        <w:rPr>
          <w:rFonts w:ascii="Source Sans Pro" w:hAnsi="Source Sans Pro" w:cs="Source Sans Pro"/>
          <w:caps/>
          <w:color w:val="0086A8"/>
          <w:sz w:val="22"/>
          <w:szCs w:val="22"/>
        </w:rPr>
        <w:t xml:space="preserve"> 2024</w:t>
      </w:r>
    </w:p>
    <w:p w14:paraId="6510E723" w14:textId="26D8558D" w:rsidR="0030528A" w:rsidRPr="005D748C" w:rsidRDefault="0030528A" w:rsidP="005D748C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  <w:r w:rsidRPr="005D748C">
        <w:rPr>
          <w:rFonts w:ascii="Source Sans Pro" w:hAnsi="Source Sans Pro" w:cs="Source Sans Pro"/>
          <w:sz w:val="22"/>
          <w:szCs w:val="22"/>
        </w:rPr>
        <w:t>Unter den aktuell</w:t>
      </w:r>
      <w:r w:rsidR="005D748C" w:rsidRPr="005D748C">
        <w:rPr>
          <w:rFonts w:ascii="Source Sans Pro" w:hAnsi="Source Sans Pro" w:cs="Source Sans Pro"/>
          <w:sz w:val="22"/>
          <w:szCs w:val="22"/>
        </w:rPr>
        <w:t xml:space="preserve"> herrschenden</w:t>
      </w:r>
      <w:r w:rsidRPr="005D748C">
        <w:rPr>
          <w:rFonts w:ascii="Source Sans Pro" w:hAnsi="Source Sans Pro" w:cs="Source Sans Pro"/>
          <w:sz w:val="22"/>
          <w:szCs w:val="22"/>
        </w:rPr>
        <w:t xml:space="preserve"> Rahmenbedingungen </w:t>
      </w:r>
      <w:r w:rsidR="005D748C" w:rsidRPr="005D748C">
        <w:rPr>
          <w:rFonts w:ascii="Source Sans Pro" w:hAnsi="Source Sans Pro" w:cs="Source Sans Pro"/>
          <w:sz w:val="22"/>
          <w:szCs w:val="22"/>
        </w:rPr>
        <w:t>rechnet GPP zum</w:t>
      </w:r>
      <w:r w:rsidRPr="005D748C">
        <w:rPr>
          <w:rFonts w:ascii="Source Sans Pro" w:hAnsi="Source Sans Pro" w:cs="Source Sans Pro"/>
          <w:sz w:val="22"/>
          <w:szCs w:val="22"/>
        </w:rPr>
        <w:t xml:space="preserve"> Jahresende</w:t>
      </w:r>
      <w:r w:rsidR="005D748C" w:rsidRPr="005D748C">
        <w:rPr>
          <w:rFonts w:ascii="Source Sans Pro" w:hAnsi="Source Sans Pro" w:cs="Source Sans Pro"/>
          <w:sz w:val="22"/>
          <w:szCs w:val="22"/>
        </w:rPr>
        <w:t xml:space="preserve"> </w:t>
      </w:r>
      <w:r w:rsidRPr="005D748C">
        <w:rPr>
          <w:rFonts w:ascii="Source Sans Pro" w:hAnsi="Source Sans Pro" w:cs="Source Sans Pro"/>
          <w:sz w:val="22"/>
          <w:szCs w:val="22"/>
        </w:rPr>
        <w:t xml:space="preserve">nicht </w:t>
      </w:r>
      <w:r w:rsidR="005D748C" w:rsidRPr="005D748C">
        <w:rPr>
          <w:rFonts w:ascii="Source Sans Pro" w:hAnsi="Source Sans Pro" w:cs="Source Sans Pro"/>
          <w:sz w:val="22"/>
          <w:szCs w:val="22"/>
        </w:rPr>
        <w:t>mit</w:t>
      </w:r>
      <w:r w:rsidRPr="005D748C">
        <w:rPr>
          <w:rFonts w:ascii="Source Sans Pro" w:hAnsi="Source Sans Pro" w:cs="Source Sans Pro"/>
          <w:sz w:val="22"/>
          <w:szCs w:val="22"/>
        </w:rPr>
        <w:t xml:space="preserve"> einer Trendwende </w:t>
      </w:r>
      <w:r w:rsidR="005D748C" w:rsidRPr="005D748C">
        <w:rPr>
          <w:rFonts w:ascii="Source Sans Pro" w:hAnsi="Source Sans Pro" w:cs="Source Sans Pro"/>
          <w:sz w:val="22"/>
          <w:szCs w:val="22"/>
        </w:rPr>
        <w:t>im Sinne einer Jahresendrallye</w:t>
      </w:r>
      <w:r w:rsidR="005D748C" w:rsidRPr="005D748C">
        <w:rPr>
          <w:rFonts w:ascii="Source Sans Pro" w:hAnsi="Source Sans Pro" w:cs="Source Sans Pro"/>
          <w:i/>
          <w:iCs/>
          <w:sz w:val="22"/>
          <w:szCs w:val="22"/>
        </w:rPr>
        <w:t xml:space="preserve">. „Zwar sind Objekte am Markt, aber Käufer und Verkäufer stehen weiterhin vor der Herausforderung der Preisbildung. </w:t>
      </w:r>
      <w:r w:rsidRPr="005D748C">
        <w:rPr>
          <w:rFonts w:ascii="Source Sans Pro" w:hAnsi="Source Sans Pro" w:cs="Source Sans Pro"/>
          <w:i/>
          <w:iCs/>
          <w:sz w:val="22"/>
          <w:szCs w:val="22"/>
        </w:rPr>
        <w:t xml:space="preserve">Demnach dürfe die Zurückhaltung der Investoren </w:t>
      </w:r>
      <w:r w:rsidR="004946A6">
        <w:rPr>
          <w:rFonts w:ascii="Source Sans Pro" w:hAnsi="Source Sans Pro" w:cs="Source Sans Pro"/>
          <w:i/>
          <w:iCs/>
          <w:sz w:val="22"/>
          <w:szCs w:val="22"/>
        </w:rPr>
        <w:t>in diesem Jahr</w:t>
      </w:r>
      <w:r w:rsidRPr="005D748C">
        <w:rPr>
          <w:rFonts w:ascii="Source Sans Pro" w:hAnsi="Source Sans Pro" w:cs="Source Sans Pro"/>
          <w:i/>
          <w:iCs/>
          <w:sz w:val="22"/>
          <w:szCs w:val="22"/>
        </w:rPr>
        <w:t xml:space="preserve"> </w:t>
      </w:r>
      <w:r w:rsidR="005D748C" w:rsidRPr="005D748C">
        <w:rPr>
          <w:rFonts w:ascii="Source Sans Pro" w:hAnsi="Source Sans Pro" w:cs="Source Sans Pro"/>
          <w:i/>
          <w:iCs/>
          <w:sz w:val="22"/>
          <w:szCs w:val="22"/>
        </w:rPr>
        <w:t xml:space="preserve">weitestgehend </w:t>
      </w:r>
      <w:r w:rsidRPr="005D748C">
        <w:rPr>
          <w:rFonts w:ascii="Source Sans Pro" w:hAnsi="Source Sans Pro" w:cs="Source Sans Pro"/>
          <w:i/>
          <w:iCs/>
          <w:sz w:val="22"/>
          <w:szCs w:val="22"/>
        </w:rPr>
        <w:t>bestehen bleiben</w:t>
      </w:r>
      <w:r w:rsidR="005D748C" w:rsidRPr="005D748C">
        <w:rPr>
          <w:rFonts w:ascii="Source Sans Pro" w:hAnsi="Source Sans Pro" w:cs="Source Sans Pro"/>
          <w:i/>
          <w:iCs/>
          <w:sz w:val="22"/>
          <w:szCs w:val="22"/>
        </w:rPr>
        <w:t>“,</w:t>
      </w:r>
      <w:r w:rsidR="005D748C">
        <w:rPr>
          <w:rFonts w:ascii="Source Sans Pro" w:hAnsi="Source Sans Pro" w:cs="Source Sans Pro"/>
          <w:sz w:val="22"/>
          <w:szCs w:val="22"/>
        </w:rPr>
        <w:t xml:space="preserve"> so </w:t>
      </w:r>
      <w:r w:rsidR="005D748C" w:rsidRPr="005D748C">
        <w:rPr>
          <w:rFonts w:ascii="Source Sans Pro" w:hAnsi="Source Sans Pro" w:cs="Source Sans Pro"/>
          <w:b/>
          <w:bCs/>
          <w:sz w:val="22"/>
          <w:szCs w:val="22"/>
        </w:rPr>
        <w:t>Rehberg</w:t>
      </w:r>
      <w:r w:rsidR="005D748C">
        <w:rPr>
          <w:rFonts w:ascii="Source Sans Pro" w:hAnsi="Source Sans Pro" w:cs="Source Sans Pro"/>
          <w:sz w:val="22"/>
          <w:szCs w:val="22"/>
        </w:rPr>
        <w:t xml:space="preserve">. </w:t>
      </w:r>
      <w:r w:rsidR="005D748C" w:rsidRPr="005D748C">
        <w:rPr>
          <w:rFonts w:ascii="Source Sans Pro" w:hAnsi="Source Sans Pro" w:cs="Source Sans Pro"/>
          <w:i/>
          <w:iCs/>
          <w:sz w:val="22"/>
          <w:szCs w:val="22"/>
        </w:rPr>
        <w:t xml:space="preserve">„Wir sind </w:t>
      </w:r>
      <w:r w:rsidR="002E1267">
        <w:rPr>
          <w:rFonts w:ascii="Source Sans Pro" w:hAnsi="Source Sans Pro" w:cs="Source Sans Pro"/>
          <w:i/>
          <w:iCs/>
          <w:sz w:val="22"/>
          <w:szCs w:val="22"/>
        </w:rPr>
        <w:t xml:space="preserve">jedoch </w:t>
      </w:r>
      <w:r w:rsidR="005D748C" w:rsidRPr="005D748C">
        <w:rPr>
          <w:rFonts w:ascii="Source Sans Pro" w:hAnsi="Source Sans Pro" w:cs="Source Sans Pro"/>
          <w:i/>
          <w:iCs/>
          <w:sz w:val="22"/>
          <w:szCs w:val="22"/>
        </w:rPr>
        <w:t xml:space="preserve">optimistisch, dass </w:t>
      </w:r>
      <w:r w:rsidRPr="005D748C">
        <w:rPr>
          <w:rFonts w:ascii="Source Sans Pro" w:hAnsi="Source Sans Pro" w:cs="Source Sans Pro"/>
          <w:i/>
          <w:iCs/>
          <w:sz w:val="22"/>
          <w:szCs w:val="22"/>
        </w:rPr>
        <w:t>sich die wirtschaftliche Situation im Jahresverlauf 2024 verbessern wird. Sobald das Zins- und Finanzierungsumfeld wieder mehr Plan</w:t>
      </w:r>
      <w:r w:rsidR="005D748C" w:rsidRPr="005D748C">
        <w:rPr>
          <w:rFonts w:ascii="Source Sans Pro" w:hAnsi="Source Sans Pro" w:cs="Source Sans Pro"/>
          <w:i/>
          <w:iCs/>
          <w:sz w:val="22"/>
          <w:szCs w:val="22"/>
        </w:rPr>
        <w:t>ung</w:t>
      </w:r>
      <w:r w:rsidRPr="005D748C">
        <w:rPr>
          <w:rFonts w:ascii="Source Sans Pro" w:hAnsi="Source Sans Pro" w:cs="Source Sans Pro"/>
          <w:i/>
          <w:iCs/>
          <w:sz w:val="22"/>
          <w:szCs w:val="22"/>
        </w:rPr>
        <w:t xml:space="preserve"> zu</w:t>
      </w:r>
      <w:r w:rsidR="004946A6">
        <w:rPr>
          <w:rFonts w:ascii="Source Sans Pro" w:hAnsi="Source Sans Pro" w:cs="Source Sans Pro"/>
          <w:i/>
          <w:iCs/>
          <w:sz w:val="22"/>
          <w:szCs w:val="22"/>
        </w:rPr>
        <w:t>lässt</w:t>
      </w:r>
      <w:r w:rsidRPr="005D748C">
        <w:rPr>
          <w:rFonts w:ascii="Source Sans Pro" w:hAnsi="Source Sans Pro" w:cs="Source Sans Pro"/>
          <w:i/>
          <w:iCs/>
          <w:sz w:val="22"/>
          <w:szCs w:val="22"/>
        </w:rPr>
        <w:t>, dürften besonders institutionelle</w:t>
      </w:r>
      <w:r w:rsidR="002E1267">
        <w:rPr>
          <w:rFonts w:ascii="Source Sans Pro" w:hAnsi="Source Sans Pro" w:cs="Source Sans Pro"/>
          <w:i/>
          <w:iCs/>
          <w:sz w:val="22"/>
          <w:szCs w:val="22"/>
        </w:rPr>
        <w:t xml:space="preserve"> </w:t>
      </w:r>
      <w:r w:rsidRPr="005D748C">
        <w:rPr>
          <w:rFonts w:ascii="Source Sans Pro" w:hAnsi="Source Sans Pro" w:cs="Source Sans Pro"/>
          <w:i/>
          <w:iCs/>
          <w:sz w:val="22"/>
          <w:szCs w:val="22"/>
        </w:rPr>
        <w:t>Investoren wieder eine aktivere Rolle einnehmen und die Marktdynamik ankurbeln.</w:t>
      </w:r>
      <w:r w:rsidR="005D748C" w:rsidRPr="005D748C">
        <w:rPr>
          <w:rFonts w:ascii="Source Sans Pro" w:hAnsi="Source Sans Pro" w:cs="Source Sans Pro"/>
          <w:i/>
          <w:iCs/>
          <w:sz w:val="22"/>
          <w:szCs w:val="22"/>
        </w:rPr>
        <w:t>“</w:t>
      </w:r>
    </w:p>
    <w:p w14:paraId="3CA9F262" w14:textId="47B05154" w:rsidR="0030528A" w:rsidRPr="005D748C" w:rsidRDefault="005D748C" w:rsidP="005D748C">
      <w:pPr>
        <w:pStyle w:val="EinfAbs"/>
        <w:tabs>
          <w:tab w:val="left" w:pos="200"/>
        </w:tabs>
        <w:snapToGrid w:val="0"/>
        <w:spacing w:line="280" w:lineRule="exact"/>
        <w:ind w:left="720"/>
        <w:jc w:val="both"/>
        <w:rPr>
          <w:rFonts w:ascii="Source Sans Pro" w:hAnsi="Source Sans Pro" w:cs="Source Sans Pro"/>
          <w:i/>
          <w:iCs/>
          <w:sz w:val="22"/>
          <w:szCs w:val="22"/>
        </w:rPr>
      </w:pPr>
      <w:r>
        <w:rPr>
          <w:rFonts w:ascii="Source Sans Pro" w:hAnsi="Source Sans Pro" w:cs="Source Sans Pro"/>
          <w:i/>
          <w:iCs/>
          <w:sz w:val="22"/>
          <w:szCs w:val="22"/>
        </w:rPr>
        <w:br/>
      </w:r>
    </w:p>
    <w:p w14:paraId="5CED34B8" w14:textId="5B5CAD8E" w:rsidR="00161817" w:rsidRPr="00161817" w:rsidRDefault="00367F4F" w:rsidP="00EF0944">
      <w:pPr>
        <w:overflowPunct/>
        <w:autoSpaceDE/>
        <w:autoSpaceDN/>
        <w:adjustRightInd/>
        <w:textAlignment w:val="auto"/>
        <w:rPr>
          <w:rFonts w:ascii="Source Sans Pro" w:hAnsi="Source Sans Pro" w:cs="Arial"/>
          <w:b/>
          <w:sz w:val="20"/>
        </w:rPr>
      </w:pPr>
      <w:r>
        <w:rPr>
          <w:rFonts w:ascii="Source Sans Pro" w:hAnsi="Source Sans Pro" w:cs="Arial"/>
          <w:b/>
          <w:sz w:val="20"/>
        </w:rPr>
        <w:t>Größte</w:t>
      </w:r>
      <w:r w:rsidR="00161817" w:rsidRPr="00161817">
        <w:rPr>
          <w:rFonts w:ascii="Source Sans Pro" w:hAnsi="Source Sans Pro" w:cs="Arial"/>
          <w:b/>
          <w:sz w:val="20"/>
        </w:rPr>
        <w:t xml:space="preserve"> bekannte Abschlüsse | Top-7-Standorte | 1.</w:t>
      </w:r>
      <w:r w:rsidR="005D46DE">
        <w:rPr>
          <w:rFonts w:ascii="Source Sans Pro" w:hAnsi="Source Sans Pro" w:cs="Arial"/>
          <w:b/>
          <w:sz w:val="20"/>
        </w:rPr>
        <w:t>-</w:t>
      </w:r>
      <w:r w:rsidR="0017673F">
        <w:rPr>
          <w:rFonts w:ascii="Source Sans Pro" w:hAnsi="Source Sans Pro" w:cs="Arial"/>
          <w:b/>
          <w:sz w:val="20"/>
        </w:rPr>
        <w:t>3</w:t>
      </w:r>
      <w:r w:rsidR="005D46DE">
        <w:rPr>
          <w:rFonts w:ascii="Source Sans Pro" w:hAnsi="Source Sans Pro" w:cs="Arial"/>
          <w:b/>
          <w:sz w:val="20"/>
        </w:rPr>
        <w:t>.</w:t>
      </w:r>
      <w:r w:rsidR="00161817" w:rsidRPr="00161817">
        <w:rPr>
          <w:rFonts w:ascii="Source Sans Pro" w:hAnsi="Source Sans Pro" w:cs="Arial"/>
          <w:b/>
          <w:sz w:val="20"/>
        </w:rPr>
        <w:t xml:space="preserve"> Quartal 202</w:t>
      </w:r>
      <w:r w:rsidR="007F12A3">
        <w:rPr>
          <w:rFonts w:ascii="Source Sans Pro" w:hAnsi="Source Sans Pro" w:cs="Arial"/>
          <w:b/>
          <w:sz w:val="20"/>
        </w:rPr>
        <w:t>3</w:t>
      </w:r>
    </w:p>
    <w:tbl>
      <w:tblPr>
        <w:tblStyle w:val="TableGrid1"/>
        <w:tblW w:w="9231" w:type="dxa"/>
        <w:tblLayout w:type="fixed"/>
        <w:tblLook w:val="04A0" w:firstRow="1" w:lastRow="0" w:firstColumn="1" w:lastColumn="0" w:noHBand="0" w:noVBand="1"/>
      </w:tblPr>
      <w:tblGrid>
        <w:gridCol w:w="687"/>
        <w:gridCol w:w="2710"/>
        <w:gridCol w:w="2630"/>
        <w:gridCol w:w="2190"/>
        <w:gridCol w:w="1014"/>
      </w:tblGrid>
      <w:tr w:rsidR="00161817" w:rsidRPr="00161817" w14:paraId="113FCC50" w14:textId="77777777" w:rsidTr="0092175E">
        <w:trPr>
          <w:trHeight w:val="552"/>
        </w:trPr>
        <w:tc>
          <w:tcPr>
            <w:tcW w:w="687" w:type="dxa"/>
            <w:shd w:val="clear" w:color="auto" w:fill="auto"/>
            <w:vAlign w:val="center"/>
          </w:tcPr>
          <w:p w14:paraId="130C696A" w14:textId="77777777" w:rsidR="00161817" w:rsidRPr="00161817" w:rsidRDefault="00161817" w:rsidP="009E6C40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Stadt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5E34B091" w14:textId="77777777" w:rsidR="00161817" w:rsidRPr="00161817" w:rsidRDefault="00161817" w:rsidP="009E6C40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Projekt/Objekt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26669932" w14:textId="77777777" w:rsidR="00161817" w:rsidRPr="00161817" w:rsidRDefault="00161817" w:rsidP="009E6C40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Käufer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490FE9EE" w14:textId="77777777" w:rsidR="00161817" w:rsidRPr="00161817" w:rsidRDefault="00161817" w:rsidP="009E6C40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Verkäufer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028E3657" w14:textId="77777777" w:rsidR="00161817" w:rsidRPr="00161817" w:rsidRDefault="00161817" w:rsidP="009E6C40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KP*</w:t>
            </w:r>
          </w:p>
          <w:p w14:paraId="24C76A25" w14:textId="77777777" w:rsidR="00161817" w:rsidRPr="00161817" w:rsidRDefault="00161817" w:rsidP="009E6C40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sz w:val="16"/>
                <w:szCs w:val="16"/>
              </w:rPr>
              <w:t>(ca. Mio. €)</w:t>
            </w:r>
          </w:p>
        </w:tc>
      </w:tr>
      <w:tr w:rsidR="00583AC8" w:rsidRPr="00161817" w14:paraId="61DBCEAF" w14:textId="77777777" w:rsidTr="0092175E">
        <w:trPr>
          <w:trHeight w:val="552"/>
        </w:trPr>
        <w:tc>
          <w:tcPr>
            <w:tcW w:w="687" w:type="dxa"/>
            <w:shd w:val="clear" w:color="auto" w:fill="auto"/>
            <w:vAlign w:val="center"/>
          </w:tcPr>
          <w:p w14:paraId="06119DA2" w14:textId="6F626365" w:rsidR="00583AC8" w:rsidRPr="0092175E" w:rsidRDefault="00583AC8" w:rsidP="000B4A9D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92175E">
              <w:rPr>
                <w:rFonts w:ascii="Source Sans Pro" w:hAnsi="Source Sans Pro" w:cs="Arial"/>
                <w:sz w:val="16"/>
                <w:szCs w:val="16"/>
              </w:rPr>
              <w:t>MUC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6CD90978" w14:textId="22FD405F" w:rsidR="00583AC8" w:rsidRPr="0092175E" w:rsidRDefault="00583AC8" w:rsidP="000B4A9D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92175E">
              <w:rPr>
                <w:rFonts w:ascii="Source Sans Pro" w:hAnsi="Source Sans Pro" w:cs="Arial"/>
                <w:sz w:val="16"/>
                <w:szCs w:val="16"/>
              </w:rPr>
              <w:t>„Apple Campus“ (Erweiterung), Seidlstraße 15-19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5D4D3495" w14:textId="1B09185E" w:rsidR="00583AC8" w:rsidRPr="0092175E" w:rsidRDefault="00583AC8" w:rsidP="000B4A9D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92175E">
              <w:rPr>
                <w:rFonts w:ascii="Source Sans Pro" w:hAnsi="Source Sans Pro" w:cs="Arial"/>
                <w:sz w:val="16"/>
                <w:szCs w:val="16"/>
              </w:rPr>
              <w:t>Apple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75E718DC" w14:textId="5339EA01" w:rsidR="00583AC8" w:rsidRPr="0092175E" w:rsidRDefault="00583AC8" w:rsidP="000B4A9D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92175E">
              <w:rPr>
                <w:rFonts w:ascii="Source Sans Pro" w:hAnsi="Source Sans Pro" w:cs="Arial"/>
                <w:sz w:val="16"/>
                <w:szCs w:val="16"/>
              </w:rPr>
              <w:t>Freistaat Bayern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3DB19CDE" w14:textId="4E4BA0EC" w:rsidR="00583AC8" w:rsidRPr="0092175E" w:rsidRDefault="00C368C2" w:rsidP="000B4A9D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92175E">
              <w:rPr>
                <w:rFonts w:ascii="Source Sans Pro" w:hAnsi="Source Sans Pro" w:cs="Arial"/>
                <w:sz w:val="16"/>
                <w:szCs w:val="16"/>
              </w:rPr>
              <w:t>250</w:t>
            </w:r>
          </w:p>
        </w:tc>
      </w:tr>
      <w:tr w:rsidR="000B4A9D" w:rsidRPr="00161817" w14:paraId="5809275A" w14:textId="77777777" w:rsidTr="0092175E">
        <w:trPr>
          <w:trHeight w:val="552"/>
        </w:trPr>
        <w:tc>
          <w:tcPr>
            <w:tcW w:w="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0EC77" w14:textId="3EA7ED97" w:rsidR="000B4A9D" w:rsidRPr="0092175E" w:rsidRDefault="000B4A9D" w:rsidP="000B4A9D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92175E">
              <w:rPr>
                <w:rFonts w:ascii="Source Sans Pro" w:hAnsi="Source Sans Pro" w:cs="Arial"/>
                <w:sz w:val="16"/>
                <w:szCs w:val="16"/>
              </w:rPr>
              <w:t>DUS</w:t>
            </w:r>
          </w:p>
        </w:tc>
        <w:tc>
          <w:tcPr>
            <w:tcW w:w="2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C97A7" w14:textId="42264D32" w:rsidR="000B4A9D" w:rsidRPr="0092175E" w:rsidRDefault="000B4A9D" w:rsidP="000B4A9D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92175E">
              <w:rPr>
                <w:rFonts w:ascii="Source Sans Pro" w:hAnsi="Source Sans Pro" w:cs="Arial"/>
                <w:sz w:val="16"/>
                <w:szCs w:val="16"/>
              </w:rPr>
              <w:t>„Böhler-Areal“, Hansaallee 321</w:t>
            </w:r>
          </w:p>
        </w:tc>
        <w:tc>
          <w:tcPr>
            <w:tcW w:w="2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2B66A" w14:textId="526C5A12" w:rsidR="000B4A9D" w:rsidRPr="0092175E" w:rsidRDefault="000B4A9D" w:rsidP="000B4A9D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92175E">
              <w:rPr>
                <w:rFonts w:ascii="Source Sans Pro" w:hAnsi="Source Sans Pro" w:cs="Arial"/>
                <w:sz w:val="16"/>
                <w:szCs w:val="16"/>
              </w:rPr>
              <w:t>Jamestown</w:t>
            </w:r>
          </w:p>
        </w:tc>
        <w:tc>
          <w:tcPr>
            <w:tcW w:w="2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CC4B1" w14:textId="21C83564" w:rsidR="000B4A9D" w:rsidRPr="0092175E" w:rsidRDefault="000B4A9D" w:rsidP="000B4A9D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92175E">
              <w:rPr>
                <w:rFonts w:ascii="Source Sans Pro" w:hAnsi="Source Sans Pro" w:cs="Arial"/>
                <w:sz w:val="16"/>
                <w:szCs w:val="16"/>
              </w:rPr>
              <w:t>voestalpine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29F60" w14:textId="53684787" w:rsidR="000B4A9D" w:rsidRPr="0092175E" w:rsidRDefault="000B4A9D" w:rsidP="000B4A9D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92175E">
              <w:rPr>
                <w:rFonts w:ascii="Source Sans Pro" w:hAnsi="Source Sans Pro" w:cs="Arial"/>
                <w:sz w:val="16"/>
                <w:szCs w:val="16"/>
              </w:rPr>
              <w:t>1</w:t>
            </w:r>
            <w:r w:rsidR="00C368C2" w:rsidRPr="0092175E">
              <w:rPr>
                <w:rFonts w:ascii="Source Sans Pro" w:hAnsi="Source Sans Pro" w:cs="Arial"/>
                <w:sz w:val="16"/>
                <w:szCs w:val="16"/>
              </w:rPr>
              <w:t>60</w:t>
            </w:r>
          </w:p>
        </w:tc>
      </w:tr>
      <w:tr w:rsidR="00942902" w:rsidRPr="00161817" w14:paraId="6412DCB7" w14:textId="77777777" w:rsidTr="0092175E">
        <w:trPr>
          <w:trHeight w:val="552"/>
        </w:trPr>
        <w:tc>
          <w:tcPr>
            <w:tcW w:w="687" w:type="dxa"/>
            <w:shd w:val="clear" w:color="auto" w:fill="auto"/>
            <w:vAlign w:val="center"/>
          </w:tcPr>
          <w:p w14:paraId="62DC72FF" w14:textId="74854160" w:rsidR="00942902" w:rsidRPr="0092175E" w:rsidRDefault="00942902" w:rsidP="000B4A9D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92175E">
              <w:rPr>
                <w:rFonts w:ascii="Source Sans Pro" w:hAnsi="Source Sans Pro" w:cs="Arial"/>
                <w:sz w:val="16"/>
                <w:szCs w:val="16"/>
              </w:rPr>
              <w:t>HAM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3E347D06" w14:textId="628CF5AF" w:rsidR="00942902" w:rsidRPr="0092175E" w:rsidRDefault="00C368C2" w:rsidP="000B4A9D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92175E">
              <w:rPr>
                <w:rFonts w:ascii="Source Sans Pro" w:hAnsi="Source Sans Pro" w:cs="Arial"/>
                <w:sz w:val="16"/>
                <w:szCs w:val="16"/>
              </w:rPr>
              <w:t>„</w:t>
            </w:r>
            <w:r w:rsidR="00942902" w:rsidRPr="0092175E">
              <w:rPr>
                <w:rFonts w:ascii="Source Sans Pro" w:hAnsi="Source Sans Pro" w:cs="Arial"/>
                <w:sz w:val="16"/>
                <w:szCs w:val="16"/>
              </w:rPr>
              <w:t>Finanzbehörde", Gänsemarkt 36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7EAD2797" w14:textId="70DF987F" w:rsidR="00942902" w:rsidRPr="0092175E" w:rsidRDefault="00942902" w:rsidP="000B4A9D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92175E">
              <w:rPr>
                <w:rFonts w:ascii="Source Sans Pro" w:hAnsi="Source Sans Pro" w:cs="Arial"/>
                <w:sz w:val="16"/>
                <w:szCs w:val="16"/>
              </w:rPr>
              <w:t>Stadt Hamburg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53D4D8F2" w14:textId="4183631B" w:rsidR="00942902" w:rsidRPr="0092175E" w:rsidRDefault="00942902" w:rsidP="000B4A9D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92175E">
              <w:rPr>
                <w:rFonts w:ascii="Source Sans Pro" w:hAnsi="Source Sans Pro" w:cs="Arial"/>
                <w:sz w:val="16"/>
                <w:szCs w:val="16"/>
              </w:rPr>
              <w:t>PPS Immobilien Holding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279396F4" w14:textId="54BA2D23" w:rsidR="00942902" w:rsidRPr="0092175E" w:rsidRDefault="00942902" w:rsidP="000B4A9D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92175E">
              <w:rPr>
                <w:rFonts w:ascii="Source Sans Pro" w:hAnsi="Source Sans Pro" w:cs="Arial"/>
                <w:sz w:val="16"/>
                <w:szCs w:val="16"/>
              </w:rPr>
              <w:t>1</w:t>
            </w:r>
            <w:r w:rsidR="00C368C2" w:rsidRPr="0092175E">
              <w:rPr>
                <w:rFonts w:ascii="Source Sans Pro" w:hAnsi="Source Sans Pro" w:cs="Arial"/>
                <w:sz w:val="16"/>
                <w:szCs w:val="16"/>
              </w:rPr>
              <w:t>20</w:t>
            </w:r>
          </w:p>
        </w:tc>
      </w:tr>
      <w:tr w:rsidR="00583AC8" w:rsidRPr="00161817" w14:paraId="315A32FE" w14:textId="77777777" w:rsidTr="0092175E">
        <w:trPr>
          <w:trHeight w:val="552"/>
        </w:trPr>
        <w:tc>
          <w:tcPr>
            <w:tcW w:w="687" w:type="dxa"/>
            <w:shd w:val="clear" w:color="auto" w:fill="auto"/>
            <w:vAlign w:val="center"/>
          </w:tcPr>
          <w:p w14:paraId="30481B64" w14:textId="79201F02" w:rsidR="00583AC8" w:rsidRPr="0092175E" w:rsidRDefault="00583AC8" w:rsidP="000B4A9D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92175E">
              <w:rPr>
                <w:rFonts w:ascii="Source Sans Pro" w:hAnsi="Source Sans Pro" w:cs="Arial"/>
                <w:sz w:val="16"/>
                <w:szCs w:val="16"/>
              </w:rPr>
              <w:t>MUC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594FA910" w14:textId="2AE23509" w:rsidR="00583AC8" w:rsidRPr="0092175E" w:rsidRDefault="00F86352" w:rsidP="000B4A9D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92175E">
              <w:rPr>
                <w:rFonts w:ascii="Source Sans Pro" w:hAnsi="Source Sans Pro" w:cs="Arial"/>
                <w:sz w:val="16"/>
                <w:szCs w:val="16"/>
              </w:rPr>
              <w:t>„</w:t>
            </w:r>
            <w:r w:rsidR="00583AC8" w:rsidRPr="0092175E">
              <w:rPr>
                <w:rFonts w:ascii="Source Sans Pro" w:hAnsi="Source Sans Pro" w:cs="Arial"/>
                <w:sz w:val="16"/>
                <w:szCs w:val="16"/>
              </w:rPr>
              <w:t>VINZENT</w:t>
            </w:r>
            <w:r w:rsidRPr="0092175E">
              <w:rPr>
                <w:rFonts w:ascii="Source Sans Pro" w:hAnsi="Source Sans Pro" w:cs="Arial"/>
                <w:sz w:val="16"/>
                <w:szCs w:val="16"/>
              </w:rPr>
              <w:t>“</w:t>
            </w:r>
            <w:r w:rsidR="00583AC8" w:rsidRPr="0092175E">
              <w:rPr>
                <w:rFonts w:ascii="Source Sans Pro" w:hAnsi="Source Sans Pro" w:cs="Arial"/>
                <w:sz w:val="16"/>
                <w:szCs w:val="16"/>
              </w:rPr>
              <w:t xml:space="preserve"> (Neuer Hauptsitz KUVB), </w:t>
            </w:r>
            <w:proofErr w:type="spellStart"/>
            <w:r w:rsidR="00583AC8" w:rsidRPr="0092175E">
              <w:rPr>
                <w:rFonts w:ascii="Source Sans Pro" w:hAnsi="Source Sans Pro" w:cs="Arial"/>
                <w:sz w:val="16"/>
                <w:szCs w:val="16"/>
              </w:rPr>
              <w:t>Rupprechtstraße</w:t>
            </w:r>
            <w:proofErr w:type="spellEnd"/>
            <w:r w:rsidR="00583AC8" w:rsidRPr="0092175E">
              <w:rPr>
                <w:rFonts w:ascii="Source Sans Pro" w:hAnsi="Source Sans Pro" w:cs="Arial"/>
                <w:sz w:val="16"/>
                <w:szCs w:val="16"/>
              </w:rPr>
              <w:t xml:space="preserve"> 22-24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6015AD91" w14:textId="04B3BF08" w:rsidR="00583AC8" w:rsidRPr="0092175E" w:rsidRDefault="00583AC8" w:rsidP="000B4A9D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92175E">
              <w:rPr>
                <w:rFonts w:ascii="Source Sans Pro" w:hAnsi="Source Sans Pro" w:cs="Arial"/>
                <w:sz w:val="16"/>
                <w:szCs w:val="16"/>
              </w:rPr>
              <w:t>Kommunale Unfallversicherung Bayern (KUVB)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3AB07CF3" w14:textId="01BF9E07" w:rsidR="00583AC8" w:rsidRPr="0092175E" w:rsidRDefault="00583AC8" w:rsidP="000B4A9D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92175E">
              <w:rPr>
                <w:rFonts w:ascii="Source Sans Pro" w:hAnsi="Source Sans Pro" w:cs="Arial"/>
                <w:sz w:val="16"/>
                <w:szCs w:val="16"/>
              </w:rPr>
              <w:t>Bauwerk Capital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1FB657FC" w14:textId="1D1FE0DA" w:rsidR="00583AC8" w:rsidRPr="0092175E" w:rsidRDefault="00583AC8" w:rsidP="000B4A9D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92175E">
              <w:rPr>
                <w:rFonts w:ascii="Source Sans Pro" w:hAnsi="Source Sans Pro" w:cs="Arial"/>
                <w:sz w:val="16"/>
                <w:szCs w:val="16"/>
              </w:rPr>
              <w:t>110</w:t>
            </w:r>
          </w:p>
        </w:tc>
      </w:tr>
      <w:tr w:rsidR="0092175E" w:rsidRPr="00161817" w14:paraId="490A01BA" w14:textId="77777777" w:rsidTr="004679E5">
        <w:trPr>
          <w:trHeight w:val="552"/>
        </w:trPr>
        <w:tc>
          <w:tcPr>
            <w:tcW w:w="687" w:type="dxa"/>
            <w:shd w:val="clear" w:color="auto" w:fill="D9D9D9" w:themeFill="background1" w:themeFillShade="D9"/>
            <w:vAlign w:val="center"/>
          </w:tcPr>
          <w:p w14:paraId="45CD8315" w14:textId="5BFD4C06" w:rsidR="0092175E" w:rsidRPr="0092175E" w:rsidRDefault="0092175E" w:rsidP="000B4A9D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MUC</w:t>
            </w:r>
          </w:p>
        </w:tc>
        <w:tc>
          <w:tcPr>
            <w:tcW w:w="2710" w:type="dxa"/>
            <w:shd w:val="clear" w:color="auto" w:fill="D9D9D9" w:themeFill="background1" w:themeFillShade="D9"/>
            <w:vAlign w:val="center"/>
          </w:tcPr>
          <w:p w14:paraId="782AA54D" w14:textId="7765CC03" w:rsidR="0092175E" w:rsidRPr="0092175E" w:rsidRDefault="0092175E" w:rsidP="000B4A9D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„</w:t>
            </w:r>
            <w:r w:rsidRPr="0092175E">
              <w:rPr>
                <w:rFonts w:ascii="Source Sans Pro" w:hAnsi="Source Sans Pro" w:cs="Arial"/>
                <w:sz w:val="16"/>
                <w:szCs w:val="16"/>
              </w:rPr>
              <w:t xml:space="preserve">Motel </w:t>
            </w:r>
            <w:proofErr w:type="spellStart"/>
            <w:r w:rsidRPr="0092175E">
              <w:rPr>
                <w:rFonts w:ascii="Source Sans Pro" w:hAnsi="Source Sans Pro" w:cs="Arial"/>
                <w:sz w:val="16"/>
                <w:szCs w:val="16"/>
              </w:rPr>
              <w:t>One</w:t>
            </w:r>
            <w:proofErr w:type="spellEnd"/>
            <w:r>
              <w:rPr>
                <w:rFonts w:ascii="Source Sans Pro" w:hAnsi="Source Sans Pro" w:cs="Arial"/>
                <w:sz w:val="16"/>
                <w:szCs w:val="16"/>
              </w:rPr>
              <w:t>“</w:t>
            </w:r>
            <w:r w:rsidRPr="0092175E">
              <w:rPr>
                <w:rFonts w:ascii="Source Sans Pro" w:hAnsi="Source Sans Pro" w:cs="Arial"/>
                <w:sz w:val="16"/>
                <w:szCs w:val="16"/>
              </w:rPr>
              <w:t>, Schillerstraße 3</w:t>
            </w:r>
          </w:p>
        </w:tc>
        <w:tc>
          <w:tcPr>
            <w:tcW w:w="2630" w:type="dxa"/>
            <w:shd w:val="clear" w:color="auto" w:fill="D9D9D9" w:themeFill="background1" w:themeFillShade="D9"/>
            <w:vAlign w:val="center"/>
          </w:tcPr>
          <w:p w14:paraId="171471A9" w14:textId="2393C5D4" w:rsidR="0092175E" w:rsidRPr="0092175E" w:rsidRDefault="004679E5" w:rsidP="000B4A9D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4679E5">
              <w:rPr>
                <w:rFonts w:ascii="Source Sans Pro" w:hAnsi="Source Sans Pro" w:cs="Arial"/>
                <w:sz w:val="16"/>
                <w:szCs w:val="16"/>
              </w:rPr>
              <w:t xml:space="preserve">Wirtgen </w:t>
            </w:r>
            <w:proofErr w:type="spellStart"/>
            <w:r w:rsidRPr="004679E5">
              <w:rPr>
                <w:rFonts w:ascii="Source Sans Pro" w:hAnsi="Source Sans Pro" w:cs="Arial"/>
                <w:sz w:val="16"/>
                <w:szCs w:val="16"/>
              </w:rPr>
              <w:t>Invest</w:t>
            </w:r>
            <w:proofErr w:type="spellEnd"/>
          </w:p>
        </w:tc>
        <w:tc>
          <w:tcPr>
            <w:tcW w:w="2190" w:type="dxa"/>
            <w:shd w:val="clear" w:color="auto" w:fill="D9D9D9" w:themeFill="background1" w:themeFillShade="D9"/>
            <w:vAlign w:val="center"/>
          </w:tcPr>
          <w:p w14:paraId="06592F73" w14:textId="53859EE5" w:rsidR="0092175E" w:rsidRPr="0092175E" w:rsidRDefault="004679E5" w:rsidP="000B4A9D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proofErr w:type="spellStart"/>
            <w:r w:rsidRPr="004679E5">
              <w:rPr>
                <w:rFonts w:ascii="Source Sans Pro" w:hAnsi="Source Sans Pro" w:cs="Arial"/>
                <w:sz w:val="16"/>
                <w:szCs w:val="16"/>
              </w:rPr>
              <w:t>Concrete</w:t>
            </w:r>
            <w:proofErr w:type="spellEnd"/>
            <w:r w:rsidRPr="004679E5">
              <w:rPr>
                <w:rFonts w:ascii="Source Sans Pro" w:hAnsi="Source Sans Pro" w:cs="Arial"/>
                <w:sz w:val="16"/>
                <w:szCs w:val="16"/>
              </w:rPr>
              <w:t xml:space="preserve"> Capital</w:t>
            </w:r>
          </w:p>
        </w:tc>
        <w:tc>
          <w:tcPr>
            <w:tcW w:w="1014" w:type="dxa"/>
            <w:shd w:val="clear" w:color="auto" w:fill="D9D9D9" w:themeFill="background1" w:themeFillShade="D9"/>
            <w:vAlign w:val="center"/>
          </w:tcPr>
          <w:p w14:paraId="267DF418" w14:textId="3F8DC3D9" w:rsidR="0092175E" w:rsidRPr="0092175E" w:rsidRDefault="004679E5" w:rsidP="000B4A9D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100</w:t>
            </w:r>
          </w:p>
        </w:tc>
      </w:tr>
      <w:tr w:rsidR="0092175E" w:rsidRPr="00161817" w14:paraId="4962DD99" w14:textId="77777777" w:rsidTr="0092175E">
        <w:trPr>
          <w:trHeight w:val="140"/>
        </w:trPr>
        <w:tc>
          <w:tcPr>
            <w:tcW w:w="687" w:type="dxa"/>
            <w:tcBorders>
              <w:top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5742589" w14:textId="77777777" w:rsidR="0092175E" w:rsidRPr="0017673F" w:rsidRDefault="0092175E" w:rsidP="0092175E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</w:p>
        </w:tc>
        <w:tc>
          <w:tcPr>
            <w:tcW w:w="2710" w:type="dxa"/>
            <w:tcBorders>
              <w:top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3D0F1B5" w14:textId="77777777" w:rsidR="0092175E" w:rsidRPr="0017673F" w:rsidRDefault="0092175E" w:rsidP="0092175E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</w:p>
        </w:tc>
        <w:tc>
          <w:tcPr>
            <w:tcW w:w="2630" w:type="dxa"/>
            <w:tcBorders>
              <w:top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1D566D4" w14:textId="77777777" w:rsidR="0092175E" w:rsidRPr="0017673F" w:rsidRDefault="0092175E" w:rsidP="0092175E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</w:p>
        </w:tc>
        <w:tc>
          <w:tcPr>
            <w:tcW w:w="2190" w:type="dxa"/>
            <w:tcBorders>
              <w:top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2D67DB9" w14:textId="77777777" w:rsidR="0092175E" w:rsidRPr="0017673F" w:rsidRDefault="0092175E" w:rsidP="0092175E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</w:p>
        </w:tc>
        <w:tc>
          <w:tcPr>
            <w:tcW w:w="1014" w:type="dxa"/>
            <w:tcBorders>
              <w:top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9A21095" w14:textId="77777777" w:rsidR="0092175E" w:rsidRPr="0017673F" w:rsidRDefault="0092175E" w:rsidP="0092175E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</w:p>
        </w:tc>
      </w:tr>
      <w:tr w:rsidR="004679E5" w:rsidRPr="00161817" w14:paraId="27406582" w14:textId="77777777" w:rsidTr="0092175E">
        <w:trPr>
          <w:trHeight w:val="552"/>
        </w:trPr>
        <w:tc>
          <w:tcPr>
            <w:tcW w:w="687" w:type="dxa"/>
            <w:shd w:val="clear" w:color="auto" w:fill="auto"/>
            <w:vAlign w:val="center"/>
          </w:tcPr>
          <w:p w14:paraId="042FFB83" w14:textId="54EE5D6D" w:rsidR="004679E5" w:rsidRPr="0017673F" w:rsidRDefault="004679E5" w:rsidP="004679E5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  <w:r w:rsidRPr="0092175E">
              <w:rPr>
                <w:rFonts w:ascii="Source Sans Pro" w:hAnsi="Source Sans Pro" w:cs="Arial"/>
                <w:sz w:val="16"/>
                <w:szCs w:val="16"/>
              </w:rPr>
              <w:t>BER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3FD0881D" w14:textId="578302ED" w:rsidR="004679E5" w:rsidRPr="0017673F" w:rsidRDefault="004679E5" w:rsidP="004679E5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  <w:r w:rsidRPr="0092175E">
              <w:rPr>
                <w:rFonts w:ascii="Source Sans Pro" w:hAnsi="Source Sans Pro" w:cs="Arial"/>
                <w:sz w:val="16"/>
                <w:szCs w:val="16"/>
              </w:rPr>
              <w:t>„MYND“ und „Galeria Kaufhof“, Alexanderplatz 9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3E028ADD" w14:textId="58142041" w:rsidR="004679E5" w:rsidRPr="0017673F" w:rsidRDefault="004679E5" w:rsidP="004679E5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  <w:r w:rsidRPr="0092175E">
              <w:rPr>
                <w:rFonts w:ascii="Source Sans Pro" w:hAnsi="Source Sans Pro" w:cs="Arial"/>
                <w:sz w:val="16"/>
                <w:szCs w:val="16"/>
              </w:rPr>
              <w:t xml:space="preserve">Commerz Real für </w:t>
            </w:r>
            <w:proofErr w:type="spellStart"/>
            <w:r w:rsidRPr="0092175E">
              <w:rPr>
                <w:rFonts w:ascii="Source Sans Pro" w:hAnsi="Source Sans Pro" w:cs="Arial"/>
                <w:sz w:val="16"/>
                <w:szCs w:val="16"/>
              </w:rPr>
              <w:t>Hausinvest</w:t>
            </w:r>
            <w:proofErr w:type="spellEnd"/>
            <w:r w:rsidRPr="0092175E">
              <w:rPr>
                <w:rFonts w:ascii="Source Sans Pro" w:hAnsi="Source Sans Pro" w:cs="Arial"/>
                <w:sz w:val="16"/>
                <w:szCs w:val="16"/>
              </w:rPr>
              <w:t xml:space="preserve"> Fonds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02962152" w14:textId="17263582" w:rsidR="004679E5" w:rsidRPr="0017673F" w:rsidRDefault="004679E5" w:rsidP="004679E5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  <w:r w:rsidRPr="0092175E">
              <w:rPr>
                <w:rFonts w:ascii="Source Sans Pro" w:hAnsi="Source Sans Pro" w:cs="Arial"/>
                <w:sz w:val="16"/>
                <w:szCs w:val="16"/>
              </w:rPr>
              <w:t xml:space="preserve">Signa Prime </w:t>
            </w:r>
            <w:proofErr w:type="spellStart"/>
            <w:r w:rsidRPr="0092175E">
              <w:rPr>
                <w:rFonts w:ascii="Source Sans Pro" w:hAnsi="Source Sans Pro" w:cs="Arial"/>
                <w:sz w:val="16"/>
                <w:szCs w:val="16"/>
              </w:rPr>
              <w:t>Selection</w:t>
            </w:r>
            <w:proofErr w:type="spellEnd"/>
            <w:r w:rsidRPr="0092175E">
              <w:rPr>
                <w:rFonts w:ascii="Source Sans Pro" w:hAnsi="Source Sans Pro" w:cs="Arial"/>
                <w:sz w:val="16"/>
                <w:szCs w:val="16"/>
              </w:rPr>
              <w:t xml:space="preserve"> AG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548902E1" w14:textId="2FDF722D" w:rsidR="004679E5" w:rsidRPr="0017673F" w:rsidRDefault="004679E5" w:rsidP="004679E5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  <w:r w:rsidRPr="0092175E">
              <w:rPr>
                <w:rFonts w:ascii="Source Sans Pro" w:hAnsi="Source Sans Pro" w:cs="Arial"/>
                <w:sz w:val="16"/>
                <w:szCs w:val="16"/>
              </w:rPr>
              <w:t>vertraulich</w:t>
            </w:r>
          </w:p>
        </w:tc>
      </w:tr>
      <w:tr w:rsidR="004679E5" w:rsidRPr="00161817" w14:paraId="370E49D6" w14:textId="77777777" w:rsidTr="0092175E">
        <w:trPr>
          <w:trHeight w:val="552"/>
        </w:trPr>
        <w:tc>
          <w:tcPr>
            <w:tcW w:w="687" w:type="dxa"/>
            <w:shd w:val="clear" w:color="auto" w:fill="auto"/>
            <w:vAlign w:val="center"/>
          </w:tcPr>
          <w:p w14:paraId="5CBC1DDB" w14:textId="01F7A258" w:rsidR="004679E5" w:rsidRPr="0017673F" w:rsidRDefault="004679E5" w:rsidP="004679E5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lastRenderedPageBreak/>
              <w:t>STU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37D24BED" w14:textId="141BC889" w:rsidR="004679E5" w:rsidRPr="0017673F" w:rsidRDefault="004679E5" w:rsidP="004679E5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„</w:t>
            </w:r>
            <w:r w:rsidRPr="0092175E">
              <w:rPr>
                <w:rFonts w:ascii="Source Sans Pro" w:hAnsi="Source Sans Pro" w:cs="Arial"/>
                <w:sz w:val="16"/>
                <w:szCs w:val="16"/>
              </w:rPr>
              <w:t>Calwer Passage</w:t>
            </w:r>
            <w:r>
              <w:rPr>
                <w:rFonts w:ascii="Source Sans Pro" w:hAnsi="Source Sans Pro" w:cs="Arial"/>
                <w:sz w:val="16"/>
                <w:szCs w:val="16"/>
              </w:rPr>
              <w:t xml:space="preserve">“, </w:t>
            </w:r>
            <w:r w:rsidRPr="0092175E">
              <w:rPr>
                <w:rFonts w:ascii="Source Sans Pro" w:hAnsi="Source Sans Pro" w:cs="Arial"/>
                <w:sz w:val="16"/>
                <w:szCs w:val="16"/>
              </w:rPr>
              <w:t>Rotebühlplatz 20a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19B7961F" w14:textId="08E8FCF4" w:rsidR="004679E5" w:rsidRPr="0017673F" w:rsidRDefault="004679E5" w:rsidP="004679E5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  <w:r w:rsidRPr="0092175E">
              <w:rPr>
                <w:rFonts w:ascii="Source Sans Pro" w:hAnsi="Source Sans Pro" w:cs="Arial"/>
                <w:sz w:val="16"/>
                <w:szCs w:val="16"/>
              </w:rPr>
              <w:t>Ferdinand Piëch Holding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3306E0A1" w14:textId="6D3CC433" w:rsidR="004679E5" w:rsidRPr="0017673F" w:rsidRDefault="004679E5" w:rsidP="004679E5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  <w:r w:rsidRPr="0092175E">
              <w:rPr>
                <w:rFonts w:ascii="Source Sans Pro" w:hAnsi="Source Sans Pro" w:cs="Arial"/>
                <w:sz w:val="16"/>
                <w:szCs w:val="16"/>
              </w:rPr>
              <w:t>Versicherungskammer Bayern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29E45143" w14:textId="4F3FD522" w:rsidR="004679E5" w:rsidRPr="0017673F" w:rsidRDefault="004679E5" w:rsidP="004679E5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vertraulich</w:t>
            </w:r>
          </w:p>
        </w:tc>
      </w:tr>
      <w:tr w:rsidR="004679E5" w:rsidRPr="00161817" w14:paraId="60CD8C3A" w14:textId="77777777" w:rsidTr="0092175E">
        <w:trPr>
          <w:trHeight w:val="552"/>
        </w:trPr>
        <w:tc>
          <w:tcPr>
            <w:tcW w:w="687" w:type="dxa"/>
            <w:shd w:val="clear" w:color="auto" w:fill="auto"/>
            <w:vAlign w:val="center"/>
          </w:tcPr>
          <w:p w14:paraId="7928CA9D" w14:textId="6B08D381" w:rsidR="004679E5" w:rsidRPr="004679E5" w:rsidRDefault="004679E5" w:rsidP="004679E5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4679E5">
              <w:rPr>
                <w:rFonts w:ascii="Source Sans Pro" w:hAnsi="Source Sans Pro" w:cs="Arial"/>
                <w:sz w:val="16"/>
                <w:szCs w:val="16"/>
              </w:rPr>
              <w:t>BER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2CF1E2A5" w14:textId="4CA6E882" w:rsidR="004679E5" w:rsidRPr="004679E5" w:rsidRDefault="004679E5" w:rsidP="004679E5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4679E5">
              <w:rPr>
                <w:rFonts w:ascii="Source Sans Pro" w:hAnsi="Source Sans Pro" w:cs="Arial"/>
                <w:sz w:val="16"/>
                <w:szCs w:val="16"/>
              </w:rPr>
              <w:t xml:space="preserve">„BEAM“, </w:t>
            </w:r>
            <w:proofErr w:type="spellStart"/>
            <w:r w:rsidRPr="004679E5">
              <w:rPr>
                <w:rFonts w:ascii="Source Sans Pro" w:hAnsi="Source Sans Pro" w:cs="Arial"/>
                <w:sz w:val="16"/>
                <w:szCs w:val="16"/>
              </w:rPr>
              <w:t>Schicklerstraße</w:t>
            </w:r>
            <w:proofErr w:type="spellEnd"/>
            <w:r w:rsidRPr="004679E5">
              <w:rPr>
                <w:rFonts w:ascii="Source Sans Pro" w:hAnsi="Source Sans Pro" w:cs="Arial"/>
                <w:sz w:val="16"/>
                <w:szCs w:val="16"/>
              </w:rPr>
              <w:t xml:space="preserve"> 5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5690A649" w14:textId="3A32ABC1" w:rsidR="004679E5" w:rsidRPr="004679E5" w:rsidRDefault="004679E5" w:rsidP="004679E5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4679E5">
              <w:rPr>
                <w:rFonts w:ascii="Source Sans Pro" w:hAnsi="Source Sans Pro" w:cs="Arial"/>
                <w:sz w:val="16"/>
                <w:szCs w:val="16"/>
              </w:rPr>
              <w:t>Kühne Holding AG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06483044" w14:textId="44F3CD80" w:rsidR="004679E5" w:rsidRPr="004679E5" w:rsidRDefault="004679E5" w:rsidP="004679E5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4679E5">
              <w:rPr>
                <w:rFonts w:ascii="Source Sans Pro" w:hAnsi="Source Sans Pro" w:cs="Arial"/>
                <w:sz w:val="16"/>
                <w:szCs w:val="16"/>
              </w:rPr>
              <w:t xml:space="preserve">Signa Prime </w:t>
            </w:r>
            <w:proofErr w:type="spellStart"/>
            <w:r w:rsidRPr="004679E5">
              <w:rPr>
                <w:rFonts w:ascii="Source Sans Pro" w:hAnsi="Source Sans Pro" w:cs="Arial"/>
                <w:sz w:val="16"/>
                <w:szCs w:val="16"/>
              </w:rPr>
              <w:t>Selection</w:t>
            </w:r>
            <w:proofErr w:type="spellEnd"/>
            <w:r w:rsidRPr="004679E5">
              <w:rPr>
                <w:rFonts w:ascii="Source Sans Pro" w:hAnsi="Source Sans Pro" w:cs="Arial"/>
                <w:sz w:val="16"/>
                <w:szCs w:val="16"/>
              </w:rPr>
              <w:t xml:space="preserve"> AG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1A7049D7" w14:textId="581F7ECA" w:rsidR="004679E5" w:rsidRPr="004679E5" w:rsidRDefault="004679E5" w:rsidP="004679E5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4679E5">
              <w:rPr>
                <w:rFonts w:ascii="Source Sans Pro" w:hAnsi="Source Sans Pro" w:cs="Arial"/>
                <w:sz w:val="16"/>
                <w:szCs w:val="16"/>
              </w:rPr>
              <w:t>vertraulich</w:t>
            </w:r>
          </w:p>
        </w:tc>
      </w:tr>
      <w:tr w:rsidR="004679E5" w:rsidRPr="00161817" w14:paraId="2EA7D23F" w14:textId="77777777" w:rsidTr="0092175E">
        <w:trPr>
          <w:trHeight w:val="552"/>
        </w:trPr>
        <w:tc>
          <w:tcPr>
            <w:tcW w:w="687" w:type="dxa"/>
            <w:shd w:val="clear" w:color="auto" w:fill="auto"/>
            <w:vAlign w:val="center"/>
          </w:tcPr>
          <w:p w14:paraId="42FDF526" w14:textId="6616C2A4" w:rsidR="004679E5" w:rsidRPr="004679E5" w:rsidRDefault="004679E5" w:rsidP="004679E5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92175E">
              <w:rPr>
                <w:rFonts w:ascii="Source Sans Pro" w:hAnsi="Source Sans Pro" w:cs="Arial"/>
                <w:sz w:val="16"/>
                <w:szCs w:val="16"/>
              </w:rPr>
              <w:t>BER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23B2975C" w14:textId="1235EEC3" w:rsidR="004679E5" w:rsidRPr="004679E5" w:rsidRDefault="004679E5" w:rsidP="004679E5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proofErr w:type="spellStart"/>
            <w:r w:rsidRPr="0092175E">
              <w:rPr>
                <w:rFonts w:ascii="Source Sans Pro" w:hAnsi="Source Sans Pro" w:cs="Arial"/>
                <w:sz w:val="16"/>
                <w:szCs w:val="16"/>
              </w:rPr>
              <w:t>Tauentzienstraße</w:t>
            </w:r>
            <w:proofErr w:type="spellEnd"/>
            <w:r w:rsidRPr="0092175E">
              <w:rPr>
                <w:rFonts w:ascii="Source Sans Pro" w:hAnsi="Source Sans Pro" w:cs="Arial"/>
                <w:sz w:val="16"/>
                <w:szCs w:val="16"/>
              </w:rPr>
              <w:t xml:space="preserve"> 21-24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1565751F" w14:textId="3A1578DF" w:rsidR="004679E5" w:rsidRPr="004679E5" w:rsidRDefault="004679E5" w:rsidP="004679E5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proofErr w:type="spellStart"/>
            <w:r w:rsidRPr="0092175E">
              <w:rPr>
                <w:rFonts w:ascii="Source Sans Pro" w:hAnsi="Source Sans Pro" w:cs="Arial"/>
                <w:sz w:val="16"/>
                <w:szCs w:val="16"/>
              </w:rPr>
              <w:t>Harng</w:t>
            </w:r>
            <w:proofErr w:type="spellEnd"/>
            <w:r w:rsidRPr="0092175E">
              <w:rPr>
                <w:rFonts w:ascii="Source Sans Pro" w:hAnsi="Source Sans Pro" w:cs="Arial"/>
                <w:sz w:val="16"/>
                <w:szCs w:val="16"/>
              </w:rPr>
              <w:t xml:space="preserve"> Central Department Store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704AF1C9" w14:textId="64CAC82B" w:rsidR="004679E5" w:rsidRPr="004679E5" w:rsidRDefault="004679E5" w:rsidP="004679E5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92175E">
              <w:rPr>
                <w:rFonts w:ascii="Source Sans Pro" w:hAnsi="Source Sans Pro" w:cs="Arial"/>
                <w:sz w:val="16"/>
                <w:szCs w:val="16"/>
              </w:rPr>
              <w:t xml:space="preserve">Signa Prime </w:t>
            </w:r>
            <w:proofErr w:type="spellStart"/>
            <w:r w:rsidRPr="0092175E">
              <w:rPr>
                <w:rFonts w:ascii="Source Sans Pro" w:hAnsi="Source Sans Pro" w:cs="Arial"/>
                <w:sz w:val="16"/>
                <w:szCs w:val="16"/>
              </w:rPr>
              <w:t>Selection</w:t>
            </w:r>
            <w:proofErr w:type="spellEnd"/>
            <w:r w:rsidRPr="0092175E">
              <w:rPr>
                <w:rFonts w:ascii="Source Sans Pro" w:hAnsi="Source Sans Pro" w:cs="Arial"/>
                <w:sz w:val="16"/>
                <w:szCs w:val="16"/>
              </w:rPr>
              <w:t xml:space="preserve"> AG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062AAFD2" w14:textId="526E0C8F" w:rsidR="004679E5" w:rsidRPr="004679E5" w:rsidRDefault="004679E5" w:rsidP="004679E5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92175E">
              <w:rPr>
                <w:rFonts w:ascii="Source Sans Pro" w:hAnsi="Source Sans Pro" w:cs="Arial"/>
                <w:sz w:val="16"/>
                <w:szCs w:val="16"/>
              </w:rPr>
              <w:t>vertraulich</w:t>
            </w:r>
          </w:p>
        </w:tc>
      </w:tr>
    </w:tbl>
    <w:p w14:paraId="26AE2616" w14:textId="0EB58079" w:rsidR="00604E20" w:rsidRPr="004F09D7" w:rsidRDefault="00942902" w:rsidP="00EF0944">
      <w:pPr>
        <w:widowControl w:val="0"/>
        <w:rPr>
          <w:rFonts w:ascii="Source Sans Pro" w:hAnsi="Source Sans Pro" w:cs="Arial"/>
          <w:sz w:val="16"/>
          <w:szCs w:val="16"/>
          <w:lang w:val="en-GB"/>
        </w:rPr>
      </w:pPr>
      <w:r w:rsidRPr="00942902">
        <w:rPr>
          <w:rFonts w:ascii="Source Sans Pro" w:hAnsi="Source Sans Pro" w:cs="Arial"/>
          <w:sz w:val="16"/>
          <w:szCs w:val="16"/>
        </w:rPr>
        <w:t>Deals aus diesem Berichtsquartal sind grau hinterlegt</w:t>
      </w:r>
      <w:r>
        <w:rPr>
          <w:rFonts w:ascii="Source Sans Pro" w:hAnsi="Source Sans Pro" w:cs="Arial"/>
          <w:sz w:val="16"/>
          <w:szCs w:val="16"/>
        </w:rPr>
        <w:t xml:space="preserve">. </w:t>
      </w:r>
      <w:r w:rsidR="00161817" w:rsidRPr="00E90190">
        <w:rPr>
          <w:rFonts w:ascii="Source Sans Pro" w:hAnsi="Source Sans Pro" w:cs="Arial"/>
          <w:sz w:val="16"/>
          <w:szCs w:val="16"/>
          <w:lang w:val="en-US"/>
        </w:rPr>
        <w:t>Quelle:</w:t>
      </w:r>
      <w:r w:rsidR="00161817" w:rsidRPr="00161817">
        <w:rPr>
          <w:rFonts w:ascii="Source Sans Pro" w:hAnsi="Source Sans Pro" w:cs="Arial"/>
          <w:sz w:val="16"/>
          <w:szCs w:val="16"/>
          <w:lang w:val="en-GB"/>
        </w:rPr>
        <w:t xml:space="preserve"> German Property Partners (GPP)</w:t>
      </w:r>
    </w:p>
    <w:p w14:paraId="42791304" w14:textId="429DF0FE" w:rsidR="00161817" w:rsidRPr="00EF0944" w:rsidRDefault="00073A63" w:rsidP="00EF0944">
      <w:pPr>
        <w:widowControl w:val="0"/>
        <w:rPr>
          <w:rFonts w:ascii="Source Sans Pro" w:hAnsi="Source Sans Pro" w:cs="Arial"/>
          <w:sz w:val="16"/>
          <w:szCs w:val="16"/>
          <w:lang w:val="en-GB"/>
        </w:rPr>
      </w:pPr>
      <w:r>
        <w:rPr>
          <w:rFonts w:ascii="Source Sans Pro" w:hAnsi="Source Sans Pro" w:cs="Arial"/>
          <w:b/>
          <w:sz w:val="20"/>
          <w:lang w:val="en-GB"/>
        </w:rPr>
        <w:br/>
      </w:r>
      <w:r w:rsidR="00B46BC1">
        <w:rPr>
          <w:rFonts w:ascii="Source Sans Pro" w:hAnsi="Source Sans Pro" w:cs="Arial"/>
          <w:b/>
          <w:sz w:val="20"/>
          <w:lang w:val="en-GB"/>
        </w:rPr>
        <w:t>Top-7-Standorte | 1.</w:t>
      </w:r>
      <w:r w:rsidR="005D46DE">
        <w:rPr>
          <w:rFonts w:ascii="Source Sans Pro" w:hAnsi="Source Sans Pro" w:cs="Arial"/>
          <w:b/>
          <w:sz w:val="20"/>
          <w:lang w:val="en-GB"/>
        </w:rPr>
        <w:t>-</w:t>
      </w:r>
      <w:r w:rsidR="0017673F">
        <w:rPr>
          <w:rFonts w:ascii="Source Sans Pro" w:hAnsi="Source Sans Pro" w:cs="Arial"/>
          <w:b/>
          <w:sz w:val="20"/>
          <w:lang w:val="en-GB"/>
        </w:rPr>
        <w:t>3</w:t>
      </w:r>
      <w:r w:rsidR="005D46DE">
        <w:rPr>
          <w:rFonts w:ascii="Source Sans Pro" w:hAnsi="Source Sans Pro" w:cs="Arial"/>
          <w:b/>
          <w:sz w:val="20"/>
          <w:lang w:val="en-GB"/>
        </w:rPr>
        <w:t>.</w:t>
      </w:r>
      <w:r w:rsidR="00161817" w:rsidRPr="00161817">
        <w:rPr>
          <w:rFonts w:ascii="Source Sans Pro" w:hAnsi="Source Sans Pro" w:cs="Arial"/>
          <w:b/>
          <w:sz w:val="20"/>
          <w:lang w:val="en-GB"/>
        </w:rPr>
        <w:t xml:space="preserve"> </w:t>
      </w:r>
      <w:r w:rsidR="00161817" w:rsidRPr="00161817">
        <w:rPr>
          <w:rFonts w:ascii="Source Sans Pro" w:hAnsi="Source Sans Pro" w:cs="Arial"/>
          <w:b/>
          <w:sz w:val="20"/>
        </w:rPr>
        <w:t>Quartal 202</w:t>
      </w:r>
      <w:r w:rsidR="007F12A3">
        <w:rPr>
          <w:rFonts w:ascii="Source Sans Pro" w:hAnsi="Source Sans Pro" w:cs="Arial"/>
          <w:b/>
          <w:sz w:val="20"/>
        </w:rPr>
        <w:t>3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908"/>
        <w:gridCol w:w="803"/>
        <w:gridCol w:w="804"/>
        <w:gridCol w:w="913"/>
        <w:gridCol w:w="1080"/>
        <w:gridCol w:w="917"/>
        <w:gridCol w:w="1151"/>
        <w:gridCol w:w="916"/>
        <w:gridCol w:w="790"/>
      </w:tblGrid>
      <w:tr w:rsidR="007C4CC4" w:rsidRPr="00161817" w14:paraId="22958352" w14:textId="77777777" w:rsidTr="009E6C40">
        <w:tc>
          <w:tcPr>
            <w:tcW w:w="1939" w:type="dxa"/>
          </w:tcPr>
          <w:p w14:paraId="39DB6921" w14:textId="77777777" w:rsidR="00161817" w:rsidRPr="00161817" w:rsidRDefault="00161817" w:rsidP="009E6C40">
            <w:pPr>
              <w:widowControl w:val="0"/>
              <w:jc w:val="both"/>
              <w:rPr>
                <w:rFonts w:ascii="Source Sans Pro" w:hAnsi="Source Sans Pro" w:cs="Arial"/>
                <w:b/>
                <w:sz w:val="16"/>
                <w:szCs w:val="16"/>
              </w:rPr>
            </w:pPr>
          </w:p>
        </w:tc>
        <w:tc>
          <w:tcPr>
            <w:tcW w:w="817" w:type="dxa"/>
          </w:tcPr>
          <w:p w14:paraId="315CE750" w14:textId="77777777" w:rsidR="00161817" w:rsidRPr="00161817" w:rsidRDefault="00161817" w:rsidP="009E6C40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HAM</w:t>
            </w:r>
          </w:p>
        </w:tc>
        <w:tc>
          <w:tcPr>
            <w:tcW w:w="816" w:type="dxa"/>
          </w:tcPr>
          <w:p w14:paraId="5422B71C" w14:textId="77777777" w:rsidR="00161817" w:rsidRPr="00161817" w:rsidRDefault="00161817" w:rsidP="009E6C40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BER</w:t>
            </w:r>
          </w:p>
        </w:tc>
        <w:tc>
          <w:tcPr>
            <w:tcW w:w="933" w:type="dxa"/>
          </w:tcPr>
          <w:p w14:paraId="52D79F36" w14:textId="77777777" w:rsidR="00161817" w:rsidRPr="00161817" w:rsidRDefault="00161817" w:rsidP="009E6C40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DUS</w:t>
            </w:r>
          </w:p>
        </w:tc>
        <w:tc>
          <w:tcPr>
            <w:tcW w:w="937" w:type="dxa"/>
          </w:tcPr>
          <w:p w14:paraId="3503C5FE" w14:textId="77777777" w:rsidR="00161817" w:rsidRPr="00161817" w:rsidRDefault="00161817" w:rsidP="009E6C40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CGN</w:t>
            </w:r>
          </w:p>
        </w:tc>
        <w:tc>
          <w:tcPr>
            <w:tcW w:w="937" w:type="dxa"/>
          </w:tcPr>
          <w:p w14:paraId="6CCF5FE9" w14:textId="77777777" w:rsidR="00161817" w:rsidRPr="00161817" w:rsidRDefault="00161817" w:rsidP="009E6C40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FFM</w:t>
            </w:r>
          </w:p>
        </w:tc>
        <w:tc>
          <w:tcPr>
            <w:tcW w:w="932" w:type="dxa"/>
          </w:tcPr>
          <w:p w14:paraId="6A9F6826" w14:textId="77777777" w:rsidR="00161817" w:rsidRPr="00161817" w:rsidRDefault="00161817" w:rsidP="009E6C40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STU</w:t>
            </w:r>
          </w:p>
        </w:tc>
        <w:tc>
          <w:tcPr>
            <w:tcW w:w="936" w:type="dxa"/>
          </w:tcPr>
          <w:p w14:paraId="006B7969" w14:textId="77777777" w:rsidR="00161817" w:rsidRPr="00161817" w:rsidRDefault="00161817" w:rsidP="009E6C40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MUC</w:t>
            </w:r>
          </w:p>
        </w:tc>
        <w:tc>
          <w:tcPr>
            <w:tcW w:w="800" w:type="dxa"/>
          </w:tcPr>
          <w:p w14:paraId="361D716F" w14:textId="77777777" w:rsidR="00161817" w:rsidRPr="00161817" w:rsidRDefault="00161817" w:rsidP="009E6C40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161817">
              <w:rPr>
                <w:rFonts w:ascii="Source Sans Pro" w:hAnsi="Source Sans Pro" w:cs="Arial"/>
                <w:b/>
                <w:sz w:val="16"/>
                <w:szCs w:val="16"/>
              </w:rPr>
              <w:t>TOP-7</w:t>
            </w:r>
          </w:p>
        </w:tc>
      </w:tr>
      <w:tr w:rsidR="007C4CC4" w:rsidRPr="00161817" w14:paraId="5211E41C" w14:textId="77777777" w:rsidTr="009E6C40">
        <w:tc>
          <w:tcPr>
            <w:tcW w:w="1939" w:type="dxa"/>
          </w:tcPr>
          <w:p w14:paraId="5CDBB77B" w14:textId="77777777" w:rsidR="00161817" w:rsidRPr="00557C2F" w:rsidRDefault="00161817" w:rsidP="009E6C40">
            <w:pPr>
              <w:widowControl w:val="0"/>
              <w:jc w:val="both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557C2F">
              <w:rPr>
                <w:rFonts w:ascii="Source Sans Pro" w:hAnsi="Source Sans Pro" w:cs="Arial"/>
                <w:b/>
                <w:sz w:val="16"/>
                <w:szCs w:val="16"/>
              </w:rPr>
              <w:t>TAV</w:t>
            </w:r>
          </w:p>
          <w:p w14:paraId="741AC997" w14:textId="77777777" w:rsidR="00161817" w:rsidRPr="00557C2F" w:rsidRDefault="00161817" w:rsidP="009E6C40">
            <w:pPr>
              <w:widowControl w:val="0"/>
              <w:jc w:val="both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557C2F">
              <w:rPr>
                <w:rFonts w:ascii="Source Sans Pro" w:hAnsi="Source Sans Pro" w:cs="Arial"/>
                <w:sz w:val="16"/>
                <w:szCs w:val="16"/>
              </w:rPr>
              <w:t>in Mio. €</w:t>
            </w:r>
          </w:p>
        </w:tc>
        <w:tc>
          <w:tcPr>
            <w:tcW w:w="817" w:type="dxa"/>
            <w:vAlign w:val="center"/>
          </w:tcPr>
          <w:p w14:paraId="42B492E0" w14:textId="7959281B" w:rsidR="00161817" w:rsidRPr="0017673F" w:rsidRDefault="0008376F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  <w:r w:rsidRPr="0008376F">
              <w:rPr>
                <w:rFonts w:ascii="Source Sans Pro" w:hAnsi="Source Sans Pro" w:cs="Arial"/>
                <w:sz w:val="16"/>
                <w:szCs w:val="16"/>
              </w:rPr>
              <w:t>730</w:t>
            </w:r>
          </w:p>
        </w:tc>
        <w:tc>
          <w:tcPr>
            <w:tcW w:w="816" w:type="dxa"/>
            <w:vAlign w:val="center"/>
          </w:tcPr>
          <w:p w14:paraId="2473804E" w14:textId="76EE5802" w:rsidR="00161817" w:rsidRPr="0017673F" w:rsidRDefault="0008376F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  <w:u w:val="single"/>
              </w:rPr>
            </w:pPr>
            <w:r w:rsidRPr="0008376F">
              <w:rPr>
                <w:rFonts w:ascii="Source Sans Pro" w:hAnsi="Source Sans Pro" w:cs="Arial"/>
                <w:sz w:val="16"/>
                <w:szCs w:val="16"/>
                <w:u w:val="single"/>
              </w:rPr>
              <w:t>2.250</w:t>
            </w:r>
          </w:p>
        </w:tc>
        <w:tc>
          <w:tcPr>
            <w:tcW w:w="933" w:type="dxa"/>
            <w:vAlign w:val="center"/>
          </w:tcPr>
          <w:p w14:paraId="7E0DFD82" w14:textId="3CE721B5" w:rsidR="00161817" w:rsidRPr="0017673F" w:rsidRDefault="0008376F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  <w:r w:rsidRPr="0008376F">
              <w:rPr>
                <w:rFonts w:ascii="Source Sans Pro" w:hAnsi="Source Sans Pro" w:cs="Arial"/>
                <w:sz w:val="16"/>
                <w:szCs w:val="16"/>
              </w:rPr>
              <w:t>530</w:t>
            </w:r>
          </w:p>
        </w:tc>
        <w:tc>
          <w:tcPr>
            <w:tcW w:w="937" w:type="dxa"/>
            <w:vAlign w:val="center"/>
          </w:tcPr>
          <w:p w14:paraId="79C367DF" w14:textId="4B811CEC" w:rsidR="00161817" w:rsidRPr="0017673F" w:rsidRDefault="0008376F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  <w:r w:rsidRPr="0008376F">
              <w:rPr>
                <w:rFonts w:ascii="Source Sans Pro" w:hAnsi="Source Sans Pro" w:cs="Arial"/>
                <w:sz w:val="16"/>
                <w:szCs w:val="16"/>
              </w:rPr>
              <w:t>300</w:t>
            </w:r>
          </w:p>
        </w:tc>
        <w:tc>
          <w:tcPr>
            <w:tcW w:w="937" w:type="dxa"/>
            <w:vAlign w:val="center"/>
          </w:tcPr>
          <w:p w14:paraId="5874DBC2" w14:textId="30C2AB89" w:rsidR="00161817" w:rsidRPr="0017673F" w:rsidRDefault="0008376F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  <w:r w:rsidRPr="0008376F">
              <w:rPr>
                <w:rFonts w:ascii="Source Sans Pro" w:hAnsi="Source Sans Pro" w:cs="Arial"/>
                <w:sz w:val="16"/>
                <w:szCs w:val="16"/>
              </w:rPr>
              <w:t>526</w:t>
            </w:r>
          </w:p>
        </w:tc>
        <w:tc>
          <w:tcPr>
            <w:tcW w:w="932" w:type="dxa"/>
            <w:vAlign w:val="center"/>
          </w:tcPr>
          <w:p w14:paraId="161F8429" w14:textId="17A9EC70" w:rsidR="00161817" w:rsidRPr="0017673F" w:rsidRDefault="0008376F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  <w:r w:rsidRPr="0008376F">
              <w:rPr>
                <w:rFonts w:ascii="Source Sans Pro" w:hAnsi="Source Sans Pro" w:cs="Arial"/>
                <w:sz w:val="16"/>
                <w:szCs w:val="16"/>
              </w:rPr>
              <w:t>410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21DD4D6" w14:textId="74940C46" w:rsidR="00161817" w:rsidRPr="0008376F" w:rsidRDefault="0008376F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08376F">
              <w:rPr>
                <w:rFonts w:ascii="Source Sans Pro" w:hAnsi="Source Sans Pro" w:cs="Arial"/>
                <w:sz w:val="16"/>
                <w:szCs w:val="16"/>
              </w:rPr>
              <w:t>955</w:t>
            </w:r>
          </w:p>
        </w:tc>
        <w:tc>
          <w:tcPr>
            <w:tcW w:w="800" w:type="dxa"/>
            <w:vAlign w:val="center"/>
          </w:tcPr>
          <w:p w14:paraId="5D7AFB91" w14:textId="7DD430A5" w:rsidR="00161817" w:rsidRPr="0008376F" w:rsidRDefault="0008376F" w:rsidP="009E6C40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08376F">
              <w:rPr>
                <w:rFonts w:ascii="Source Sans Pro" w:hAnsi="Source Sans Pro" w:cs="Arial"/>
                <w:b/>
                <w:sz w:val="16"/>
                <w:szCs w:val="16"/>
              </w:rPr>
              <w:t>5.701</w:t>
            </w:r>
          </w:p>
        </w:tc>
      </w:tr>
      <w:tr w:rsidR="007C4CC4" w:rsidRPr="00161817" w14:paraId="6B0F06BC" w14:textId="77777777" w:rsidTr="009E6C40">
        <w:tc>
          <w:tcPr>
            <w:tcW w:w="1939" w:type="dxa"/>
          </w:tcPr>
          <w:p w14:paraId="1368D85F" w14:textId="77777777" w:rsidR="00161817" w:rsidRPr="00557C2F" w:rsidRDefault="00161817" w:rsidP="009E6C40">
            <w:pPr>
              <w:widowControl w:val="0"/>
              <w:jc w:val="both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557C2F">
              <w:rPr>
                <w:rFonts w:ascii="Source Sans Pro" w:hAnsi="Source Sans Pro" w:cs="Arial"/>
                <w:b/>
                <w:sz w:val="16"/>
                <w:szCs w:val="16"/>
              </w:rPr>
              <w:t>Veränderung</w:t>
            </w:r>
          </w:p>
          <w:p w14:paraId="384171F4" w14:textId="77777777" w:rsidR="00161817" w:rsidRPr="00557C2F" w:rsidRDefault="00161817" w:rsidP="009E6C40">
            <w:pPr>
              <w:widowControl w:val="0"/>
              <w:jc w:val="both"/>
              <w:rPr>
                <w:rFonts w:ascii="Source Sans Pro" w:hAnsi="Source Sans Pro" w:cs="Arial"/>
                <w:b/>
                <w:sz w:val="16"/>
                <w:szCs w:val="16"/>
              </w:rPr>
            </w:pPr>
            <w:proofErr w:type="spellStart"/>
            <w:r w:rsidRPr="00557C2F">
              <w:rPr>
                <w:rFonts w:ascii="Source Sans Pro" w:hAnsi="Source Sans Pro" w:cs="Arial"/>
                <w:sz w:val="16"/>
                <w:szCs w:val="16"/>
              </w:rPr>
              <w:t>ggü</w:t>
            </w:r>
            <w:proofErr w:type="spellEnd"/>
            <w:r w:rsidRPr="00557C2F">
              <w:rPr>
                <w:rFonts w:ascii="Source Sans Pro" w:hAnsi="Source Sans Pro" w:cs="Arial"/>
                <w:sz w:val="16"/>
                <w:szCs w:val="16"/>
              </w:rPr>
              <w:t>. Vorjahr</w:t>
            </w:r>
            <w:r w:rsidRPr="00557C2F">
              <w:rPr>
                <w:rFonts w:ascii="Source Sans Pro" w:hAnsi="Source Sans Pro" w:cs="Arial"/>
                <w:b/>
                <w:sz w:val="16"/>
                <w:szCs w:val="16"/>
              </w:rPr>
              <w:t xml:space="preserve"> </w:t>
            </w:r>
            <w:r w:rsidRPr="00557C2F">
              <w:rPr>
                <w:rFonts w:ascii="Source Sans Pro" w:hAnsi="Source Sans Pro" w:cs="Arial"/>
                <w:sz w:val="16"/>
                <w:szCs w:val="16"/>
              </w:rPr>
              <w:t>in %</w:t>
            </w:r>
          </w:p>
        </w:tc>
        <w:tc>
          <w:tcPr>
            <w:tcW w:w="817" w:type="dxa"/>
            <w:vAlign w:val="center"/>
          </w:tcPr>
          <w:p w14:paraId="41BD7562" w14:textId="273650AF" w:rsidR="00161817" w:rsidRPr="0017673F" w:rsidRDefault="0008376F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  <w:r w:rsidRPr="0008376F">
              <w:rPr>
                <w:rFonts w:ascii="Source Sans Pro" w:hAnsi="Source Sans Pro" w:cs="Arial"/>
                <w:sz w:val="16"/>
                <w:szCs w:val="16"/>
              </w:rPr>
              <w:t>-81 %</w:t>
            </w:r>
          </w:p>
        </w:tc>
        <w:tc>
          <w:tcPr>
            <w:tcW w:w="816" w:type="dxa"/>
            <w:vAlign w:val="center"/>
          </w:tcPr>
          <w:p w14:paraId="1C4CFEFB" w14:textId="7CBCB7FC" w:rsidR="00161817" w:rsidRPr="0017673F" w:rsidRDefault="004F09D7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  <w:r w:rsidRPr="0008376F">
              <w:rPr>
                <w:rFonts w:ascii="Source Sans Pro" w:hAnsi="Source Sans Pro" w:cs="Arial"/>
                <w:sz w:val="16"/>
                <w:szCs w:val="16"/>
              </w:rPr>
              <w:t>-</w:t>
            </w:r>
            <w:r w:rsidR="0008376F" w:rsidRPr="0008376F">
              <w:rPr>
                <w:rFonts w:ascii="Source Sans Pro" w:hAnsi="Source Sans Pro" w:cs="Arial"/>
                <w:sz w:val="16"/>
                <w:szCs w:val="16"/>
              </w:rPr>
              <w:t xml:space="preserve">64 </w:t>
            </w:r>
            <w:r w:rsidRPr="0008376F">
              <w:rPr>
                <w:rFonts w:ascii="Source Sans Pro" w:hAnsi="Source Sans Pro" w:cs="Arial"/>
                <w:sz w:val="16"/>
                <w:szCs w:val="16"/>
              </w:rPr>
              <w:t>%</w:t>
            </w:r>
          </w:p>
        </w:tc>
        <w:tc>
          <w:tcPr>
            <w:tcW w:w="933" w:type="dxa"/>
            <w:vAlign w:val="center"/>
          </w:tcPr>
          <w:p w14:paraId="50DE9682" w14:textId="47A46C7B" w:rsidR="00161817" w:rsidRPr="0017673F" w:rsidRDefault="004F09D7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  <w:r w:rsidRPr="0008376F">
              <w:rPr>
                <w:rFonts w:ascii="Source Sans Pro" w:hAnsi="Source Sans Pro" w:cs="Arial"/>
                <w:sz w:val="16"/>
                <w:szCs w:val="16"/>
              </w:rPr>
              <w:t>-</w:t>
            </w:r>
            <w:r w:rsidR="0008376F" w:rsidRPr="0008376F">
              <w:rPr>
                <w:rFonts w:ascii="Source Sans Pro" w:hAnsi="Source Sans Pro" w:cs="Arial"/>
                <w:sz w:val="16"/>
                <w:szCs w:val="16"/>
              </w:rPr>
              <w:t xml:space="preserve">78 </w:t>
            </w:r>
            <w:r w:rsidRPr="0008376F">
              <w:rPr>
                <w:rFonts w:ascii="Source Sans Pro" w:hAnsi="Source Sans Pro" w:cs="Arial"/>
                <w:sz w:val="16"/>
                <w:szCs w:val="16"/>
              </w:rPr>
              <w:t>%</w:t>
            </w:r>
          </w:p>
        </w:tc>
        <w:tc>
          <w:tcPr>
            <w:tcW w:w="937" w:type="dxa"/>
            <w:vAlign w:val="center"/>
          </w:tcPr>
          <w:p w14:paraId="0640E354" w14:textId="0B1CBB39" w:rsidR="00161817" w:rsidRPr="0017673F" w:rsidRDefault="004F09D7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  <w:r w:rsidRPr="0008376F">
              <w:rPr>
                <w:rFonts w:ascii="Source Sans Pro" w:hAnsi="Source Sans Pro" w:cs="Arial"/>
                <w:sz w:val="16"/>
                <w:szCs w:val="16"/>
              </w:rPr>
              <w:t>-</w:t>
            </w:r>
            <w:r w:rsidR="0008376F" w:rsidRPr="0008376F">
              <w:rPr>
                <w:rFonts w:ascii="Source Sans Pro" w:hAnsi="Source Sans Pro" w:cs="Arial"/>
                <w:sz w:val="16"/>
                <w:szCs w:val="16"/>
              </w:rPr>
              <w:t xml:space="preserve">65 </w:t>
            </w:r>
            <w:r w:rsidRPr="0008376F">
              <w:rPr>
                <w:rFonts w:ascii="Source Sans Pro" w:hAnsi="Source Sans Pro" w:cs="Arial"/>
                <w:sz w:val="16"/>
                <w:szCs w:val="16"/>
              </w:rPr>
              <w:t>%</w:t>
            </w:r>
          </w:p>
        </w:tc>
        <w:tc>
          <w:tcPr>
            <w:tcW w:w="937" w:type="dxa"/>
            <w:vAlign w:val="center"/>
          </w:tcPr>
          <w:p w14:paraId="025DC8CA" w14:textId="1FEC0C5D" w:rsidR="00161817" w:rsidRPr="0017673F" w:rsidRDefault="004F09D7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  <w:u w:val="single"/>
              </w:rPr>
            </w:pPr>
            <w:r w:rsidRPr="0008376F">
              <w:rPr>
                <w:rFonts w:ascii="Source Sans Pro" w:hAnsi="Source Sans Pro" w:cs="Arial"/>
                <w:sz w:val="16"/>
                <w:szCs w:val="16"/>
                <w:u w:val="single"/>
              </w:rPr>
              <w:t>-</w:t>
            </w:r>
            <w:r w:rsidR="0008376F" w:rsidRPr="0008376F">
              <w:rPr>
                <w:rFonts w:ascii="Source Sans Pro" w:hAnsi="Source Sans Pro" w:cs="Arial"/>
                <w:sz w:val="16"/>
                <w:szCs w:val="16"/>
                <w:u w:val="single"/>
              </w:rPr>
              <w:t xml:space="preserve">86 </w:t>
            </w:r>
            <w:r w:rsidRPr="0008376F">
              <w:rPr>
                <w:rFonts w:ascii="Source Sans Pro" w:hAnsi="Source Sans Pro" w:cs="Arial"/>
                <w:sz w:val="16"/>
                <w:szCs w:val="16"/>
                <w:u w:val="single"/>
              </w:rPr>
              <w:t>%</w:t>
            </w:r>
          </w:p>
        </w:tc>
        <w:tc>
          <w:tcPr>
            <w:tcW w:w="932" w:type="dxa"/>
            <w:vAlign w:val="center"/>
          </w:tcPr>
          <w:p w14:paraId="62EC947E" w14:textId="31B42753" w:rsidR="00161817" w:rsidRPr="0017673F" w:rsidRDefault="004F09D7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  <w:r w:rsidRPr="0008376F">
              <w:rPr>
                <w:rFonts w:ascii="Source Sans Pro" w:hAnsi="Source Sans Pro" w:cs="Arial"/>
                <w:sz w:val="16"/>
                <w:szCs w:val="16"/>
              </w:rPr>
              <w:t>-</w:t>
            </w:r>
            <w:r w:rsidR="0008376F" w:rsidRPr="0008376F">
              <w:rPr>
                <w:rFonts w:ascii="Source Sans Pro" w:hAnsi="Source Sans Pro" w:cs="Arial"/>
                <w:sz w:val="16"/>
                <w:szCs w:val="16"/>
              </w:rPr>
              <w:t xml:space="preserve">51 </w:t>
            </w:r>
            <w:r w:rsidRPr="0008376F">
              <w:rPr>
                <w:rFonts w:ascii="Source Sans Pro" w:hAnsi="Source Sans Pro" w:cs="Arial"/>
                <w:sz w:val="16"/>
                <w:szCs w:val="16"/>
              </w:rPr>
              <w:t>%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9099EF0" w14:textId="626F687A" w:rsidR="00161817" w:rsidRPr="0017673F" w:rsidRDefault="00C97D51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  <w:r w:rsidRPr="0008376F">
              <w:rPr>
                <w:rFonts w:ascii="Source Sans Pro" w:hAnsi="Source Sans Pro" w:cs="Arial"/>
                <w:sz w:val="16"/>
                <w:szCs w:val="16"/>
              </w:rPr>
              <w:t>-</w:t>
            </w:r>
            <w:r w:rsidR="0008376F" w:rsidRPr="0008376F">
              <w:rPr>
                <w:rFonts w:ascii="Source Sans Pro" w:hAnsi="Source Sans Pro" w:cs="Arial"/>
                <w:sz w:val="16"/>
                <w:szCs w:val="16"/>
              </w:rPr>
              <w:t xml:space="preserve">61 </w:t>
            </w:r>
            <w:r w:rsidR="004F09D7" w:rsidRPr="0008376F">
              <w:rPr>
                <w:rFonts w:ascii="Source Sans Pro" w:hAnsi="Source Sans Pro" w:cs="Arial"/>
                <w:sz w:val="16"/>
                <w:szCs w:val="16"/>
              </w:rPr>
              <w:t>%</w:t>
            </w:r>
          </w:p>
        </w:tc>
        <w:tc>
          <w:tcPr>
            <w:tcW w:w="800" w:type="dxa"/>
            <w:vAlign w:val="center"/>
          </w:tcPr>
          <w:p w14:paraId="71231CA6" w14:textId="3202F1E1" w:rsidR="00161817" w:rsidRPr="0017673F" w:rsidRDefault="00C97D51" w:rsidP="009E6C40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  <w:highlight w:val="yellow"/>
              </w:rPr>
            </w:pPr>
            <w:r w:rsidRPr="0008376F">
              <w:rPr>
                <w:rFonts w:ascii="Source Sans Pro" w:hAnsi="Source Sans Pro" w:cs="Arial"/>
                <w:b/>
                <w:sz w:val="16"/>
                <w:szCs w:val="16"/>
              </w:rPr>
              <w:t>-</w:t>
            </w:r>
            <w:r w:rsidR="0008376F" w:rsidRPr="0008376F">
              <w:rPr>
                <w:rFonts w:ascii="Source Sans Pro" w:hAnsi="Source Sans Pro" w:cs="Arial"/>
                <w:b/>
                <w:sz w:val="16"/>
                <w:szCs w:val="16"/>
              </w:rPr>
              <w:t xml:space="preserve">72 </w:t>
            </w:r>
            <w:r w:rsidR="004F09D7" w:rsidRPr="0008376F">
              <w:rPr>
                <w:rFonts w:ascii="Source Sans Pro" w:hAnsi="Source Sans Pro" w:cs="Arial"/>
                <w:b/>
                <w:sz w:val="16"/>
                <w:szCs w:val="16"/>
              </w:rPr>
              <w:t>%</w:t>
            </w:r>
          </w:p>
        </w:tc>
      </w:tr>
      <w:tr w:rsidR="007C4CC4" w:rsidRPr="00161817" w14:paraId="7F708548" w14:textId="77777777" w:rsidTr="009E6C40">
        <w:tc>
          <w:tcPr>
            <w:tcW w:w="1939" w:type="dxa"/>
          </w:tcPr>
          <w:p w14:paraId="3A825302" w14:textId="77777777" w:rsidR="00161817" w:rsidRPr="00557C2F" w:rsidRDefault="00161817" w:rsidP="009E6C40">
            <w:pPr>
              <w:widowControl w:val="0"/>
              <w:jc w:val="both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557C2F">
              <w:rPr>
                <w:rFonts w:ascii="Source Sans Pro" w:hAnsi="Source Sans Pro" w:cs="Arial"/>
                <w:b/>
                <w:sz w:val="16"/>
                <w:szCs w:val="16"/>
              </w:rPr>
              <w:t>Spitzenrendite* Büro</w:t>
            </w:r>
          </w:p>
          <w:p w14:paraId="34B73F2E" w14:textId="77777777" w:rsidR="00161817" w:rsidRPr="00557C2F" w:rsidRDefault="00161817" w:rsidP="009E6C40">
            <w:pPr>
              <w:widowControl w:val="0"/>
              <w:jc w:val="both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557C2F">
              <w:rPr>
                <w:rFonts w:ascii="Source Sans Pro" w:hAnsi="Source Sans Pro" w:cs="Arial"/>
                <w:sz w:val="16"/>
                <w:szCs w:val="16"/>
              </w:rPr>
              <w:t>in %</w:t>
            </w:r>
          </w:p>
        </w:tc>
        <w:tc>
          <w:tcPr>
            <w:tcW w:w="817" w:type="dxa"/>
            <w:vAlign w:val="center"/>
          </w:tcPr>
          <w:p w14:paraId="74FF9E2D" w14:textId="41928C3B" w:rsidR="00161817" w:rsidRPr="0017673F" w:rsidRDefault="0008376F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  <w:r w:rsidRPr="0008376F">
              <w:rPr>
                <w:rFonts w:ascii="Source Sans Pro" w:hAnsi="Source Sans Pro" w:cs="Arial"/>
                <w:sz w:val="16"/>
                <w:szCs w:val="16"/>
              </w:rPr>
              <w:t>4,00</w:t>
            </w:r>
          </w:p>
        </w:tc>
        <w:tc>
          <w:tcPr>
            <w:tcW w:w="816" w:type="dxa"/>
            <w:vAlign w:val="center"/>
          </w:tcPr>
          <w:p w14:paraId="0D6415B8" w14:textId="306634CC" w:rsidR="00161817" w:rsidRPr="0017673F" w:rsidRDefault="0008376F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  <w:r w:rsidRPr="0008376F">
              <w:rPr>
                <w:rFonts w:ascii="Source Sans Pro" w:hAnsi="Source Sans Pro" w:cs="Arial"/>
                <w:sz w:val="16"/>
                <w:szCs w:val="16"/>
              </w:rPr>
              <w:t>4,20</w:t>
            </w:r>
          </w:p>
        </w:tc>
        <w:tc>
          <w:tcPr>
            <w:tcW w:w="933" w:type="dxa"/>
            <w:vAlign w:val="center"/>
          </w:tcPr>
          <w:p w14:paraId="53A1E093" w14:textId="74765B97" w:rsidR="00161817" w:rsidRPr="0017673F" w:rsidRDefault="0008376F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  <w:r w:rsidRPr="0008376F">
              <w:rPr>
                <w:rFonts w:ascii="Source Sans Pro" w:hAnsi="Source Sans Pro" w:cs="Arial"/>
                <w:sz w:val="16"/>
                <w:szCs w:val="16"/>
              </w:rPr>
              <w:t>4,10</w:t>
            </w:r>
          </w:p>
        </w:tc>
        <w:tc>
          <w:tcPr>
            <w:tcW w:w="937" w:type="dxa"/>
            <w:vAlign w:val="center"/>
          </w:tcPr>
          <w:p w14:paraId="0431521B" w14:textId="021C278F" w:rsidR="00161817" w:rsidRPr="0017673F" w:rsidRDefault="0008376F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  <w:r w:rsidRPr="0008376F">
              <w:rPr>
                <w:rFonts w:ascii="Source Sans Pro" w:hAnsi="Source Sans Pro" w:cs="Arial"/>
                <w:sz w:val="16"/>
                <w:szCs w:val="16"/>
              </w:rPr>
              <w:t>4,00</w:t>
            </w:r>
          </w:p>
        </w:tc>
        <w:tc>
          <w:tcPr>
            <w:tcW w:w="937" w:type="dxa"/>
            <w:vAlign w:val="center"/>
          </w:tcPr>
          <w:p w14:paraId="73277C18" w14:textId="19755AAF" w:rsidR="00161817" w:rsidRPr="0017673F" w:rsidRDefault="0008376F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  <w:u w:val="single"/>
              </w:rPr>
            </w:pPr>
            <w:r w:rsidRPr="0008376F">
              <w:rPr>
                <w:rFonts w:ascii="Source Sans Pro" w:hAnsi="Source Sans Pro" w:cs="Arial"/>
                <w:sz w:val="16"/>
                <w:szCs w:val="16"/>
                <w:u w:val="single"/>
              </w:rPr>
              <w:t>4,50</w:t>
            </w:r>
          </w:p>
        </w:tc>
        <w:tc>
          <w:tcPr>
            <w:tcW w:w="932" w:type="dxa"/>
            <w:vAlign w:val="center"/>
          </w:tcPr>
          <w:p w14:paraId="4CD09DF4" w14:textId="51BA1A07" w:rsidR="00161817" w:rsidRPr="0017673F" w:rsidRDefault="0008376F" w:rsidP="00F67B89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  <w:r w:rsidRPr="0008376F">
              <w:rPr>
                <w:rFonts w:ascii="Source Sans Pro" w:hAnsi="Source Sans Pro" w:cs="Arial"/>
                <w:sz w:val="16"/>
                <w:szCs w:val="16"/>
              </w:rPr>
              <w:t>4,10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7A486F95" w14:textId="141F3EBF" w:rsidR="00161817" w:rsidRPr="0017673F" w:rsidRDefault="0008376F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  <w:r w:rsidRPr="0008376F">
              <w:rPr>
                <w:rFonts w:ascii="Source Sans Pro" w:hAnsi="Source Sans Pro" w:cs="Arial"/>
                <w:sz w:val="16"/>
                <w:szCs w:val="16"/>
              </w:rPr>
              <w:t>4,20</w:t>
            </w:r>
          </w:p>
        </w:tc>
        <w:tc>
          <w:tcPr>
            <w:tcW w:w="800" w:type="dxa"/>
            <w:vAlign w:val="center"/>
          </w:tcPr>
          <w:p w14:paraId="47ED8E15" w14:textId="7ECBFA54" w:rsidR="00161817" w:rsidRPr="0017673F" w:rsidRDefault="0008376F" w:rsidP="00F67B89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  <w:highlight w:val="yellow"/>
              </w:rPr>
            </w:pPr>
            <w:r w:rsidRPr="0008376F">
              <w:rPr>
                <w:rFonts w:ascii="Source Sans Pro" w:hAnsi="Source Sans Pro" w:cs="Arial"/>
                <w:b/>
                <w:sz w:val="16"/>
                <w:szCs w:val="16"/>
              </w:rPr>
              <w:t>4,16</w:t>
            </w:r>
          </w:p>
        </w:tc>
      </w:tr>
      <w:tr w:rsidR="007C4CC4" w:rsidRPr="00161817" w14:paraId="24583354" w14:textId="77777777" w:rsidTr="009E6C40">
        <w:tc>
          <w:tcPr>
            <w:tcW w:w="1939" w:type="dxa"/>
          </w:tcPr>
          <w:p w14:paraId="1AB60A34" w14:textId="77777777" w:rsidR="00161817" w:rsidRPr="00557C2F" w:rsidRDefault="00161817" w:rsidP="009E6C40">
            <w:pPr>
              <w:widowControl w:val="0"/>
              <w:jc w:val="both"/>
              <w:rPr>
                <w:rFonts w:ascii="Source Sans Pro" w:hAnsi="Source Sans Pro" w:cs="Arial"/>
                <w:b/>
                <w:sz w:val="16"/>
                <w:szCs w:val="16"/>
              </w:rPr>
            </w:pPr>
            <w:proofErr w:type="spellStart"/>
            <w:r w:rsidRPr="00557C2F">
              <w:rPr>
                <w:rFonts w:ascii="Source Sans Pro" w:hAnsi="Source Sans Pro" w:cs="Arial"/>
                <w:b/>
                <w:sz w:val="16"/>
                <w:szCs w:val="16"/>
              </w:rPr>
              <w:t>ggü</w:t>
            </w:r>
            <w:proofErr w:type="spellEnd"/>
            <w:r w:rsidRPr="00557C2F">
              <w:rPr>
                <w:rFonts w:ascii="Source Sans Pro" w:hAnsi="Source Sans Pro" w:cs="Arial"/>
                <w:b/>
                <w:sz w:val="16"/>
                <w:szCs w:val="16"/>
              </w:rPr>
              <w:t xml:space="preserve">. Vorjahr </w:t>
            </w:r>
            <w:r w:rsidRPr="00557C2F">
              <w:rPr>
                <w:rFonts w:ascii="Source Sans Pro" w:hAnsi="Source Sans Pro" w:cs="Arial"/>
                <w:sz w:val="16"/>
                <w:szCs w:val="16"/>
              </w:rPr>
              <w:t>in %-Pkt.</w:t>
            </w:r>
          </w:p>
        </w:tc>
        <w:tc>
          <w:tcPr>
            <w:tcW w:w="817" w:type="dxa"/>
            <w:vAlign w:val="center"/>
          </w:tcPr>
          <w:p w14:paraId="54B227DC" w14:textId="69F5BDA9" w:rsidR="00161817" w:rsidRPr="0008376F" w:rsidRDefault="00557C2F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  <w:r w:rsidRPr="0008376F">
              <w:rPr>
                <w:rFonts w:ascii="Source Sans Pro" w:hAnsi="Source Sans Pro" w:cs="Arial"/>
                <w:sz w:val="16"/>
                <w:szCs w:val="16"/>
              </w:rPr>
              <w:t>1,</w:t>
            </w:r>
            <w:r w:rsidR="0008376F" w:rsidRPr="0008376F">
              <w:rPr>
                <w:rFonts w:ascii="Source Sans Pro" w:hAnsi="Source Sans Pro" w:cs="Arial"/>
                <w:sz w:val="16"/>
                <w:szCs w:val="16"/>
              </w:rPr>
              <w:t>1</w:t>
            </w:r>
            <w:r w:rsidRPr="0008376F">
              <w:rPr>
                <w:rFonts w:ascii="Source Sans Pro" w:hAnsi="Source Sans Pro" w:cs="Arial"/>
                <w:sz w:val="16"/>
                <w:szCs w:val="16"/>
              </w:rPr>
              <w:t>0</w:t>
            </w:r>
          </w:p>
        </w:tc>
        <w:tc>
          <w:tcPr>
            <w:tcW w:w="816" w:type="dxa"/>
            <w:vAlign w:val="center"/>
          </w:tcPr>
          <w:p w14:paraId="51AFFAE3" w14:textId="3A95C81A" w:rsidR="00161817" w:rsidRPr="00B90D3E" w:rsidRDefault="0008376F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  <w:u w:val="single"/>
              </w:rPr>
            </w:pPr>
            <w:r w:rsidRPr="00B90D3E">
              <w:rPr>
                <w:rFonts w:ascii="Source Sans Pro" w:hAnsi="Source Sans Pro" w:cs="Arial"/>
                <w:sz w:val="16"/>
                <w:szCs w:val="16"/>
                <w:u w:val="single"/>
              </w:rPr>
              <w:t>1,30</w:t>
            </w:r>
          </w:p>
        </w:tc>
        <w:tc>
          <w:tcPr>
            <w:tcW w:w="933" w:type="dxa"/>
            <w:vAlign w:val="center"/>
          </w:tcPr>
          <w:p w14:paraId="6738B9BE" w14:textId="7BEF558B" w:rsidR="00161817" w:rsidRPr="0017673F" w:rsidRDefault="0008376F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  <w:r w:rsidRPr="0008376F">
              <w:rPr>
                <w:rFonts w:ascii="Source Sans Pro" w:hAnsi="Source Sans Pro" w:cs="Arial"/>
                <w:sz w:val="16"/>
                <w:szCs w:val="16"/>
              </w:rPr>
              <w:t>0,90</w:t>
            </w:r>
          </w:p>
        </w:tc>
        <w:tc>
          <w:tcPr>
            <w:tcW w:w="937" w:type="dxa"/>
            <w:vAlign w:val="center"/>
          </w:tcPr>
          <w:p w14:paraId="063AA1B7" w14:textId="0DC181CD" w:rsidR="00161817" w:rsidRPr="0017673F" w:rsidRDefault="00124E02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  <w:r w:rsidRPr="00124E02">
              <w:rPr>
                <w:rFonts w:ascii="Source Sans Pro" w:hAnsi="Source Sans Pro" w:cs="Arial"/>
                <w:sz w:val="16"/>
                <w:szCs w:val="16"/>
              </w:rPr>
              <w:t>1,00</w:t>
            </w:r>
          </w:p>
        </w:tc>
        <w:tc>
          <w:tcPr>
            <w:tcW w:w="937" w:type="dxa"/>
            <w:vAlign w:val="center"/>
          </w:tcPr>
          <w:p w14:paraId="125AAE58" w14:textId="5340AA8E" w:rsidR="00161817" w:rsidRPr="00124E02" w:rsidRDefault="00124E02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  <w:u w:val="single"/>
              </w:rPr>
            </w:pPr>
            <w:r w:rsidRPr="00124E02">
              <w:rPr>
                <w:rFonts w:ascii="Source Sans Pro" w:hAnsi="Source Sans Pro" w:cs="Arial"/>
                <w:sz w:val="16"/>
                <w:szCs w:val="16"/>
                <w:u w:val="single"/>
              </w:rPr>
              <w:t>1,30</w:t>
            </w:r>
          </w:p>
        </w:tc>
        <w:tc>
          <w:tcPr>
            <w:tcW w:w="932" w:type="dxa"/>
            <w:vAlign w:val="center"/>
          </w:tcPr>
          <w:p w14:paraId="3BDF16AC" w14:textId="7AD88570" w:rsidR="00161817" w:rsidRPr="0017673F" w:rsidRDefault="00F67B89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  <w:r w:rsidRPr="00124E02">
              <w:rPr>
                <w:rFonts w:ascii="Source Sans Pro" w:hAnsi="Source Sans Pro" w:cs="Arial"/>
                <w:sz w:val="16"/>
                <w:szCs w:val="16"/>
              </w:rPr>
              <w:t>0,</w:t>
            </w:r>
            <w:r w:rsidR="00124E02" w:rsidRPr="00124E02">
              <w:rPr>
                <w:rFonts w:ascii="Source Sans Pro" w:hAnsi="Source Sans Pro" w:cs="Arial"/>
                <w:sz w:val="16"/>
                <w:szCs w:val="16"/>
              </w:rPr>
              <w:t>6</w:t>
            </w:r>
            <w:r w:rsidRPr="00124E02">
              <w:rPr>
                <w:rFonts w:ascii="Source Sans Pro" w:hAnsi="Source Sans Pro" w:cs="Arial"/>
                <w:sz w:val="16"/>
                <w:szCs w:val="16"/>
              </w:rPr>
              <w:t>0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7875A0DE" w14:textId="0F8ACC11" w:rsidR="00161817" w:rsidRPr="0017673F" w:rsidRDefault="00C97D51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  <w:r w:rsidRPr="00124E02">
              <w:rPr>
                <w:rFonts w:ascii="Source Sans Pro" w:hAnsi="Source Sans Pro" w:cs="Arial"/>
                <w:sz w:val="16"/>
                <w:szCs w:val="16"/>
              </w:rPr>
              <w:t>1,1</w:t>
            </w:r>
            <w:r w:rsidR="00F67B89" w:rsidRPr="00124E02">
              <w:rPr>
                <w:rFonts w:ascii="Source Sans Pro" w:hAnsi="Source Sans Pro" w:cs="Arial"/>
                <w:sz w:val="16"/>
                <w:szCs w:val="16"/>
              </w:rPr>
              <w:t>0</w:t>
            </w:r>
          </w:p>
        </w:tc>
        <w:tc>
          <w:tcPr>
            <w:tcW w:w="800" w:type="dxa"/>
            <w:vAlign w:val="center"/>
          </w:tcPr>
          <w:p w14:paraId="53A9636D" w14:textId="663EBB79" w:rsidR="00161817" w:rsidRPr="0017673F" w:rsidRDefault="00C97D51" w:rsidP="009E6C40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  <w:highlight w:val="yellow"/>
              </w:rPr>
            </w:pPr>
            <w:r w:rsidRPr="00124E02">
              <w:rPr>
                <w:rFonts w:ascii="Source Sans Pro" w:hAnsi="Source Sans Pro" w:cs="Arial"/>
                <w:b/>
                <w:sz w:val="16"/>
                <w:szCs w:val="16"/>
              </w:rPr>
              <w:t>1,0</w:t>
            </w:r>
            <w:r w:rsidR="00124E02" w:rsidRPr="00124E02">
              <w:rPr>
                <w:rFonts w:ascii="Source Sans Pro" w:hAnsi="Source Sans Pro" w:cs="Arial"/>
                <w:b/>
                <w:sz w:val="16"/>
                <w:szCs w:val="16"/>
              </w:rPr>
              <w:t>4</w:t>
            </w:r>
          </w:p>
        </w:tc>
      </w:tr>
      <w:tr w:rsidR="007C4CC4" w:rsidRPr="00161817" w14:paraId="2D937C1C" w14:textId="77777777" w:rsidTr="009E6C40">
        <w:tc>
          <w:tcPr>
            <w:tcW w:w="1939" w:type="dxa"/>
          </w:tcPr>
          <w:p w14:paraId="66B5D21D" w14:textId="77777777" w:rsidR="00161817" w:rsidRPr="00557C2F" w:rsidRDefault="00161817" w:rsidP="009E6C40">
            <w:pPr>
              <w:widowControl w:val="0"/>
              <w:jc w:val="both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557C2F">
              <w:rPr>
                <w:rFonts w:ascii="Source Sans Pro" w:hAnsi="Source Sans Pro" w:cs="Arial"/>
                <w:b/>
                <w:sz w:val="16"/>
                <w:szCs w:val="16"/>
              </w:rPr>
              <w:t xml:space="preserve">Spitzenrendite* Logistik </w:t>
            </w:r>
            <w:r w:rsidRPr="00557C2F">
              <w:rPr>
                <w:rFonts w:ascii="Source Sans Pro" w:hAnsi="Source Sans Pro" w:cs="Arial"/>
                <w:sz w:val="16"/>
                <w:szCs w:val="16"/>
              </w:rPr>
              <w:t>in %</w:t>
            </w:r>
          </w:p>
        </w:tc>
        <w:tc>
          <w:tcPr>
            <w:tcW w:w="817" w:type="dxa"/>
            <w:vAlign w:val="center"/>
          </w:tcPr>
          <w:p w14:paraId="684A9001" w14:textId="3098C540" w:rsidR="00161817" w:rsidRPr="0017673F" w:rsidRDefault="00A06310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  <w:r w:rsidRPr="00124E02">
              <w:rPr>
                <w:rFonts w:ascii="Source Sans Pro" w:hAnsi="Source Sans Pro" w:cs="Arial"/>
                <w:sz w:val="16"/>
                <w:szCs w:val="16"/>
              </w:rPr>
              <w:t>4,</w:t>
            </w:r>
            <w:r w:rsidR="00124E02" w:rsidRPr="00124E02">
              <w:rPr>
                <w:rFonts w:ascii="Source Sans Pro" w:hAnsi="Source Sans Pro" w:cs="Arial"/>
                <w:sz w:val="16"/>
                <w:szCs w:val="16"/>
              </w:rPr>
              <w:t>3</w:t>
            </w:r>
            <w:r w:rsidRPr="00124E02">
              <w:rPr>
                <w:rFonts w:ascii="Source Sans Pro" w:hAnsi="Source Sans Pro" w:cs="Arial"/>
                <w:sz w:val="16"/>
                <w:szCs w:val="16"/>
              </w:rPr>
              <w:t>0</w:t>
            </w:r>
          </w:p>
        </w:tc>
        <w:tc>
          <w:tcPr>
            <w:tcW w:w="816" w:type="dxa"/>
            <w:vAlign w:val="center"/>
          </w:tcPr>
          <w:p w14:paraId="0F835EAB" w14:textId="0963C82E" w:rsidR="00161817" w:rsidRPr="0017673F" w:rsidRDefault="00C97D51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  <w:r w:rsidRPr="00124E02">
              <w:rPr>
                <w:rFonts w:ascii="Source Sans Pro" w:hAnsi="Source Sans Pro" w:cs="Arial"/>
                <w:sz w:val="16"/>
                <w:szCs w:val="16"/>
              </w:rPr>
              <w:t>4,20</w:t>
            </w:r>
          </w:p>
        </w:tc>
        <w:tc>
          <w:tcPr>
            <w:tcW w:w="933" w:type="dxa"/>
            <w:vAlign w:val="center"/>
          </w:tcPr>
          <w:p w14:paraId="3DD3739A" w14:textId="736147A9" w:rsidR="00161817" w:rsidRPr="0017673F" w:rsidRDefault="00A06310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  <w:r w:rsidRPr="00124E02">
              <w:rPr>
                <w:rFonts w:ascii="Source Sans Pro" w:hAnsi="Source Sans Pro" w:cs="Arial"/>
                <w:sz w:val="16"/>
                <w:szCs w:val="16"/>
              </w:rPr>
              <w:t>4,</w:t>
            </w:r>
            <w:r w:rsidR="00C97D51" w:rsidRPr="00124E02">
              <w:rPr>
                <w:rFonts w:ascii="Source Sans Pro" w:hAnsi="Source Sans Pro" w:cs="Arial"/>
                <w:sz w:val="16"/>
                <w:szCs w:val="16"/>
              </w:rPr>
              <w:t>4</w:t>
            </w:r>
            <w:r w:rsidRPr="00124E02">
              <w:rPr>
                <w:rFonts w:ascii="Source Sans Pro" w:hAnsi="Source Sans Pro" w:cs="Arial"/>
                <w:sz w:val="16"/>
                <w:szCs w:val="16"/>
              </w:rPr>
              <w:t>0</w:t>
            </w:r>
          </w:p>
        </w:tc>
        <w:tc>
          <w:tcPr>
            <w:tcW w:w="937" w:type="dxa"/>
            <w:vAlign w:val="center"/>
          </w:tcPr>
          <w:p w14:paraId="7406BE99" w14:textId="13C51CF9" w:rsidR="00161817" w:rsidRPr="0017673F" w:rsidRDefault="00A06310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  <w:r w:rsidRPr="00124E02">
              <w:rPr>
                <w:rFonts w:ascii="Source Sans Pro" w:hAnsi="Source Sans Pro" w:cs="Arial"/>
                <w:sz w:val="16"/>
                <w:szCs w:val="16"/>
              </w:rPr>
              <w:t>4,</w:t>
            </w:r>
            <w:r w:rsidR="00C97D51" w:rsidRPr="00124E02">
              <w:rPr>
                <w:rFonts w:ascii="Source Sans Pro" w:hAnsi="Source Sans Pro" w:cs="Arial"/>
                <w:sz w:val="16"/>
                <w:szCs w:val="16"/>
              </w:rPr>
              <w:t>3</w:t>
            </w:r>
            <w:r w:rsidRPr="00124E02">
              <w:rPr>
                <w:rFonts w:ascii="Source Sans Pro" w:hAnsi="Source Sans Pro" w:cs="Arial"/>
                <w:sz w:val="16"/>
                <w:szCs w:val="16"/>
              </w:rPr>
              <w:t>0</w:t>
            </w:r>
          </w:p>
        </w:tc>
        <w:tc>
          <w:tcPr>
            <w:tcW w:w="937" w:type="dxa"/>
            <w:vAlign w:val="center"/>
          </w:tcPr>
          <w:p w14:paraId="41CAE3C0" w14:textId="038B356E" w:rsidR="00161817" w:rsidRPr="00124E02" w:rsidRDefault="00C97D51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  <w:u w:val="single"/>
              </w:rPr>
            </w:pPr>
            <w:r w:rsidRPr="00124E02">
              <w:rPr>
                <w:rFonts w:ascii="Source Sans Pro" w:hAnsi="Source Sans Pro" w:cs="Arial"/>
                <w:sz w:val="16"/>
                <w:szCs w:val="16"/>
                <w:u w:val="single"/>
              </w:rPr>
              <w:t>4,</w:t>
            </w:r>
            <w:r w:rsidR="007C4CC4">
              <w:rPr>
                <w:rFonts w:ascii="Source Sans Pro" w:hAnsi="Source Sans Pro" w:cs="Arial"/>
                <w:sz w:val="16"/>
                <w:szCs w:val="16"/>
                <w:u w:val="single"/>
              </w:rPr>
              <w:t>60</w:t>
            </w:r>
          </w:p>
        </w:tc>
        <w:tc>
          <w:tcPr>
            <w:tcW w:w="932" w:type="dxa"/>
            <w:vAlign w:val="center"/>
          </w:tcPr>
          <w:p w14:paraId="1F901372" w14:textId="28FC21D0" w:rsidR="00161817" w:rsidRPr="00124E02" w:rsidRDefault="00F67B89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  <w:r w:rsidRPr="00124E02">
              <w:rPr>
                <w:rFonts w:ascii="Source Sans Pro" w:hAnsi="Source Sans Pro" w:cs="Arial"/>
                <w:sz w:val="16"/>
                <w:szCs w:val="16"/>
              </w:rPr>
              <w:t>4,50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7546B5F5" w14:textId="75FEAD47" w:rsidR="00161817" w:rsidRPr="0017673F" w:rsidRDefault="00A06310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  <w:r w:rsidRPr="00124E02">
              <w:rPr>
                <w:rFonts w:ascii="Source Sans Pro" w:hAnsi="Source Sans Pro" w:cs="Arial"/>
                <w:sz w:val="16"/>
                <w:szCs w:val="16"/>
              </w:rPr>
              <w:t>4,</w:t>
            </w:r>
            <w:r w:rsidR="00124E02" w:rsidRPr="00124E02">
              <w:rPr>
                <w:rFonts w:ascii="Source Sans Pro" w:hAnsi="Source Sans Pro" w:cs="Arial"/>
                <w:sz w:val="16"/>
                <w:szCs w:val="16"/>
              </w:rPr>
              <w:t>3</w:t>
            </w:r>
            <w:r w:rsidRPr="00124E02">
              <w:rPr>
                <w:rFonts w:ascii="Source Sans Pro" w:hAnsi="Source Sans Pro" w:cs="Arial"/>
                <w:sz w:val="16"/>
                <w:szCs w:val="16"/>
              </w:rPr>
              <w:t>0</w:t>
            </w:r>
          </w:p>
        </w:tc>
        <w:tc>
          <w:tcPr>
            <w:tcW w:w="800" w:type="dxa"/>
            <w:vAlign w:val="center"/>
          </w:tcPr>
          <w:p w14:paraId="34BF6507" w14:textId="0E8D61C1" w:rsidR="00161817" w:rsidRPr="0017673F" w:rsidRDefault="00584565" w:rsidP="00584565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  <w:highlight w:val="yellow"/>
              </w:rPr>
            </w:pPr>
            <w:r w:rsidRPr="00124E02">
              <w:rPr>
                <w:rFonts w:ascii="Source Sans Pro" w:hAnsi="Source Sans Pro" w:cs="Arial"/>
                <w:b/>
                <w:sz w:val="16"/>
                <w:szCs w:val="16"/>
              </w:rPr>
              <w:t>4,</w:t>
            </w:r>
            <w:r w:rsidR="00124E02" w:rsidRPr="00124E02">
              <w:rPr>
                <w:rFonts w:ascii="Source Sans Pro" w:hAnsi="Source Sans Pro" w:cs="Arial"/>
                <w:b/>
                <w:sz w:val="16"/>
                <w:szCs w:val="16"/>
              </w:rPr>
              <w:t>3</w:t>
            </w:r>
            <w:r w:rsidR="007C4CC4">
              <w:rPr>
                <w:rFonts w:ascii="Source Sans Pro" w:hAnsi="Source Sans Pro" w:cs="Arial"/>
                <w:b/>
                <w:sz w:val="16"/>
                <w:szCs w:val="16"/>
              </w:rPr>
              <w:t>7</w:t>
            </w:r>
          </w:p>
        </w:tc>
      </w:tr>
      <w:tr w:rsidR="007C4CC4" w:rsidRPr="00161817" w14:paraId="5A0BD9F2" w14:textId="77777777" w:rsidTr="009E6C40">
        <w:tc>
          <w:tcPr>
            <w:tcW w:w="1939" w:type="dxa"/>
          </w:tcPr>
          <w:p w14:paraId="0E0D0B5A" w14:textId="77777777" w:rsidR="00161817" w:rsidRPr="00557C2F" w:rsidRDefault="00161817" w:rsidP="009E6C40">
            <w:pPr>
              <w:widowControl w:val="0"/>
              <w:jc w:val="both"/>
              <w:rPr>
                <w:rFonts w:ascii="Source Sans Pro" w:hAnsi="Source Sans Pro" w:cs="Arial"/>
                <w:b/>
                <w:sz w:val="16"/>
                <w:szCs w:val="16"/>
              </w:rPr>
            </w:pPr>
            <w:proofErr w:type="spellStart"/>
            <w:r w:rsidRPr="00557C2F">
              <w:rPr>
                <w:rFonts w:ascii="Source Sans Pro" w:hAnsi="Source Sans Pro" w:cs="Arial"/>
                <w:b/>
                <w:sz w:val="16"/>
                <w:szCs w:val="16"/>
              </w:rPr>
              <w:t>ggü</w:t>
            </w:r>
            <w:proofErr w:type="spellEnd"/>
            <w:r w:rsidRPr="00557C2F">
              <w:rPr>
                <w:rFonts w:ascii="Source Sans Pro" w:hAnsi="Source Sans Pro" w:cs="Arial"/>
                <w:b/>
                <w:sz w:val="16"/>
                <w:szCs w:val="16"/>
              </w:rPr>
              <w:t xml:space="preserve">. Vorjahr </w:t>
            </w:r>
            <w:r w:rsidRPr="00557C2F">
              <w:rPr>
                <w:rFonts w:ascii="Source Sans Pro" w:hAnsi="Source Sans Pro" w:cs="Arial"/>
                <w:sz w:val="16"/>
                <w:szCs w:val="16"/>
              </w:rPr>
              <w:t>in %-Pkt.</w:t>
            </w:r>
          </w:p>
        </w:tc>
        <w:tc>
          <w:tcPr>
            <w:tcW w:w="817" w:type="dxa"/>
            <w:vAlign w:val="center"/>
          </w:tcPr>
          <w:p w14:paraId="2579329F" w14:textId="358157D2" w:rsidR="00161817" w:rsidRPr="0017673F" w:rsidRDefault="00124E02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  <w:r w:rsidRPr="00124E02">
              <w:rPr>
                <w:rFonts w:ascii="Source Sans Pro" w:hAnsi="Source Sans Pro" w:cs="Arial"/>
                <w:sz w:val="16"/>
                <w:szCs w:val="16"/>
              </w:rPr>
              <w:t>0,80</w:t>
            </w:r>
          </w:p>
        </w:tc>
        <w:tc>
          <w:tcPr>
            <w:tcW w:w="816" w:type="dxa"/>
            <w:vAlign w:val="center"/>
          </w:tcPr>
          <w:p w14:paraId="3597B6B5" w14:textId="23CC9263" w:rsidR="00161817" w:rsidRPr="0017673F" w:rsidRDefault="00124E02" w:rsidP="00A0631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  <w:r w:rsidRPr="00124E02">
              <w:rPr>
                <w:rFonts w:ascii="Source Sans Pro" w:hAnsi="Source Sans Pro" w:cs="Arial"/>
                <w:sz w:val="16"/>
                <w:szCs w:val="16"/>
              </w:rPr>
              <w:t>0,95</w:t>
            </w:r>
          </w:p>
        </w:tc>
        <w:tc>
          <w:tcPr>
            <w:tcW w:w="933" w:type="dxa"/>
            <w:vAlign w:val="center"/>
          </w:tcPr>
          <w:p w14:paraId="18491965" w14:textId="06E36B4D" w:rsidR="00161817" w:rsidRPr="0017673F" w:rsidRDefault="00A06310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  <w:r w:rsidRPr="00124E02">
              <w:rPr>
                <w:rFonts w:ascii="Source Sans Pro" w:hAnsi="Source Sans Pro" w:cs="Arial"/>
                <w:sz w:val="16"/>
                <w:szCs w:val="16"/>
              </w:rPr>
              <w:t>0,</w:t>
            </w:r>
            <w:r w:rsidR="00C97D51" w:rsidRPr="00124E02">
              <w:rPr>
                <w:rFonts w:ascii="Source Sans Pro" w:hAnsi="Source Sans Pro" w:cs="Arial"/>
                <w:sz w:val="16"/>
                <w:szCs w:val="16"/>
              </w:rPr>
              <w:t>9</w:t>
            </w:r>
            <w:r w:rsidRPr="00124E02">
              <w:rPr>
                <w:rFonts w:ascii="Source Sans Pro" w:hAnsi="Source Sans Pro" w:cs="Arial"/>
                <w:sz w:val="16"/>
                <w:szCs w:val="16"/>
              </w:rPr>
              <w:t>5</w:t>
            </w:r>
          </w:p>
        </w:tc>
        <w:tc>
          <w:tcPr>
            <w:tcW w:w="937" w:type="dxa"/>
            <w:vAlign w:val="center"/>
          </w:tcPr>
          <w:p w14:paraId="475FF0C9" w14:textId="1C7E207C" w:rsidR="00161817" w:rsidRPr="0017673F" w:rsidRDefault="00C97D51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  <w:u w:val="single"/>
              </w:rPr>
            </w:pPr>
            <w:r w:rsidRPr="00124E02">
              <w:rPr>
                <w:rFonts w:ascii="Source Sans Pro" w:hAnsi="Source Sans Pro" w:cs="Arial"/>
                <w:sz w:val="16"/>
                <w:szCs w:val="16"/>
                <w:u w:val="single"/>
              </w:rPr>
              <w:t>1,</w:t>
            </w:r>
            <w:r w:rsidR="00124E02" w:rsidRPr="00124E02">
              <w:rPr>
                <w:rFonts w:ascii="Source Sans Pro" w:hAnsi="Source Sans Pro" w:cs="Arial"/>
                <w:sz w:val="16"/>
                <w:szCs w:val="16"/>
                <w:u w:val="single"/>
              </w:rPr>
              <w:t>0</w:t>
            </w:r>
            <w:r w:rsidRPr="00124E02">
              <w:rPr>
                <w:rFonts w:ascii="Source Sans Pro" w:hAnsi="Source Sans Pro" w:cs="Arial"/>
                <w:sz w:val="16"/>
                <w:szCs w:val="16"/>
                <w:u w:val="single"/>
              </w:rPr>
              <w:t>0</w:t>
            </w:r>
          </w:p>
        </w:tc>
        <w:tc>
          <w:tcPr>
            <w:tcW w:w="937" w:type="dxa"/>
            <w:vAlign w:val="center"/>
          </w:tcPr>
          <w:p w14:paraId="46A53898" w14:textId="2F88D58A" w:rsidR="00161817" w:rsidRPr="0017673F" w:rsidRDefault="00124E02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  <w:r w:rsidRPr="00124E02">
              <w:rPr>
                <w:rFonts w:ascii="Source Sans Pro" w:hAnsi="Source Sans Pro" w:cs="Arial"/>
                <w:sz w:val="16"/>
                <w:szCs w:val="16"/>
              </w:rPr>
              <w:t>0,85</w:t>
            </w:r>
          </w:p>
        </w:tc>
        <w:tc>
          <w:tcPr>
            <w:tcW w:w="932" w:type="dxa"/>
            <w:vAlign w:val="center"/>
          </w:tcPr>
          <w:p w14:paraId="4B78F66F" w14:textId="0C98988F" w:rsidR="00161817" w:rsidRPr="0017673F" w:rsidRDefault="00124E02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  <w:r w:rsidRPr="00124E02">
              <w:rPr>
                <w:rFonts w:ascii="Source Sans Pro" w:hAnsi="Source Sans Pro" w:cs="Arial"/>
                <w:sz w:val="16"/>
                <w:szCs w:val="16"/>
              </w:rPr>
              <w:t>0,50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7A92EAA5" w14:textId="44AD588E" w:rsidR="00161817" w:rsidRPr="00124E02" w:rsidRDefault="00124E02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  <w:r w:rsidRPr="00124E02">
              <w:rPr>
                <w:rFonts w:ascii="Source Sans Pro" w:hAnsi="Source Sans Pro" w:cs="Arial"/>
                <w:sz w:val="16"/>
                <w:szCs w:val="16"/>
              </w:rPr>
              <w:t>0,80</w:t>
            </w:r>
          </w:p>
        </w:tc>
        <w:tc>
          <w:tcPr>
            <w:tcW w:w="800" w:type="dxa"/>
            <w:vAlign w:val="center"/>
          </w:tcPr>
          <w:p w14:paraId="7140B27A" w14:textId="60EBE3B5" w:rsidR="00161817" w:rsidRPr="0017673F" w:rsidRDefault="00A06310" w:rsidP="00584565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  <w:highlight w:val="yellow"/>
              </w:rPr>
            </w:pPr>
            <w:r w:rsidRPr="00124E02">
              <w:rPr>
                <w:rFonts w:ascii="Source Sans Pro" w:hAnsi="Source Sans Pro" w:cs="Arial"/>
                <w:b/>
                <w:sz w:val="16"/>
                <w:szCs w:val="16"/>
              </w:rPr>
              <w:t>0,</w:t>
            </w:r>
            <w:r w:rsidR="00584565" w:rsidRPr="00124E02">
              <w:rPr>
                <w:rFonts w:ascii="Source Sans Pro" w:hAnsi="Source Sans Pro" w:cs="Arial"/>
                <w:b/>
                <w:sz w:val="16"/>
                <w:szCs w:val="16"/>
              </w:rPr>
              <w:t>8</w:t>
            </w:r>
            <w:r w:rsidR="007C4CC4">
              <w:rPr>
                <w:rFonts w:ascii="Source Sans Pro" w:hAnsi="Source Sans Pro" w:cs="Arial"/>
                <w:b/>
                <w:sz w:val="16"/>
                <w:szCs w:val="16"/>
              </w:rPr>
              <w:t>0</w:t>
            </w:r>
          </w:p>
        </w:tc>
      </w:tr>
      <w:tr w:rsidR="007C4CC4" w:rsidRPr="00161817" w14:paraId="57899BA9" w14:textId="77777777" w:rsidTr="009E6C40">
        <w:tc>
          <w:tcPr>
            <w:tcW w:w="1939" w:type="dxa"/>
          </w:tcPr>
          <w:p w14:paraId="13B4FAD9" w14:textId="77777777" w:rsidR="00161817" w:rsidRPr="00557C2F" w:rsidRDefault="00161817" w:rsidP="009E6C40">
            <w:pPr>
              <w:widowControl w:val="0"/>
              <w:jc w:val="both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557C2F">
              <w:rPr>
                <w:rFonts w:ascii="Source Sans Pro" w:hAnsi="Source Sans Pro" w:cs="Arial"/>
                <w:b/>
                <w:sz w:val="16"/>
                <w:szCs w:val="16"/>
              </w:rPr>
              <w:t>Stärkste</w:t>
            </w:r>
          </w:p>
          <w:p w14:paraId="210819D2" w14:textId="77777777" w:rsidR="00161817" w:rsidRPr="00557C2F" w:rsidRDefault="00161817" w:rsidP="009E6C40">
            <w:pPr>
              <w:widowControl w:val="0"/>
              <w:jc w:val="both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557C2F">
              <w:rPr>
                <w:rFonts w:ascii="Source Sans Pro" w:hAnsi="Source Sans Pro" w:cs="Arial"/>
                <w:b/>
                <w:sz w:val="16"/>
                <w:szCs w:val="16"/>
              </w:rPr>
              <w:t>Assetklasse</w:t>
            </w:r>
          </w:p>
        </w:tc>
        <w:tc>
          <w:tcPr>
            <w:tcW w:w="817" w:type="dxa"/>
            <w:vAlign w:val="center"/>
          </w:tcPr>
          <w:p w14:paraId="4ED34F9A" w14:textId="564A1E31" w:rsidR="00161817" w:rsidRPr="0017673F" w:rsidRDefault="00ED3FA6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  <w:r w:rsidRPr="00124E02">
              <w:rPr>
                <w:rFonts w:ascii="Source Sans Pro" w:hAnsi="Source Sans Pro" w:cs="Arial"/>
                <w:sz w:val="16"/>
                <w:szCs w:val="16"/>
              </w:rPr>
              <w:t>Büro</w:t>
            </w:r>
          </w:p>
        </w:tc>
        <w:tc>
          <w:tcPr>
            <w:tcW w:w="816" w:type="dxa"/>
            <w:vAlign w:val="center"/>
          </w:tcPr>
          <w:p w14:paraId="1BA19745" w14:textId="25608C94" w:rsidR="00161817" w:rsidRPr="0017673F" w:rsidRDefault="00557C2F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  <w:r w:rsidRPr="00124E02">
              <w:rPr>
                <w:rFonts w:ascii="Source Sans Pro" w:hAnsi="Source Sans Pro" w:cs="Arial"/>
                <w:sz w:val="16"/>
                <w:szCs w:val="16"/>
              </w:rPr>
              <w:t>Büro</w:t>
            </w:r>
          </w:p>
        </w:tc>
        <w:tc>
          <w:tcPr>
            <w:tcW w:w="933" w:type="dxa"/>
            <w:vAlign w:val="center"/>
          </w:tcPr>
          <w:p w14:paraId="2135011E" w14:textId="058BC51E" w:rsidR="00161817" w:rsidRPr="0017673F" w:rsidRDefault="00C97D51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  <w:r w:rsidRPr="00124E02">
              <w:rPr>
                <w:rFonts w:ascii="Source Sans Pro" w:hAnsi="Source Sans Pro" w:cs="Arial"/>
                <w:sz w:val="16"/>
                <w:szCs w:val="16"/>
              </w:rPr>
              <w:t>Büro</w:t>
            </w:r>
          </w:p>
        </w:tc>
        <w:tc>
          <w:tcPr>
            <w:tcW w:w="937" w:type="dxa"/>
            <w:vAlign w:val="center"/>
          </w:tcPr>
          <w:p w14:paraId="0978A794" w14:textId="753E0D70" w:rsidR="00161817" w:rsidRPr="0017673F" w:rsidRDefault="00124E02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  <w:r w:rsidRPr="00124E02">
              <w:rPr>
                <w:rFonts w:ascii="Source Sans Pro" w:hAnsi="Source Sans Pro" w:cs="Arial"/>
                <w:sz w:val="16"/>
                <w:szCs w:val="16"/>
              </w:rPr>
              <w:t>Einzelhandel</w:t>
            </w:r>
          </w:p>
        </w:tc>
        <w:tc>
          <w:tcPr>
            <w:tcW w:w="937" w:type="dxa"/>
            <w:vAlign w:val="center"/>
          </w:tcPr>
          <w:p w14:paraId="74C19DC6" w14:textId="465718BA" w:rsidR="00161817" w:rsidRPr="0017673F" w:rsidRDefault="00ED3FA6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  <w:r w:rsidRPr="00124E02">
              <w:rPr>
                <w:rFonts w:ascii="Source Sans Pro" w:hAnsi="Source Sans Pro" w:cs="Arial"/>
                <w:sz w:val="16"/>
                <w:szCs w:val="16"/>
              </w:rPr>
              <w:t>Büro</w:t>
            </w:r>
          </w:p>
        </w:tc>
        <w:tc>
          <w:tcPr>
            <w:tcW w:w="932" w:type="dxa"/>
            <w:vAlign w:val="center"/>
          </w:tcPr>
          <w:p w14:paraId="42CE99EF" w14:textId="7C04446F" w:rsidR="00161817" w:rsidRPr="0017673F" w:rsidRDefault="00C97D51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  <w:r w:rsidRPr="00124E02">
              <w:rPr>
                <w:rFonts w:ascii="Source Sans Pro" w:hAnsi="Source Sans Pro" w:cs="Arial"/>
                <w:sz w:val="16"/>
                <w:szCs w:val="16"/>
              </w:rPr>
              <w:t>Mischnutzung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0AF439F9" w14:textId="70998575" w:rsidR="00161817" w:rsidRPr="0017673F" w:rsidRDefault="00124E02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  <w:r w:rsidRPr="00124E02">
              <w:rPr>
                <w:rFonts w:ascii="Source Sans Pro" w:hAnsi="Source Sans Pro" w:cs="Arial"/>
                <w:sz w:val="16"/>
                <w:szCs w:val="16"/>
              </w:rPr>
              <w:t>Büro</w:t>
            </w:r>
          </w:p>
        </w:tc>
        <w:tc>
          <w:tcPr>
            <w:tcW w:w="800" w:type="dxa"/>
            <w:vAlign w:val="center"/>
          </w:tcPr>
          <w:p w14:paraId="5660B842" w14:textId="4EBE1E5F" w:rsidR="00161817" w:rsidRPr="0017673F" w:rsidRDefault="00C97D51" w:rsidP="009E6C40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  <w:highlight w:val="yellow"/>
              </w:rPr>
            </w:pPr>
            <w:r w:rsidRPr="00124E02">
              <w:rPr>
                <w:rFonts w:ascii="Source Sans Pro" w:hAnsi="Source Sans Pro" w:cs="Arial"/>
                <w:b/>
                <w:sz w:val="16"/>
                <w:szCs w:val="16"/>
              </w:rPr>
              <w:t>Büro</w:t>
            </w:r>
          </w:p>
        </w:tc>
      </w:tr>
      <w:tr w:rsidR="007C4CC4" w:rsidRPr="00161817" w14:paraId="7FF3344D" w14:textId="77777777" w:rsidTr="009E6C40">
        <w:tc>
          <w:tcPr>
            <w:tcW w:w="1939" w:type="dxa"/>
          </w:tcPr>
          <w:p w14:paraId="55257A82" w14:textId="77777777" w:rsidR="00161817" w:rsidRPr="00557C2F" w:rsidRDefault="00161817" w:rsidP="009E6C40">
            <w:pPr>
              <w:widowControl w:val="0"/>
              <w:jc w:val="both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557C2F">
              <w:rPr>
                <w:rFonts w:ascii="Source Sans Pro" w:hAnsi="Source Sans Pro" w:cs="Arial"/>
                <w:b/>
                <w:sz w:val="16"/>
                <w:szCs w:val="16"/>
              </w:rPr>
              <w:t>Stärkste</w:t>
            </w:r>
          </w:p>
          <w:p w14:paraId="19D9BE72" w14:textId="77777777" w:rsidR="00161817" w:rsidRPr="00557C2F" w:rsidRDefault="00161817" w:rsidP="009E6C40">
            <w:pPr>
              <w:widowControl w:val="0"/>
              <w:jc w:val="both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557C2F">
              <w:rPr>
                <w:rFonts w:ascii="Source Sans Pro" w:hAnsi="Source Sans Pro" w:cs="Arial"/>
                <w:b/>
                <w:sz w:val="16"/>
                <w:szCs w:val="16"/>
              </w:rPr>
              <w:t xml:space="preserve">Assetklasse </w:t>
            </w:r>
            <w:r w:rsidRPr="00557C2F">
              <w:rPr>
                <w:rFonts w:ascii="Source Sans Pro" w:hAnsi="Source Sans Pro" w:cs="Arial"/>
                <w:sz w:val="16"/>
                <w:szCs w:val="16"/>
              </w:rPr>
              <w:t>in %</w:t>
            </w:r>
          </w:p>
        </w:tc>
        <w:tc>
          <w:tcPr>
            <w:tcW w:w="817" w:type="dxa"/>
            <w:vAlign w:val="center"/>
          </w:tcPr>
          <w:p w14:paraId="516BE07F" w14:textId="4E700883" w:rsidR="00161817" w:rsidRPr="0017673F" w:rsidRDefault="00124E02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  <w:u w:val="single"/>
              </w:rPr>
            </w:pPr>
            <w:r w:rsidRPr="009F6AD3">
              <w:rPr>
                <w:rFonts w:ascii="Source Sans Pro" w:hAnsi="Source Sans Pro" w:cs="Arial"/>
                <w:sz w:val="16"/>
                <w:szCs w:val="16"/>
                <w:u w:val="single"/>
              </w:rPr>
              <w:t>69</w:t>
            </w:r>
            <w:r w:rsidR="0008376F" w:rsidRPr="009F6AD3">
              <w:rPr>
                <w:rFonts w:ascii="Source Sans Pro" w:hAnsi="Source Sans Pro" w:cs="Arial"/>
                <w:sz w:val="16"/>
                <w:szCs w:val="16"/>
                <w:u w:val="single"/>
              </w:rPr>
              <w:t xml:space="preserve"> </w:t>
            </w:r>
            <w:r w:rsidR="00ED3FA6" w:rsidRPr="009F6AD3">
              <w:rPr>
                <w:rFonts w:ascii="Source Sans Pro" w:hAnsi="Source Sans Pro" w:cs="Arial"/>
                <w:sz w:val="16"/>
                <w:szCs w:val="16"/>
                <w:u w:val="single"/>
              </w:rPr>
              <w:t>%</w:t>
            </w:r>
          </w:p>
        </w:tc>
        <w:tc>
          <w:tcPr>
            <w:tcW w:w="816" w:type="dxa"/>
            <w:vAlign w:val="center"/>
          </w:tcPr>
          <w:p w14:paraId="3290541C" w14:textId="56197BD2" w:rsidR="00161817" w:rsidRPr="0017673F" w:rsidRDefault="009F6AD3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  <w:r w:rsidRPr="009F6AD3">
              <w:rPr>
                <w:rFonts w:ascii="Source Sans Pro" w:hAnsi="Source Sans Pro" w:cs="Arial"/>
                <w:sz w:val="16"/>
                <w:szCs w:val="16"/>
              </w:rPr>
              <w:t>52</w:t>
            </w:r>
            <w:r w:rsidR="0008376F" w:rsidRPr="009F6AD3">
              <w:rPr>
                <w:rFonts w:ascii="Source Sans Pro" w:hAnsi="Source Sans Pro" w:cs="Arial"/>
                <w:sz w:val="16"/>
                <w:szCs w:val="16"/>
              </w:rPr>
              <w:t xml:space="preserve"> </w:t>
            </w:r>
            <w:r w:rsidR="00ED3FA6" w:rsidRPr="009F6AD3">
              <w:rPr>
                <w:rFonts w:ascii="Source Sans Pro" w:hAnsi="Source Sans Pro" w:cs="Arial"/>
                <w:sz w:val="16"/>
                <w:szCs w:val="16"/>
              </w:rPr>
              <w:t>%</w:t>
            </w:r>
          </w:p>
        </w:tc>
        <w:tc>
          <w:tcPr>
            <w:tcW w:w="933" w:type="dxa"/>
            <w:vAlign w:val="center"/>
          </w:tcPr>
          <w:p w14:paraId="65F78631" w14:textId="3C114D35" w:rsidR="00161817" w:rsidRPr="0017673F" w:rsidRDefault="00C97D51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  <w:r w:rsidRPr="009F6AD3">
              <w:rPr>
                <w:rFonts w:ascii="Source Sans Pro" w:hAnsi="Source Sans Pro" w:cs="Arial"/>
                <w:sz w:val="16"/>
                <w:szCs w:val="16"/>
              </w:rPr>
              <w:t>4</w:t>
            </w:r>
            <w:r w:rsidR="009F6AD3" w:rsidRPr="009F6AD3">
              <w:rPr>
                <w:rFonts w:ascii="Source Sans Pro" w:hAnsi="Source Sans Pro" w:cs="Arial"/>
                <w:sz w:val="16"/>
                <w:szCs w:val="16"/>
              </w:rPr>
              <w:t>3</w:t>
            </w:r>
            <w:r w:rsidR="0008376F" w:rsidRPr="009F6AD3">
              <w:rPr>
                <w:rFonts w:ascii="Source Sans Pro" w:hAnsi="Source Sans Pro" w:cs="Arial"/>
                <w:sz w:val="16"/>
                <w:szCs w:val="16"/>
              </w:rPr>
              <w:t xml:space="preserve"> </w:t>
            </w:r>
            <w:r w:rsidR="00ED3FA6" w:rsidRPr="009F6AD3">
              <w:rPr>
                <w:rFonts w:ascii="Source Sans Pro" w:hAnsi="Source Sans Pro" w:cs="Arial"/>
                <w:sz w:val="16"/>
                <w:szCs w:val="16"/>
              </w:rPr>
              <w:t>%</w:t>
            </w:r>
          </w:p>
        </w:tc>
        <w:tc>
          <w:tcPr>
            <w:tcW w:w="937" w:type="dxa"/>
            <w:vAlign w:val="center"/>
          </w:tcPr>
          <w:p w14:paraId="63E405B4" w14:textId="1427E6ED" w:rsidR="00161817" w:rsidRPr="0017673F" w:rsidRDefault="009F6AD3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  <w:r w:rsidRPr="009F6AD3">
              <w:rPr>
                <w:rFonts w:ascii="Source Sans Pro" w:hAnsi="Source Sans Pro" w:cs="Arial"/>
                <w:sz w:val="16"/>
                <w:szCs w:val="16"/>
              </w:rPr>
              <w:t>25</w:t>
            </w:r>
            <w:r w:rsidR="0008376F" w:rsidRPr="009F6AD3">
              <w:rPr>
                <w:rFonts w:ascii="Source Sans Pro" w:hAnsi="Source Sans Pro" w:cs="Arial"/>
                <w:sz w:val="16"/>
                <w:szCs w:val="16"/>
              </w:rPr>
              <w:t xml:space="preserve"> </w:t>
            </w:r>
            <w:r w:rsidR="00ED3FA6" w:rsidRPr="009F6AD3">
              <w:rPr>
                <w:rFonts w:ascii="Source Sans Pro" w:hAnsi="Source Sans Pro" w:cs="Arial"/>
                <w:sz w:val="16"/>
                <w:szCs w:val="16"/>
              </w:rPr>
              <w:t>%</w:t>
            </w:r>
          </w:p>
        </w:tc>
        <w:tc>
          <w:tcPr>
            <w:tcW w:w="937" w:type="dxa"/>
            <w:vAlign w:val="center"/>
          </w:tcPr>
          <w:p w14:paraId="3DBBA68E" w14:textId="16953EC7" w:rsidR="00161817" w:rsidRPr="0017673F" w:rsidRDefault="009F6AD3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  <w:r w:rsidRPr="009F6AD3">
              <w:rPr>
                <w:rFonts w:ascii="Source Sans Pro" w:hAnsi="Source Sans Pro" w:cs="Arial"/>
                <w:sz w:val="16"/>
                <w:szCs w:val="16"/>
              </w:rPr>
              <w:t>59</w:t>
            </w:r>
            <w:r w:rsidR="0008376F" w:rsidRPr="009F6AD3">
              <w:rPr>
                <w:rFonts w:ascii="Source Sans Pro" w:hAnsi="Source Sans Pro" w:cs="Arial"/>
                <w:sz w:val="16"/>
                <w:szCs w:val="16"/>
              </w:rPr>
              <w:t xml:space="preserve"> </w:t>
            </w:r>
            <w:r w:rsidR="00ED3FA6" w:rsidRPr="009F6AD3">
              <w:rPr>
                <w:rFonts w:ascii="Source Sans Pro" w:hAnsi="Source Sans Pro" w:cs="Arial"/>
                <w:sz w:val="16"/>
                <w:szCs w:val="16"/>
              </w:rPr>
              <w:t>%</w:t>
            </w:r>
          </w:p>
        </w:tc>
        <w:tc>
          <w:tcPr>
            <w:tcW w:w="932" w:type="dxa"/>
            <w:vAlign w:val="center"/>
          </w:tcPr>
          <w:p w14:paraId="62F15918" w14:textId="531E1B14" w:rsidR="00161817" w:rsidRPr="0017673F" w:rsidRDefault="009F6AD3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  <w:r w:rsidRPr="009F6AD3">
              <w:rPr>
                <w:rFonts w:ascii="Source Sans Pro" w:hAnsi="Source Sans Pro" w:cs="Arial"/>
                <w:sz w:val="16"/>
                <w:szCs w:val="16"/>
              </w:rPr>
              <w:t>45</w:t>
            </w:r>
            <w:r w:rsidR="0008376F" w:rsidRPr="009F6AD3">
              <w:rPr>
                <w:rFonts w:ascii="Source Sans Pro" w:hAnsi="Source Sans Pro" w:cs="Arial"/>
                <w:sz w:val="16"/>
                <w:szCs w:val="16"/>
              </w:rPr>
              <w:t xml:space="preserve"> </w:t>
            </w:r>
            <w:r w:rsidR="00ED3FA6" w:rsidRPr="009F6AD3">
              <w:rPr>
                <w:rFonts w:ascii="Source Sans Pro" w:hAnsi="Source Sans Pro" w:cs="Arial"/>
                <w:sz w:val="16"/>
                <w:szCs w:val="16"/>
              </w:rPr>
              <w:t>%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FF3E0CF" w14:textId="46C76C65" w:rsidR="00161817" w:rsidRPr="0017673F" w:rsidRDefault="00B90D3E" w:rsidP="009E6C40">
            <w:pPr>
              <w:widowControl w:val="0"/>
              <w:jc w:val="center"/>
              <w:rPr>
                <w:rFonts w:ascii="Source Sans Pro" w:hAnsi="Source Sans Pro" w:cs="Arial"/>
                <w:sz w:val="16"/>
                <w:szCs w:val="16"/>
                <w:highlight w:val="yellow"/>
              </w:rPr>
            </w:pPr>
            <w:r w:rsidRPr="00B90D3E">
              <w:rPr>
                <w:rFonts w:ascii="Source Sans Pro" w:hAnsi="Source Sans Pro" w:cs="Arial"/>
                <w:sz w:val="16"/>
                <w:szCs w:val="16"/>
              </w:rPr>
              <w:t>54</w:t>
            </w:r>
            <w:r w:rsidR="0008376F" w:rsidRPr="00B90D3E">
              <w:rPr>
                <w:rFonts w:ascii="Source Sans Pro" w:hAnsi="Source Sans Pro" w:cs="Arial"/>
                <w:sz w:val="16"/>
                <w:szCs w:val="16"/>
              </w:rPr>
              <w:t xml:space="preserve"> </w:t>
            </w:r>
            <w:r w:rsidR="00ED3FA6" w:rsidRPr="00B90D3E">
              <w:rPr>
                <w:rFonts w:ascii="Source Sans Pro" w:hAnsi="Source Sans Pro" w:cs="Arial"/>
                <w:sz w:val="16"/>
                <w:szCs w:val="16"/>
              </w:rPr>
              <w:t>%</w:t>
            </w:r>
          </w:p>
        </w:tc>
        <w:tc>
          <w:tcPr>
            <w:tcW w:w="800" w:type="dxa"/>
            <w:vAlign w:val="center"/>
          </w:tcPr>
          <w:p w14:paraId="2A043F0A" w14:textId="2B052A4A" w:rsidR="00161817" w:rsidRPr="0017673F" w:rsidRDefault="00B90D3E" w:rsidP="009E6C40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  <w:highlight w:val="yellow"/>
              </w:rPr>
            </w:pPr>
            <w:r w:rsidRPr="00B90D3E">
              <w:rPr>
                <w:rFonts w:ascii="Source Sans Pro" w:hAnsi="Source Sans Pro" w:cs="Arial"/>
                <w:b/>
                <w:sz w:val="16"/>
                <w:szCs w:val="16"/>
              </w:rPr>
              <w:t>51</w:t>
            </w:r>
            <w:r w:rsidR="0008376F" w:rsidRPr="00B90D3E">
              <w:rPr>
                <w:rFonts w:ascii="Source Sans Pro" w:hAnsi="Source Sans Pro" w:cs="Arial"/>
                <w:b/>
                <w:sz w:val="16"/>
                <w:szCs w:val="16"/>
              </w:rPr>
              <w:t xml:space="preserve"> </w:t>
            </w:r>
            <w:r w:rsidR="00ED3FA6" w:rsidRPr="00B90D3E">
              <w:rPr>
                <w:rFonts w:ascii="Source Sans Pro" w:hAnsi="Source Sans Pro" w:cs="Arial"/>
                <w:b/>
                <w:sz w:val="16"/>
                <w:szCs w:val="16"/>
              </w:rPr>
              <w:t>%</w:t>
            </w:r>
          </w:p>
        </w:tc>
      </w:tr>
    </w:tbl>
    <w:p w14:paraId="24F7C797" w14:textId="5003AE93" w:rsidR="00DA733A" w:rsidRPr="00161817" w:rsidRDefault="00161817" w:rsidP="00DA733A">
      <w:pPr>
        <w:pStyle w:val="EinfAbs"/>
        <w:tabs>
          <w:tab w:val="left" w:pos="200"/>
        </w:tabs>
        <w:jc w:val="both"/>
        <w:rPr>
          <w:rFonts w:ascii="Source Sans Pro" w:hAnsi="Source Sans Pro" w:cs="Arial"/>
          <w:sz w:val="16"/>
          <w:szCs w:val="16"/>
        </w:rPr>
      </w:pPr>
      <w:r w:rsidRPr="00161817">
        <w:rPr>
          <w:rFonts w:ascii="Source Sans Pro" w:hAnsi="Source Sans Pro" w:cs="Arial"/>
          <w:sz w:val="16"/>
          <w:szCs w:val="16"/>
        </w:rPr>
        <w:t>* Nettoanfangsrendite; Quelle: German Property Partners (GPP)</w:t>
      </w:r>
    </w:p>
    <w:p w14:paraId="384D0EB4" w14:textId="77777777" w:rsidR="00161817" w:rsidRDefault="00161817" w:rsidP="00DA733A">
      <w:pPr>
        <w:pStyle w:val="EinfAbs"/>
        <w:tabs>
          <w:tab w:val="left" w:pos="200"/>
        </w:tabs>
        <w:jc w:val="both"/>
        <w:rPr>
          <w:rFonts w:ascii="Source Sans Pro" w:hAnsi="Source Sans Pro" w:cs="Source Sans Pro"/>
          <w:sz w:val="22"/>
          <w:szCs w:val="22"/>
        </w:rPr>
      </w:pPr>
    </w:p>
    <w:p w14:paraId="50B0AF24" w14:textId="04CDDE4D" w:rsidR="00DA733A" w:rsidRPr="00966A04" w:rsidRDefault="002B63FD" w:rsidP="00966A04">
      <w:pPr>
        <w:overflowPunct/>
        <w:autoSpaceDE/>
        <w:autoSpaceDN/>
        <w:adjustRightInd/>
        <w:textAlignment w:val="auto"/>
        <w:rPr>
          <w:rFonts w:ascii="Source Sans Pro SemiBold" w:hAnsi="Source Sans Pro SemiBold" w:cs="Source Sans Pro SemiBold"/>
          <w:b/>
          <w:bCs/>
          <w:caps/>
          <w:color w:val="0087A8"/>
          <w:sz w:val="18"/>
          <w:szCs w:val="18"/>
        </w:rPr>
      </w:pPr>
      <w:r>
        <w:rPr>
          <w:rFonts w:ascii="Source Sans Pro SemiBold" w:hAnsi="Source Sans Pro SemiBold" w:cs="Source Sans Pro SemiBold"/>
          <w:b/>
          <w:bCs/>
          <w:caps/>
          <w:color w:val="0087A8"/>
          <w:sz w:val="18"/>
          <w:szCs w:val="18"/>
        </w:rPr>
        <w:t>ÜBER GERMAN PROPERTY PARTNERS</w:t>
      </w:r>
      <w:r w:rsidR="00DA733A" w:rsidRPr="006456EA">
        <w:rPr>
          <w:rFonts w:ascii="Source Sans Pro SemiBold" w:hAnsi="Source Sans Pro SemiBold" w:cs="Source Sans Pro SemiBold"/>
          <w:b/>
          <w:bCs/>
          <w:caps/>
          <w:color w:val="0087A8"/>
          <w:sz w:val="18"/>
          <w:szCs w:val="18"/>
        </w:rPr>
        <w:t xml:space="preserve"> </w:t>
      </w:r>
    </w:p>
    <w:p w14:paraId="47B60849" w14:textId="77777777" w:rsidR="00E1280F" w:rsidRPr="00E1280F" w:rsidRDefault="009E01E7" w:rsidP="00E1280F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  <w:hyperlink r:id="rId9" w:history="1">
        <w:r w:rsidR="00E1280F" w:rsidRPr="00E1280F">
          <w:rPr>
            <w:rFonts w:ascii="Source Sans Pro SemiBold" w:hAnsi="Source Sans Pro SemiBold" w:cs="Source Sans Pro SemiBold"/>
            <w:bCs/>
            <w:caps/>
            <w:color w:val="0087A8"/>
            <w:sz w:val="18"/>
            <w:szCs w:val="18"/>
          </w:rPr>
          <w:t>German Property Partners</w:t>
        </w:r>
      </w:hyperlink>
      <w:r w:rsidR="00E1280F"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 (GPP) ist ein deutschlandweites Netzwerk lokal führender Gewerbe-Immobiliendienstleister. Hierzu gehören Grossmann &amp; Berger, Anteon Immobilien, GREIF &amp; CONTZEN Immobilien, blackolive und E &amp; G Real Estate. Es zeichnet sich durch tiefe Marktkenntnisse vor Ort, langjährig für die Partnerunternehmen tätige Immobilienberater und das persönliche Engagement der Gesellschafter und Geschäftsführer aus. </w:t>
      </w:r>
    </w:p>
    <w:p w14:paraId="0E6D674A" w14:textId="77777777" w:rsidR="00E1280F" w:rsidRPr="00E1280F" w:rsidRDefault="00E1280F" w:rsidP="00E1280F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</w:p>
    <w:p w14:paraId="36C5C800" w14:textId="77777777" w:rsidR="00E1280F" w:rsidRPr="00E1280F" w:rsidRDefault="00E1280F" w:rsidP="00E1280F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Das Netzwerk verfügt in den Top-7-Städten Hamburg, Berlin, Düsseldorf, Köln|Bonn, Frankfurt, Stuttgart und München über eigene Standorte und bietet Dienstleistungen in den Bereichen Immobilien-Investments, gewerbliche Vermietung, unternehmerisches Immobilienmanagement (CREM), Immobilienbewertung und Research an. Bank-, Finanzierungs- und Verwaltungs-Dienstleistungen runden das Leistungsspektrum ab. </w:t>
      </w:r>
    </w:p>
    <w:p w14:paraId="24310FE5" w14:textId="77777777" w:rsidR="00E1280F" w:rsidRPr="00E1280F" w:rsidRDefault="00E1280F" w:rsidP="00E1280F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</w:p>
    <w:p w14:paraId="7A96D1EF" w14:textId="77777777" w:rsidR="007F12A3" w:rsidRPr="00E1280F" w:rsidRDefault="007F12A3" w:rsidP="007F12A3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Aktuell sind mehr als 42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0 Immobilienspezialisten für das Netzwerk tätig. 202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2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 vermittelte GPP deutschlandweit rund 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580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.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0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00 m² Gewerbefläche und betreute ein Transaktionsvolumen in Höhe von rund 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1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,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5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 Mrd. €.</w:t>
      </w:r>
    </w:p>
    <w:p w14:paraId="03D0C7E2" w14:textId="6011ECBB" w:rsidR="00DA733A" w:rsidRPr="006456EA" w:rsidRDefault="00DA733A" w:rsidP="00DA733A">
      <w:pPr>
        <w:pStyle w:val="EinfAbs"/>
        <w:tabs>
          <w:tab w:val="left" w:pos="200"/>
        </w:tabs>
        <w:spacing w:line="220" w:lineRule="exact"/>
        <w:jc w:val="both"/>
        <w:rPr>
          <w:rFonts w:ascii="Source Sans Pro" w:hAnsi="Source Sans Pro" w:cs="Source Sans Pro"/>
          <w:color w:val="0087A8"/>
          <w:sz w:val="18"/>
          <w:szCs w:val="18"/>
        </w:rPr>
      </w:pPr>
    </w:p>
    <w:p w14:paraId="3267071B" w14:textId="05540F4C" w:rsidR="00D56A51" w:rsidRDefault="009E01E7" w:rsidP="00D56A51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"/>
          <w:b/>
          <w:bCs/>
          <w:color w:val="0087A8"/>
          <w:sz w:val="18"/>
          <w:szCs w:val="18"/>
        </w:rPr>
      </w:pPr>
      <w:hyperlink r:id="rId10" w:history="1">
        <w:r w:rsidR="00D56A51" w:rsidRPr="00F505E8">
          <w:rPr>
            <w:rStyle w:val="Hyperlink"/>
            <w:rFonts w:ascii="Source Sans Pro SemiBold" w:hAnsi="Source Sans Pro SemiBold" w:cs="Source Sans Pro SemiBold"/>
            <w:b/>
            <w:bCs/>
            <w:sz w:val="18"/>
            <w:szCs w:val="18"/>
          </w:rPr>
          <w:t>www.germanpropertypartners.de</w:t>
        </w:r>
      </w:hyperlink>
    </w:p>
    <w:p w14:paraId="468FAFF6" w14:textId="33FAAA60" w:rsidR="005C25D5" w:rsidRPr="00D56A51" w:rsidRDefault="00290672" w:rsidP="00D56A51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"/>
          <w:b/>
          <w:bCs/>
          <w:color w:val="0087A8"/>
          <w:sz w:val="18"/>
          <w:szCs w:val="18"/>
        </w:rPr>
      </w:pPr>
      <w:r w:rsidRPr="00290672">
        <w:rPr>
          <w:rFonts w:ascii="Source Sans Pro SemiBold" w:hAnsi="Source Sans Pro SemiBold" w:cs="Source Sans Pro SemiBold"/>
          <w:bCs/>
          <w:sz w:val="14"/>
          <w:szCs w:val="14"/>
        </w:rPr>
        <w:t>Die</w:t>
      </w:r>
      <w:r>
        <w:rPr>
          <w:rFonts w:ascii="Source Sans Pro SemiBold" w:hAnsi="Source Sans Pro SemiBold" w:cs="Source Sans Pro SemiBold"/>
          <w:b/>
          <w:bCs/>
          <w:caps/>
          <w:sz w:val="14"/>
          <w:szCs w:val="14"/>
        </w:rPr>
        <w:t xml:space="preserve"> </w:t>
      </w:r>
      <w:r w:rsidR="00DA733A" w:rsidRPr="00917410">
        <w:rPr>
          <w:rFonts w:ascii="Source Sans Pro SemiBold" w:hAnsi="Source Sans Pro SemiBold" w:cs="Source Sans Pro SemiBold"/>
          <w:b/>
          <w:bCs/>
          <w:caps/>
          <w:sz w:val="14"/>
          <w:szCs w:val="14"/>
        </w:rPr>
        <w:t>Datenschutzerklärung</w:t>
      </w:r>
      <w:r w:rsidR="00DA733A" w:rsidRPr="00917410">
        <w:rPr>
          <w:rFonts w:ascii="Source Sans Pro" w:hAnsi="Source Sans Pro" w:cs="Source Sans Pro"/>
          <w:sz w:val="14"/>
          <w:szCs w:val="14"/>
        </w:rPr>
        <w:t xml:space="preserve"> von German Property Partners finden Sie auf der GPP-Website: www.germanpropertypartners.de/datenschutz. Wenn Sie künftig keine Informationen der GPP-Pressestelle mehr erhalten möchten, senden Sie bitte eine E-Mail an presse@germanpropertypartners.de mit dem Betreff „Abmeldung aus Presseverteiler“. </w:t>
      </w:r>
    </w:p>
    <w:sectPr w:rsidR="005C25D5" w:rsidRPr="00D56A51" w:rsidSect="001B786B">
      <w:headerReference w:type="default" r:id="rId11"/>
      <w:footerReference w:type="default" r:id="rId12"/>
      <w:headerReference w:type="first" r:id="rId13"/>
      <w:footerReference w:type="first" r:id="rId14"/>
      <w:pgSz w:w="11900" w:h="16820" w:code="9"/>
      <w:pgMar w:top="2552" w:right="1304" w:bottom="567" w:left="1304" w:header="885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6DBE0" w14:textId="77777777" w:rsidR="00E27DEF" w:rsidRDefault="00E27DEF">
      <w:r>
        <w:separator/>
      </w:r>
    </w:p>
  </w:endnote>
  <w:endnote w:type="continuationSeparator" w:id="0">
    <w:p w14:paraId="63E8188B" w14:textId="77777777" w:rsidR="00E27DEF" w:rsidRDefault="00E2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HelveticaNeueLT Pro 55 Roman">
    <w:altName w:val="Arial"/>
    <w:charset w:val="4D"/>
    <w:family w:val="swiss"/>
    <w:pitch w:val="variable"/>
    <w:sig w:usb0="A00000AF" w:usb1="5000204A" w:usb2="00000000" w:usb3="00000000" w:csb0="0000009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FC666" w14:textId="0B1390D1" w:rsidR="001B786B" w:rsidRDefault="001B786B" w:rsidP="001B786B">
    <w:pPr>
      <w:pStyle w:val="Fuzeile"/>
      <w:spacing w:line="220" w:lineRule="exact"/>
      <w:rPr>
        <w:rStyle w:val="Seitenzahl"/>
        <w:rFonts w:ascii="Source Sans Pro" w:hAnsi="Source Sans Pro" w:cs="Arial"/>
        <w:color w:val="0086A8"/>
        <w:sz w:val="18"/>
        <w:szCs w:val="18"/>
      </w:rPr>
    </w:pPr>
  </w:p>
  <w:p w14:paraId="08A74C44" w14:textId="77777777" w:rsidR="006F154A" w:rsidRDefault="006F154A" w:rsidP="001B786B">
    <w:pPr>
      <w:pStyle w:val="Fuzeile"/>
      <w:spacing w:line="220" w:lineRule="exact"/>
      <w:rPr>
        <w:rStyle w:val="Seitenzahl"/>
        <w:rFonts w:ascii="Source Sans Pro" w:hAnsi="Source Sans Pro" w:cs="Arial"/>
        <w:color w:val="0086A8"/>
        <w:sz w:val="18"/>
        <w:szCs w:val="18"/>
      </w:rPr>
    </w:pPr>
  </w:p>
  <w:p w14:paraId="1F725FAF" w14:textId="77777777" w:rsidR="006F154A" w:rsidRPr="006456EA" w:rsidRDefault="006F154A" w:rsidP="001B786B">
    <w:pPr>
      <w:pStyle w:val="Fuzeile"/>
      <w:spacing w:line="220" w:lineRule="exact"/>
      <w:rPr>
        <w:rStyle w:val="Seitenzahl"/>
        <w:rFonts w:ascii="Source Sans Pro" w:hAnsi="Source Sans Pro" w:cs="Arial"/>
        <w:color w:val="0087A8"/>
        <w:sz w:val="18"/>
        <w:szCs w:val="18"/>
      </w:rPr>
    </w:pPr>
  </w:p>
  <w:p w14:paraId="3E5BA6C5" w14:textId="3EC6FCF6" w:rsidR="005644BE" w:rsidRPr="006456EA" w:rsidRDefault="005644BE" w:rsidP="005644BE">
    <w:pPr>
      <w:pStyle w:val="Fuzeile"/>
      <w:spacing w:line="220" w:lineRule="exact"/>
      <w:rPr>
        <w:rStyle w:val="Seitenzahl"/>
        <w:rFonts w:ascii="Source Sans Pro" w:hAnsi="Source Sans Pro" w:cs="Arial"/>
        <w:color w:val="0087A8"/>
        <w:sz w:val="18"/>
        <w:szCs w:val="18"/>
      </w:rPr>
    </w:pP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PAGE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3D4F29">
      <w:rPr>
        <w:rStyle w:val="Seitenzahl"/>
        <w:rFonts w:ascii="Source Sans Pro" w:hAnsi="Source Sans Pro" w:cs="Arial"/>
        <w:noProof/>
        <w:color w:val="0087A8"/>
        <w:sz w:val="18"/>
        <w:szCs w:val="18"/>
      </w:rPr>
      <w:t>2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t xml:space="preserve"> I 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NUMPAGES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3D4F29">
      <w:rPr>
        <w:rStyle w:val="Seitenzahl"/>
        <w:rFonts w:ascii="Source Sans Pro" w:hAnsi="Source Sans Pro" w:cs="Arial"/>
        <w:noProof/>
        <w:color w:val="0087A8"/>
        <w:sz w:val="18"/>
        <w:szCs w:val="18"/>
      </w:rPr>
      <w:t>3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</w:p>
  <w:p w14:paraId="5D199B7F" w14:textId="3415D950" w:rsidR="005644BE" w:rsidRPr="006456EA" w:rsidRDefault="005644BE" w:rsidP="005644BE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7A8"/>
        <w:sz w:val="18"/>
        <w:szCs w:val="18"/>
      </w:rPr>
    </w:pPr>
    <w:r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>PRESSEKONTAKT:</w:t>
    </w:r>
    <w:r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ab/>
    </w:r>
    <w:proofErr w:type="gramStart"/>
    <w:r w:rsidR="009B008F">
      <w:rPr>
        <w:rFonts w:ascii="Source Sans Pro" w:hAnsi="Source Sans Pro" w:cs="Source Sans Pro"/>
        <w:color w:val="0087A8"/>
        <w:sz w:val="18"/>
        <w:szCs w:val="18"/>
      </w:rPr>
      <w:t>T  +</w:t>
    </w:r>
    <w:proofErr w:type="gramEnd"/>
    <w:r w:rsidR="009B008F">
      <w:rPr>
        <w:rFonts w:ascii="Source Sans Pro" w:hAnsi="Source Sans Pro" w:cs="Source Sans Pro"/>
        <w:color w:val="0087A8"/>
        <w:sz w:val="18"/>
        <w:szCs w:val="18"/>
      </w:rPr>
      <w:t>49 40 350802</w:t>
    </w:r>
    <w:r w:rsidR="00282ED8">
      <w:rPr>
        <w:rFonts w:ascii="Source Sans Pro" w:hAnsi="Source Sans Pro" w:cs="Source Sans Pro"/>
        <w:color w:val="0087A8"/>
        <w:sz w:val="18"/>
        <w:szCs w:val="18"/>
      </w:rPr>
      <w:t>-</w:t>
    </w:r>
    <w:r w:rsidR="004804A5">
      <w:rPr>
        <w:rFonts w:ascii="Source Sans Pro" w:hAnsi="Source Sans Pro" w:cs="Source Sans Pro"/>
        <w:color w:val="0087A8"/>
        <w:sz w:val="18"/>
        <w:szCs w:val="18"/>
      </w:rPr>
      <w:t>9</w:t>
    </w:r>
    <w:r w:rsidR="00F40B12">
      <w:rPr>
        <w:rFonts w:ascii="Source Sans Pro" w:hAnsi="Source Sans Pro" w:cs="Source Sans Pro"/>
        <w:color w:val="0087A8"/>
        <w:sz w:val="18"/>
        <w:szCs w:val="18"/>
      </w:rPr>
      <w:t>88</w:t>
    </w:r>
    <w:r w:rsidRPr="006456EA">
      <w:rPr>
        <w:rFonts w:ascii="Source Sans Pro" w:hAnsi="Source Sans Pro" w:cs="Source Sans Pro"/>
        <w:color w:val="0087A8"/>
        <w:sz w:val="18"/>
        <w:szCs w:val="18"/>
      </w:rPr>
      <w:t xml:space="preserve"> </w:t>
    </w:r>
  </w:p>
  <w:p w14:paraId="6F9C1B3C" w14:textId="42A6765D" w:rsidR="00C41C74" w:rsidRPr="005644BE" w:rsidRDefault="00965DEB" w:rsidP="001B786B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6A8"/>
        <w:sz w:val="18"/>
        <w:szCs w:val="18"/>
      </w:rPr>
    </w:pPr>
    <w:r w:rsidRPr="00965DEB">
      <w:rPr>
        <w:noProof/>
        <w:lang w:val="en-US" w:eastAsia="en-US"/>
      </w:rPr>
      <w:drawing>
        <wp:anchor distT="0" distB="0" distL="114300" distR="114300" simplePos="0" relativeHeight="251676672" behindDoc="0" locked="0" layoutInCell="1" allowOverlap="1" wp14:anchorId="74B63C0B" wp14:editId="0C6711F5">
          <wp:simplePos x="0" y="0"/>
          <wp:positionH relativeFrom="page">
            <wp:posOffset>4788535</wp:posOffset>
          </wp:positionH>
          <wp:positionV relativeFrom="page">
            <wp:posOffset>10196195</wp:posOffset>
          </wp:positionV>
          <wp:extent cx="1947600" cy="100800"/>
          <wp:effectExtent l="0" t="0" r="0" b="1270"/>
          <wp:wrapNone/>
          <wp:docPr id="49" name="Grafik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Grafik 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600" cy="1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04A5">
      <w:rPr>
        <w:rFonts w:ascii="Source Sans Pro" w:hAnsi="Source Sans Pro" w:cs="Source Sans Pro"/>
        <w:color w:val="0087A8"/>
        <w:sz w:val="18"/>
        <w:szCs w:val="18"/>
      </w:rPr>
      <w:t>Katharina Koester</w:t>
    </w:r>
    <w:r w:rsidR="005644BE" w:rsidRPr="006456EA">
      <w:rPr>
        <w:rFonts w:ascii="Source Sans Pro" w:hAnsi="Source Sans Pro" w:cs="Source Sans Pro"/>
        <w:color w:val="0087A8"/>
        <w:sz w:val="18"/>
        <w:szCs w:val="18"/>
      </w:rPr>
      <w:tab/>
      <w:t>presse@germanpropertypartners.de</w:t>
    </w:r>
    <w:r w:rsidR="00077E8A">
      <w:rPr>
        <w:rStyle w:val="Seitenzahl"/>
      </w:rPr>
      <w:tab/>
    </w:r>
    <w:r w:rsidR="00077E8A">
      <w:rPr>
        <w:rStyle w:val="Seitenzah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0AF12" w14:textId="78D04753" w:rsidR="00C41C74" w:rsidRPr="001B786B" w:rsidRDefault="00C41C74" w:rsidP="001B786B">
    <w:pPr>
      <w:pStyle w:val="Fuzeile"/>
      <w:spacing w:line="220" w:lineRule="exact"/>
      <w:rPr>
        <w:rStyle w:val="Seitenzahl"/>
        <w:rFonts w:ascii="Source Sans Pro" w:hAnsi="Source Sans Pro"/>
        <w:color w:val="0086A8"/>
        <w:sz w:val="18"/>
        <w:szCs w:val="18"/>
      </w:rPr>
    </w:pPr>
  </w:p>
  <w:p w14:paraId="00991498" w14:textId="50D71040" w:rsidR="00C41C74" w:rsidRPr="006456EA" w:rsidRDefault="00C41C74" w:rsidP="00C35841">
    <w:pPr>
      <w:pStyle w:val="Fuzeile"/>
      <w:spacing w:line="220" w:lineRule="exact"/>
      <w:rPr>
        <w:rStyle w:val="Seitenzahl"/>
        <w:rFonts w:ascii="Source Sans Pro" w:hAnsi="Source Sans Pro" w:cs="Arial"/>
        <w:color w:val="0087A8"/>
        <w:sz w:val="18"/>
        <w:szCs w:val="18"/>
      </w:rPr>
    </w:pP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PAGE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3D4F29">
      <w:rPr>
        <w:rStyle w:val="Seitenzahl"/>
        <w:rFonts w:ascii="Source Sans Pro" w:hAnsi="Source Sans Pro" w:cs="Arial"/>
        <w:noProof/>
        <w:color w:val="0087A8"/>
        <w:sz w:val="18"/>
        <w:szCs w:val="18"/>
      </w:rPr>
      <w:t>1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t xml:space="preserve"> </w:t>
    </w:r>
    <w:r w:rsidR="00B862DB" w:rsidRPr="006456EA">
      <w:rPr>
        <w:rStyle w:val="Seitenzahl"/>
        <w:rFonts w:ascii="Source Sans Pro" w:hAnsi="Source Sans Pro" w:cs="Arial"/>
        <w:color w:val="0087A8"/>
        <w:sz w:val="18"/>
        <w:szCs w:val="18"/>
      </w:rPr>
      <w:t>I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t xml:space="preserve"> 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NUMPAGES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3D4F29">
      <w:rPr>
        <w:rStyle w:val="Seitenzahl"/>
        <w:rFonts w:ascii="Source Sans Pro" w:hAnsi="Source Sans Pro" w:cs="Arial"/>
        <w:noProof/>
        <w:color w:val="0087A8"/>
        <w:sz w:val="18"/>
        <w:szCs w:val="18"/>
      </w:rPr>
      <w:t>3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</w:p>
  <w:p w14:paraId="664ECE5C" w14:textId="7630B142" w:rsidR="001E1829" w:rsidRPr="006456EA" w:rsidRDefault="001E1829" w:rsidP="00C846F6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7A8"/>
        <w:sz w:val="18"/>
        <w:szCs w:val="18"/>
      </w:rPr>
    </w:pPr>
    <w:r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>PRESSEKONTAKT:</w:t>
    </w:r>
    <w:r w:rsidR="00C846F6"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ab/>
    </w:r>
    <w:proofErr w:type="gramStart"/>
    <w:r w:rsidR="00C35841" w:rsidRPr="006456EA">
      <w:rPr>
        <w:rFonts w:ascii="Source Sans Pro" w:hAnsi="Source Sans Pro" w:cs="Source Sans Pro"/>
        <w:color w:val="0087A8"/>
        <w:sz w:val="18"/>
        <w:szCs w:val="18"/>
      </w:rPr>
      <w:t>T  +</w:t>
    </w:r>
    <w:proofErr w:type="gramEnd"/>
    <w:r w:rsidR="003D5215">
      <w:rPr>
        <w:rFonts w:ascii="Source Sans Pro" w:hAnsi="Source Sans Pro" w:cs="Source Sans Pro"/>
        <w:color w:val="0087A8"/>
        <w:sz w:val="18"/>
        <w:szCs w:val="18"/>
      </w:rPr>
      <w:t>49 40 350802-</w:t>
    </w:r>
    <w:r w:rsidR="004804A5">
      <w:rPr>
        <w:rFonts w:ascii="Source Sans Pro" w:hAnsi="Source Sans Pro" w:cs="Source Sans Pro"/>
        <w:color w:val="0087A8"/>
        <w:sz w:val="18"/>
        <w:szCs w:val="18"/>
      </w:rPr>
      <w:t>9</w:t>
    </w:r>
    <w:r w:rsidR="00F40B12">
      <w:rPr>
        <w:rFonts w:ascii="Source Sans Pro" w:hAnsi="Source Sans Pro" w:cs="Source Sans Pro"/>
        <w:color w:val="0087A8"/>
        <w:sz w:val="18"/>
        <w:szCs w:val="18"/>
      </w:rPr>
      <w:t>88</w:t>
    </w:r>
    <w:r w:rsidR="00C35841" w:rsidRPr="006456EA">
      <w:rPr>
        <w:rFonts w:ascii="Source Sans Pro" w:hAnsi="Source Sans Pro" w:cs="Source Sans Pro"/>
        <w:color w:val="0087A8"/>
        <w:sz w:val="18"/>
        <w:szCs w:val="18"/>
      </w:rPr>
      <w:t xml:space="preserve"> </w:t>
    </w:r>
  </w:p>
  <w:p w14:paraId="5F7CBAE8" w14:textId="2F505F91" w:rsidR="001E1829" w:rsidRPr="006456EA" w:rsidRDefault="00965DEB" w:rsidP="001B786B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7A8"/>
        <w:sz w:val="18"/>
        <w:szCs w:val="18"/>
      </w:rPr>
    </w:pPr>
    <w:r>
      <w:rPr>
        <w:rFonts w:ascii="Source Sans Pro" w:hAnsi="Source Sans Pro" w:cs="Arial"/>
        <w:noProof/>
        <w:color w:val="0087A8"/>
        <w:sz w:val="18"/>
        <w:szCs w:val="18"/>
        <w:lang w:val="en-US" w:eastAsia="en-US"/>
      </w:rPr>
      <w:drawing>
        <wp:anchor distT="0" distB="0" distL="114300" distR="114300" simplePos="0" relativeHeight="251673600" behindDoc="0" locked="0" layoutInCell="1" allowOverlap="1" wp14:anchorId="5D69998A" wp14:editId="68FB5133">
          <wp:simplePos x="0" y="0"/>
          <wp:positionH relativeFrom="page">
            <wp:posOffset>4788535</wp:posOffset>
          </wp:positionH>
          <wp:positionV relativeFrom="page">
            <wp:posOffset>10196195</wp:posOffset>
          </wp:positionV>
          <wp:extent cx="1947600" cy="100800"/>
          <wp:effectExtent l="0" t="0" r="0" b="1270"/>
          <wp:wrapNone/>
          <wp:docPr id="47" name="Grafi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Grafik 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600" cy="1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04A5">
      <w:rPr>
        <w:rFonts w:ascii="Source Sans Pro" w:hAnsi="Source Sans Pro" w:cs="Source Sans Pro"/>
        <w:color w:val="0087A8"/>
        <w:sz w:val="18"/>
        <w:szCs w:val="18"/>
      </w:rPr>
      <w:t>Katharina Koester</w:t>
    </w:r>
    <w:r w:rsidR="00C35841" w:rsidRPr="006456EA">
      <w:rPr>
        <w:rFonts w:ascii="Source Sans Pro" w:hAnsi="Source Sans Pro" w:cs="Source Sans Pro"/>
        <w:color w:val="0087A8"/>
        <w:sz w:val="18"/>
        <w:szCs w:val="18"/>
      </w:rPr>
      <w:tab/>
      <w:t>presse@germanpropertypartners.de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D1D2D" w14:textId="77777777" w:rsidR="00E27DEF" w:rsidRDefault="00E27DEF">
      <w:r>
        <w:separator/>
      </w:r>
    </w:p>
  </w:footnote>
  <w:footnote w:type="continuationSeparator" w:id="0">
    <w:p w14:paraId="76B94CF8" w14:textId="77777777" w:rsidR="00E27DEF" w:rsidRDefault="00E27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9AE73" w14:textId="5A8CA290" w:rsidR="004D2CD0" w:rsidRDefault="00965DEB" w:rsidP="004D2CD0">
    <w:pPr>
      <w:pStyle w:val="Kopfzeile"/>
      <w:tabs>
        <w:tab w:val="clear" w:pos="4536"/>
        <w:tab w:val="clear" w:pos="9072"/>
        <w:tab w:val="left" w:pos="7938"/>
      </w:tabs>
      <w:ind w:right="-2043"/>
    </w:pPr>
    <w:r w:rsidRPr="00965DEB">
      <w:rPr>
        <w:noProof/>
        <w:lang w:val="en-US" w:eastAsia="en-US"/>
      </w:rPr>
      <w:drawing>
        <wp:anchor distT="0" distB="0" distL="114300" distR="114300" simplePos="0" relativeHeight="251675648" behindDoc="0" locked="0" layoutInCell="1" allowOverlap="1" wp14:anchorId="08033756" wp14:editId="605ECF66">
          <wp:simplePos x="0" y="0"/>
          <wp:positionH relativeFrom="page">
            <wp:posOffset>5995035</wp:posOffset>
          </wp:positionH>
          <wp:positionV relativeFrom="page">
            <wp:posOffset>100965</wp:posOffset>
          </wp:positionV>
          <wp:extent cx="828000" cy="1065600"/>
          <wp:effectExtent l="0" t="0" r="0" b="127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Grafik 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2CD0">
      <w:tab/>
    </w:r>
  </w:p>
  <w:p w14:paraId="1736273E" w14:textId="0051BB57" w:rsidR="004D2CD0" w:rsidRDefault="004D2CD0" w:rsidP="004D2CD0">
    <w:pPr>
      <w:pStyle w:val="Kopfzeile"/>
      <w:tabs>
        <w:tab w:val="clear" w:pos="4536"/>
        <w:tab w:val="clear" w:pos="9072"/>
        <w:tab w:val="left" w:pos="7938"/>
      </w:tabs>
      <w:ind w:right="-1985"/>
    </w:pPr>
  </w:p>
  <w:p w14:paraId="138C2CDC" w14:textId="18B83CBB" w:rsidR="00C41C74" w:rsidRDefault="00BB0F85" w:rsidP="001E5503">
    <w:pPr>
      <w:pStyle w:val="Kopfzeile"/>
      <w:tabs>
        <w:tab w:val="clear" w:pos="4536"/>
        <w:tab w:val="clear" w:pos="9072"/>
        <w:tab w:val="left" w:pos="7938"/>
      </w:tabs>
      <w:ind w:right="-1985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36E0A73C" wp14:editId="0C60B6D8">
              <wp:simplePos x="0" y="0"/>
              <wp:positionH relativeFrom="column">
                <wp:posOffset>-26035</wp:posOffset>
              </wp:positionH>
              <wp:positionV relativeFrom="page">
                <wp:posOffset>1332865</wp:posOffset>
              </wp:positionV>
              <wp:extent cx="685800" cy="601345"/>
              <wp:effectExtent l="0" t="0" r="0" b="0"/>
              <wp:wrapNone/>
              <wp:docPr id="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601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444D80" id="Rectangle 5" o:spid="_x0000_s1026" style="position:absolute;margin-left:-2.05pt;margin-top:104.95pt;width:54pt;height:4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" o:allowincell="f" filled="f" stroked="f" strokeweight="0">
              <w10:wrap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5C617" w14:textId="0096DDD3" w:rsidR="00C41C74" w:rsidRDefault="007B33CE" w:rsidP="009F28F5">
    <w:pPr>
      <w:pStyle w:val="Kopfzeile"/>
      <w:tabs>
        <w:tab w:val="clear" w:pos="4536"/>
        <w:tab w:val="clear" w:pos="9072"/>
        <w:tab w:val="left" w:pos="7938"/>
      </w:tabs>
      <w:ind w:right="-2043"/>
    </w:pPr>
    <w:r>
      <w:rPr>
        <w:noProof/>
        <w:lang w:val="en-US" w:eastAsia="en-US"/>
      </w:rPr>
      <w:drawing>
        <wp:anchor distT="0" distB="0" distL="114300" distR="114300" simplePos="0" relativeHeight="251654143" behindDoc="0" locked="0" layoutInCell="1" allowOverlap="1" wp14:anchorId="5CC17046" wp14:editId="66798E8E">
          <wp:simplePos x="0" y="0"/>
          <wp:positionH relativeFrom="page">
            <wp:posOffset>5995035</wp:posOffset>
          </wp:positionH>
          <wp:positionV relativeFrom="page">
            <wp:posOffset>102235</wp:posOffset>
          </wp:positionV>
          <wp:extent cx="828000" cy="1065600"/>
          <wp:effectExtent l="0" t="0" r="0" b="1270"/>
          <wp:wrapNone/>
          <wp:docPr id="45" name="Grafi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Grafik 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471E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6432" behindDoc="0" locked="1" layoutInCell="0" allowOverlap="1" wp14:anchorId="7A25BCC8" wp14:editId="12A8C88E">
              <wp:simplePos x="0" y="0"/>
              <wp:positionH relativeFrom="page">
                <wp:posOffset>828040</wp:posOffset>
              </wp:positionH>
              <wp:positionV relativeFrom="page">
                <wp:posOffset>617220</wp:posOffset>
              </wp:positionV>
              <wp:extent cx="3333600" cy="288000"/>
              <wp:effectExtent l="0" t="0" r="6985" b="4445"/>
              <wp:wrapNone/>
              <wp:docPr id="18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33600" cy="28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5B4E771" w14:textId="77777777" w:rsidR="000E6577" w:rsidRDefault="000E6577" w:rsidP="000E6577">
                          <w:pPr>
                            <w:pStyle w:val="EinfAbs"/>
                            <w:rPr>
                              <w:rFonts w:ascii="Source Sans Pro" w:hAnsi="Source Sans Pro" w:cs="Source Sans Pro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Source Sans Pro" w:hAnsi="Source Sans Pro" w:cs="Source Sans Pro"/>
                              <w:sz w:val="32"/>
                              <w:szCs w:val="32"/>
                            </w:rPr>
                            <w:t>PRESSEMITTEILUNG</w:t>
                          </w:r>
                          <w:r>
                            <w:rPr>
                              <w:rFonts w:ascii="Source Sans Pro" w:hAnsi="Source Sans Pro" w:cs="Source Sans Pro"/>
                              <w:sz w:val="32"/>
                              <w:szCs w:val="32"/>
                            </w:rPr>
                            <w:br/>
                          </w:r>
                        </w:p>
                        <w:p w14:paraId="10D6939D" w14:textId="4BFF8C44" w:rsidR="00E775AC" w:rsidRPr="00B922EE" w:rsidRDefault="00E775AC" w:rsidP="00E775AC">
                          <w:pPr>
                            <w:pStyle w:val="AbsenderArial2"/>
                            <w:spacing w:line="240" w:lineRule="auto"/>
                            <w:rPr>
                              <w:rFonts w:ascii="HelveticaNeueLT Pro 55 Roman" w:hAnsi="HelveticaNeueLT Pro 55 Roman" w:cs="Arial"/>
                              <w:b w:val="0"/>
                              <w:color w:val="002639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25BCC8" id="Rectangle 6" o:spid="_x0000_s1026" style="position:absolute;margin-left:65.2pt;margin-top:48.6pt;width:262.5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" o:allowincell="f" filled="f" stroked="f" strokeweight="0">
              <v:textbox inset="0,0,0,0">
                <w:txbxContent>
                  <w:p w14:paraId="25B4E771" w14:textId="77777777" w:rsidR="000E6577" w:rsidRDefault="000E6577" w:rsidP="000E6577">
                    <w:pPr>
                      <w:pStyle w:val="EinfAbs"/>
                      <w:rPr>
                        <w:rFonts w:ascii="Source Sans Pro" w:hAnsi="Source Sans Pro" w:cs="Source Sans Pro"/>
                        <w:sz w:val="32"/>
                        <w:szCs w:val="32"/>
                      </w:rPr>
                    </w:pPr>
                    <w:r>
                      <w:rPr>
                        <w:rFonts w:ascii="Source Sans Pro" w:hAnsi="Source Sans Pro" w:cs="Source Sans Pro"/>
                        <w:sz w:val="32"/>
                        <w:szCs w:val="32"/>
                      </w:rPr>
                      <w:t>PRESSEMITTEILUNG</w:t>
                    </w:r>
                    <w:r>
                      <w:rPr>
                        <w:rFonts w:ascii="Source Sans Pro" w:hAnsi="Source Sans Pro" w:cs="Source Sans Pro"/>
                        <w:sz w:val="32"/>
                        <w:szCs w:val="32"/>
                      </w:rPr>
                      <w:br/>
                    </w:r>
                  </w:p>
                  <w:p w14:paraId="10D6939D" w14:textId="4BFF8C44" w:rsidR="00E775AC" w:rsidRPr="00B922EE" w:rsidRDefault="00E775AC" w:rsidP="00E775AC">
                    <w:pPr>
                      <w:pStyle w:val="AbsenderArial2"/>
                      <w:spacing w:line="240" w:lineRule="auto"/>
                      <w:rPr>
                        <w:rFonts w:ascii="HelveticaNeueLT Pro 55 Roman" w:hAnsi="HelveticaNeueLT Pro 55 Roman" w:cs="Arial"/>
                        <w:b w:val="0"/>
                        <w:color w:val="002639"/>
                        <w:sz w:val="36"/>
                        <w:szCs w:val="36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 w:rsidR="009F28F5">
      <w:tab/>
    </w:r>
  </w:p>
  <w:p w14:paraId="3EAD45CF" w14:textId="5FC2DEDD" w:rsidR="004D2CD0" w:rsidRDefault="004D2CD0" w:rsidP="0005029E">
    <w:r>
      <w:tab/>
    </w:r>
  </w:p>
  <w:p w14:paraId="185BEDCB" w14:textId="4F512084" w:rsidR="004D2CD0" w:rsidRDefault="004D2CD0" w:rsidP="004D2CD0">
    <w:pPr>
      <w:pStyle w:val="Kopfzeile"/>
      <w:tabs>
        <w:tab w:val="clear" w:pos="4536"/>
        <w:tab w:val="clear" w:pos="9072"/>
        <w:tab w:val="left" w:pos="7938"/>
      </w:tabs>
      <w:ind w:right="-1985"/>
    </w:pPr>
    <w:r>
      <w:tab/>
    </w:r>
  </w:p>
  <w:p w14:paraId="19BE4530" w14:textId="5BD8E383" w:rsidR="004D2CD0" w:rsidRDefault="004D2CD0" w:rsidP="004D2CD0">
    <w:pPr>
      <w:pStyle w:val="Kopfzeile"/>
      <w:tabs>
        <w:tab w:val="clear" w:pos="4536"/>
        <w:tab w:val="clear" w:pos="9072"/>
        <w:tab w:val="left" w:pos="6265"/>
      </w:tabs>
      <w:ind w:right="-2043"/>
    </w:pPr>
  </w:p>
  <w:p w14:paraId="3370FE02" w14:textId="755B0682" w:rsidR="00C41C74" w:rsidRPr="00DA6836" w:rsidRDefault="00DA6836" w:rsidP="00FC69D9">
    <w:pPr>
      <w:pStyle w:val="Kopfzeile"/>
      <w:tabs>
        <w:tab w:val="clear" w:pos="4536"/>
        <w:tab w:val="clear" w:pos="9072"/>
        <w:tab w:val="left" w:pos="7230"/>
        <w:tab w:val="left" w:pos="8445"/>
      </w:tabs>
      <w:ind w:right="-2043"/>
      <w:rPr>
        <w:b/>
      </w:rPr>
    </w:pPr>
    <w:r>
      <w:tab/>
    </w:r>
  </w:p>
  <w:p w14:paraId="10CD55B7" w14:textId="6876FB57" w:rsidR="00C41C74" w:rsidRDefault="00F5697E">
    <w:pPr>
      <w:pStyle w:val="Kopfzeile"/>
      <w:tabs>
        <w:tab w:val="clear" w:pos="4536"/>
        <w:tab w:val="clear" w:pos="9072"/>
        <w:tab w:val="left" w:pos="6265"/>
      </w:tabs>
      <w:ind w:right="-2043"/>
      <w:rPr>
        <w:rFonts w:ascii="Arial" w:hAnsi="Arial"/>
        <w:sz w:val="15"/>
      </w:rPr>
    </w:pPr>
    <w:r>
      <w:rPr>
        <w:rFonts w:ascii="Arial" w:hAnsi="Arial"/>
        <w:sz w:val="15"/>
      </w:rPr>
      <w:softHyphen/>
    </w:r>
    <w:r>
      <w:rPr>
        <w:rFonts w:ascii="Arial" w:hAnsi="Arial"/>
        <w:sz w:val="15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E87"/>
    <w:multiLevelType w:val="hybridMultilevel"/>
    <w:tmpl w:val="D2941DE4"/>
    <w:lvl w:ilvl="0" w:tplc="E22A0C4A">
      <w:start w:val="37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B53BB"/>
    <w:multiLevelType w:val="hybridMultilevel"/>
    <w:tmpl w:val="A8BA5CB4"/>
    <w:lvl w:ilvl="0" w:tplc="8778A3DC">
      <w:start w:val="20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C71D1"/>
    <w:multiLevelType w:val="hybridMultilevel"/>
    <w:tmpl w:val="E230CBE0"/>
    <w:lvl w:ilvl="0" w:tplc="D4EABFE2">
      <w:start w:val="4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C0E33"/>
    <w:multiLevelType w:val="hybridMultilevel"/>
    <w:tmpl w:val="2BE8E350"/>
    <w:lvl w:ilvl="0" w:tplc="B82AA302">
      <w:start w:val="20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11575"/>
    <w:multiLevelType w:val="hybridMultilevel"/>
    <w:tmpl w:val="97CACF44"/>
    <w:lvl w:ilvl="0" w:tplc="8AFA2B9E">
      <w:start w:val="4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C36C0"/>
    <w:multiLevelType w:val="hybridMultilevel"/>
    <w:tmpl w:val="51220B10"/>
    <w:lvl w:ilvl="0" w:tplc="782E1AFA">
      <w:start w:val="20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F39BE"/>
    <w:multiLevelType w:val="hybridMultilevel"/>
    <w:tmpl w:val="E62CA4CA"/>
    <w:lvl w:ilvl="0" w:tplc="8AFA2B9E">
      <w:start w:val="4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1327B"/>
    <w:multiLevelType w:val="hybridMultilevel"/>
    <w:tmpl w:val="87A4293C"/>
    <w:lvl w:ilvl="0" w:tplc="7BC0E0C6">
      <w:start w:val="4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030DF"/>
    <w:multiLevelType w:val="hybridMultilevel"/>
    <w:tmpl w:val="C9B00D30"/>
    <w:lvl w:ilvl="0" w:tplc="59D258AA">
      <w:start w:val="20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C230A"/>
    <w:multiLevelType w:val="hybridMultilevel"/>
    <w:tmpl w:val="C442B6BA"/>
    <w:lvl w:ilvl="0" w:tplc="5A6C3342">
      <w:start w:val="20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813C1"/>
    <w:multiLevelType w:val="hybridMultilevel"/>
    <w:tmpl w:val="05F49C50"/>
    <w:lvl w:ilvl="0" w:tplc="82300CEC">
      <w:start w:val="20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0B6D1F"/>
    <w:multiLevelType w:val="hybridMultilevel"/>
    <w:tmpl w:val="456A7860"/>
    <w:lvl w:ilvl="0" w:tplc="B774640A">
      <w:start w:val="20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4D78BD"/>
    <w:multiLevelType w:val="hybridMultilevel"/>
    <w:tmpl w:val="904C4D60"/>
    <w:lvl w:ilvl="0" w:tplc="51F0D846">
      <w:start w:val="37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EC4963"/>
    <w:multiLevelType w:val="hybridMultilevel"/>
    <w:tmpl w:val="751880B2"/>
    <w:lvl w:ilvl="0" w:tplc="AF12DF7E">
      <w:start w:val="20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E75CD"/>
    <w:multiLevelType w:val="hybridMultilevel"/>
    <w:tmpl w:val="621E74A6"/>
    <w:lvl w:ilvl="0" w:tplc="66A2EFCE">
      <w:start w:val="4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985149"/>
    <w:multiLevelType w:val="hybridMultilevel"/>
    <w:tmpl w:val="EDEAD9E0"/>
    <w:lvl w:ilvl="0" w:tplc="2782346E"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629091">
    <w:abstractNumId w:val="15"/>
  </w:num>
  <w:num w:numId="2" w16cid:durableId="115179106">
    <w:abstractNumId w:val="13"/>
  </w:num>
  <w:num w:numId="3" w16cid:durableId="367530461">
    <w:abstractNumId w:val="10"/>
  </w:num>
  <w:num w:numId="4" w16cid:durableId="547373525">
    <w:abstractNumId w:val="3"/>
  </w:num>
  <w:num w:numId="5" w16cid:durableId="1721974682">
    <w:abstractNumId w:val="0"/>
  </w:num>
  <w:num w:numId="6" w16cid:durableId="933510833">
    <w:abstractNumId w:val="12"/>
  </w:num>
  <w:num w:numId="7" w16cid:durableId="2082407070">
    <w:abstractNumId w:val="11"/>
  </w:num>
  <w:num w:numId="8" w16cid:durableId="1054426271">
    <w:abstractNumId w:val="9"/>
  </w:num>
  <w:num w:numId="9" w16cid:durableId="1156259663">
    <w:abstractNumId w:val="1"/>
  </w:num>
  <w:num w:numId="10" w16cid:durableId="1650403986">
    <w:abstractNumId w:val="5"/>
  </w:num>
  <w:num w:numId="11" w16cid:durableId="819737573">
    <w:abstractNumId w:val="8"/>
  </w:num>
  <w:num w:numId="12" w16cid:durableId="577330081">
    <w:abstractNumId w:val="14"/>
  </w:num>
  <w:num w:numId="13" w16cid:durableId="404500121">
    <w:abstractNumId w:val="7"/>
  </w:num>
  <w:num w:numId="14" w16cid:durableId="1686780997">
    <w:abstractNumId w:val="2"/>
  </w:num>
  <w:num w:numId="15" w16cid:durableId="1307399268">
    <w:abstractNumId w:val="4"/>
  </w:num>
  <w:num w:numId="16" w16cid:durableId="9161346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F85"/>
    <w:rsid w:val="00001F24"/>
    <w:rsid w:val="000021F4"/>
    <w:rsid w:val="00004E93"/>
    <w:rsid w:val="000136D7"/>
    <w:rsid w:val="00013C9D"/>
    <w:rsid w:val="00013D73"/>
    <w:rsid w:val="00020AC9"/>
    <w:rsid w:val="00027EA3"/>
    <w:rsid w:val="00032028"/>
    <w:rsid w:val="00034121"/>
    <w:rsid w:val="000440EB"/>
    <w:rsid w:val="0005029E"/>
    <w:rsid w:val="0005241D"/>
    <w:rsid w:val="000610DA"/>
    <w:rsid w:val="000645A4"/>
    <w:rsid w:val="00065685"/>
    <w:rsid w:val="000663B5"/>
    <w:rsid w:val="000665E2"/>
    <w:rsid w:val="00066A8A"/>
    <w:rsid w:val="00070B06"/>
    <w:rsid w:val="00072A30"/>
    <w:rsid w:val="00073A63"/>
    <w:rsid w:val="00077E8A"/>
    <w:rsid w:val="00082C59"/>
    <w:rsid w:val="0008376F"/>
    <w:rsid w:val="00091562"/>
    <w:rsid w:val="00091D49"/>
    <w:rsid w:val="00091E5B"/>
    <w:rsid w:val="00092118"/>
    <w:rsid w:val="0009382E"/>
    <w:rsid w:val="000A072C"/>
    <w:rsid w:val="000A4FBB"/>
    <w:rsid w:val="000A62B7"/>
    <w:rsid w:val="000A6A78"/>
    <w:rsid w:val="000B2DF4"/>
    <w:rsid w:val="000B310B"/>
    <w:rsid w:val="000B4A9D"/>
    <w:rsid w:val="000C370A"/>
    <w:rsid w:val="000C3A22"/>
    <w:rsid w:val="000D5A87"/>
    <w:rsid w:val="000D6F1F"/>
    <w:rsid w:val="000D7B09"/>
    <w:rsid w:val="000D7FD3"/>
    <w:rsid w:val="000E194E"/>
    <w:rsid w:val="000E4F2C"/>
    <w:rsid w:val="000E6577"/>
    <w:rsid w:val="000E694E"/>
    <w:rsid w:val="000E753B"/>
    <w:rsid w:val="000F57F1"/>
    <w:rsid w:val="000F7B51"/>
    <w:rsid w:val="001104E2"/>
    <w:rsid w:val="00110917"/>
    <w:rsid w:val="00110E1D"/>
    <w:rsid w:val="00110E37"/>
    <w:rsid w:val="00113D8C"/>
    <w:rsid w:val="00120624"/>
    <w:rsid w:val="0012156C"/>
    <w:rsid w:val="00123510"/>
    <w:rsid w:val="00124E02"/>
    <w:rsid w:val="00131DC5"/>
    <w:rsid w:val="001340F8"/>
    <w:rsid w:val="00146388"/>
    <w:rsid w:val="00150092"/>
    <w:rsid w:val="001550FE"/>
    <w:rsid w:val="00155828"/>
    <w:rsid w:val="00156AF6"/>
    <w:rsid w:val="00161817"/>
    <w:rsid w:val="00162CC4"/>
    <w:rsid w:val="001647B3"/>
    <w:rsid w:val="00166ED2"/>
    <w:rsid w:val="00167D63"/>
    <w:rsid w:val="00176433"/>
    <w:rsid w:val="0017673F"/>
    <w:rsid w:val="0018092C"/>
    <w:rsid w:val="0018116D"/>
    <w:rsid w:val="00184BB0"/>
    <w:rsid w:val="001963BB"/>
    <w:rsid w:val="001A22F5"/>
    <w:rsid w:val="001B786B"/>
    <w:rsid w:val="001C32DB"/>
    <w:rsid w:val="001C518B"/>
    <w:rsid w:val="001D00A5"/>
    <w:rsid w:val="001D35E8"/>
    <w:rsid w:val="001E1829"/>
    <w:rsid w:val="001E5503"/>
    <w:rsid w:val="001E7716"/>
    <w:rsid w:val="001F218D"/>
    <w:rsid w:val="001F35E1"/>
    <w:rsid w:val="00200C83"/>
    <w:rsid w:val="002014F7"/>
    <w:rsid w:val="00202DD3"/>
    <w:rsid w:val="002120A7"/>
    <w:rsid w:val="0022694F"/>
    <w:rsid w:val="00235393"/>
    <w:rsid w:val="00252F4F"/>
    <w:rsid w:val="00264A0A"/>
    <w:rsid w:val="00265CA3"/>
    <w:rsid w:val="00270F3A"/>
    <w:rsid w:val="0028070D"/>
    <w:rsid w:val="00282ED8"/>
    <w:rsid w:val="00290672"/>
    <w:rsid w:val="002A09C2"/>
    <w:rsid w:val="002A480D"/>
    <w:rsid w:val="002A6846"/>
    <w:rsid w:val="002A785E"/>
    <w:rsid w:val="002A7D58"/>
    <w:rsid w:val="002B63FD"/>
    <w:rsid w:val="002B749A"/>
    <w:rsid w:val="002C52C5"/>
    <w:rsid w:val="002E0B4A"/>
    <w:rsid w:val="002E1267"/>
    <w:rsid w:val="002E1C45"/>
    <w:rsid w:val="002E5673"/>
    <w:rsid w:val="002F461A"/>
    <w:rsid w:val="002F5C84"/>
    <w:rsid w:val="002F73A8"/>
    <w:rsid w:val="002F786B"/>
    <w:rsid w:val="0030528A"/>
    <w:rsid w:val="00306932"/>
    <w:rsid w:val="003152C9"/>
    <w:rsid w:val="00315870"/>
    <w:rsid w:val="00316196"/>
    <w:rsid w:val="003250ED"/>
    <w:rsid w:val="00341D84"/>
    <w:rsid w:val="003424EC"/>
    <w:rsid w:val="0034454C"/>
    <w:rsid w:val="00344FCB"/>
    <w:rsid w:val="00355438"/>
    <w:rsid w:val="00355ED1"/>
    <w:rsid w:val="00363075"/>
    <w:rsid w:val="00364C2C"/>
    <w:rsid w:val="00366AF3"/>
    <w:rsid w:val="00367F4F"/>
    <w:rsid w:val="00370785"/>
    <w:rsid w:val="00371640"/>
    <w:rsid w:val="00374F87"/>
    <w:rsid w:val="00375256"/>
    <w:rsid w:val="00392E9E"/>
    <w:rsid w:val="003948FA"/>
    <w:rsid w:val="003A01DF"/>
    <w:rsid w:val="003A463F"/>
    <w:rsid w:val="003B4C22"/>
    <w:rsid w:val="003B63A8"/>
    <w:rsid w:val="003D36F0"/>
    <w:rsid w:val="003D3F73"/>
    <w:rsid w:val="003D4F29"/>
    <w:rsid w:val="003D5215"/>
    <w:rsid w:val="003D5D91"/>
    <w:rsid w:val="003E772C"/>
    <w:rsid w:val="003F293B"/>
    <w:rsid w:val="003F5E07"/>
    <w:rsid w:val="003F6066"/>
    <w:rsid w:val="003F67DF"/>
    <w:rsid w:val="0040331F"/>
    <w:rsid w:val="00403C95"/>
    <w:rsid w:val="00404BCC"/>
    <w:rsid w:val="00405679"/>
    <w:rsid w:val="0041188F"/>
    <w:rsid w:val="0041324D"/>
    <w:rsid w:val="00423DAC"/>
    <w:rsid w:val="00425DBF"/>
    <w:rsid w:val="00426531"/>
    <w:rsid w:val="00430DA2"/>
    <w:rsid w:val="004329C6"/>
    <w:rsid w:val="004338CA"/>
    <w:rsid w:val="004343B1"/>
    <w:rsid w:val="00434EB9"/>
    <w:rsid w:val="00435737"/>
    <w:rsid w:val="00436DD0"/>
    <w:rsid w:val="00443049"/>
    <w:rsid w:val="00453F14"/>
    <w:rsid w:val="00456442"/>
    <w:rsid w:val="00462200"/>
    <w:rsid w:val="00465A6E"/>
    <w:rsid w:val="004679E5"/>
    <w:rsid w:val="00474099"/>
    <w:rsid w:val="004804A5"/>
    <w:rsid w:val="00481D27"/>
    <w:rsid w:val="00486F74"/>
    <w:rsid w:val="00491CBC"/>
    <w:rsid w:val="004946A6"/>
    <w:rsid w:val="004956AE"/>
    <w:rsid w:val="004979AD"/>
    <w:rsid w:val="004A23D8"/>
    <w:rsid w:val="004A2A30"/>
    <w:rsid w:val="004A2D54"/>
    <w:rsid w:val="004A60FB"/>
    <w:rsid w:val="004B5CB6"/>
    <w:rsid w:val="004C616B"/>
    <w:rsid w:val="004D2CD0"/>
    <w:rsid w:val="004D30FB"/>
    <w:rsid w:val="004F09D7"/>
    <w:rsid w:val="004F1EDD"/>
    <w:rsid w:val="004F38BF"/>
    <w:rsid w:val="004F5262"/>
    <w:rsid w:val="004F6C7A"/>
    <w:rsid w:val="004F77D4"/>
    <w:rsid w:val="00500981"/>
    <w:rsid w:val="00501428"/>
    <w:rsid w:val="005045E7"/>
    <w:rsid w:val="00510C33"/>
    <w:rsid w:val="005122A0"/>
    <w:rsid w:val="005126C2"/>
    <w:rsid w:val="0052371C"/>
    <w:rsid w:val="005262E7"/>
    <w:rsid w:val="0054038E"/>
    <w:rsid w:val="0054593A"/>
    <w:rsid w:val="00545E14"/>
    <w:rsid w:val="00546BC8"/>
    <w:rsid w:val="00547877"/>
    <w:rsid w:val="00554C9F"/>
    <w:rsid w:val="005550A4"/>
    <w:rsid w:val="00557B57"/>
    <w:rsid w:val="00557C2F"/>
    <w:rsid w:val="005644BE"/>
    <w:rsid w:val="0057524E"/>
    <w:rsid w:val="00575A55"/>
    <w:rsid w:val="00583AC8"/>
    <w:rsid w:val="00584565"/>
    <w:rsid w:val="00593788"/>
    <w:rsid w:val="00593E99"/>
    <w:rsid w:val="005A5999"/>
    <w:rsid w:val="005B4909"/>
    <w:rsid w:val="005C25D5"/>
    <w:rsid w:val="005C47F7"/>
    <w:rsid w:val="005C4D07"/>
    <w:rsid w:val="005D0D0E"/>
    <w:rsid w:val="005D449F"/>
    <w:rsid w:val="005D46DE"/>
    <w:rsid w:val="005D73BE"/>
    <w:rsid w:val="005D748C"/>
    <w:rsid w:val="005E1C97"/>
    <w:rsid w:val="005E6515"/>
    <w:rsid w:val="005F1F6B"/>
    <w:rsid w:val="005F3B7B"/>
    <w:rsid w:val="005F5866"/>
    <w:rsid w:val="0060257F"/>
    <w:rsid w:val="00604E20"/>
    <w:rsid w:val="00604F63"/>
    <w:rsid w:val="00605657"/>
    <w:rsid w:val="00605989"/>
    <w:rsid w:val="00607CF6"/>
    <w:rsid w:val="00610BB3"/>
    <w:rsid w:val="00613713"/>
    <w:rsid w:val="006224FB"/>
    <w:rsid w:val="0062645E"/>
    <w:rsid w:val="0063115F"/>
    <w:rsid w:val="00632159"/>
    <w:rsid w:val="006363DA"/>
    <w:rsid w:val="006432C0"/>
    <w:rsid w:val="006456EA"/>
    <w:rsid w:val="00653983"/>
    <w:rsid w:val="006609C2"/>
    <w:rsid w:val="0066211C"/>
    <w:rsid w:val="00663D75"/>
    <w:rsid w:val="0066478F"/>
    <w:rsid w:val="00675E89"/>
    <w:rsid w:val="00695F46"/>
    <w:rsid w:val="006969F1"/>
    <w:rsid w:val="006A3C35"/>
    <w:rsid w:val="006A6D11"/>
    <w:rsid w:val="006B2259"/>
    <w:rsid w:val="006B3ECE"/>
    <w:rsid w:val="006C5754"/>
    <w:rsid w:val="006D03D9"/>
    <w:rsid w:val="006D6526"/>
    <w:rsid w:val="006E06BE"/>
    <w:rsid w:val="006E0EFC"/>
    <w:rsid w:val="006E674D"/>
    <w:rsid w:val="006E6770"/>
    <w:rsid w:val="006F154A"/>
    <w:rsid w:val="00701992"/>
    <w:rsid w:val="0070363C"/>
    <w:rsid w:val="00712023"/>
    <w:rsid w:val="007144E9"/>
    <w:rsid w:val="007145C9"/>
    <w:rsid w:val="00714A1F"/>
    <w:rsid w:val="00717328"/>
    <w:rsid w:val="00720309"/>
    <w:rsid w:val="0072073D"/>
    <w:rsid w:val="00742C04"/>
    <w:rsid w:val="0074571D"/>
    <w:rsid w:val="00750A05"/>
    <w:rsid w:val="00752C05"/>
    <w:rsid w:val="00761491"/>
    <w:rsid w:val="00767018"/>
    <w:rsid w:val="0077196D"/>
    <w:rsid w:val="00771C92"/>
    <w:rsid w:val="00772C91"/>
    <w:rsid w:val="00795586"/>
    <w:rsid w:val="00796EB2"/>
    <w:rsid w:val="00797DA3"/>
    <w:rsid w:val="007A4844"/>
    <w:rsid w:val="007A4BE6"/>
    <w:rsid w:val="007A63D9"/>
    <w:rsid w:val="007B33CE"/>
    <w:rsid w:val="007B7B81"/>
    <w:rsid w:val="007C1429"/>
    <w:rsid w:val="007C4CC4"/>
    <w:rsid w:val="007C5441"/>
    <w:rsid w:val="007D1495"/>
    <w:rsid w:val="007D5A52"/>
    <w:rsid w:val="007D5CA1"/>
    <w:rsid w:val="007D75C8"/>
    <w:rsid w:val="007E2C66"/>
    <w:rsid w:val="007F1021"/>
    <w:rsid w:val="007F12A3"/>
    <w:rsid w:val="007F1BD3"/>
    <w:rsid w:val="007F2DBB"/>
    <w:rsid w:val="007F7E7C"/>
    <w:rsid w:val="00801725"/>
    <w:rsid w:val="00806C63"/>
    <w:rsid w:val="00806D63"/>
    <w:rsid w:val="00811278"/>
    <w:rsid w:val="00815243"/>
    <w:rsid w:val="008165D8"/>
    <w:rsid w:val="00816613"/>
    <w:rsid w:val="00821A81"/>
    <w:rsid w:val="00825F63"/>
    <w:rsid w:val="008322D8"/>
    <w:rsid w:val="00837E5B"/>
    <w:rsid w:val="00851067"/>
    <w:rsid w:val="00855329"/>
    <w:rsid w:val="00856A7C"/>
    <w:rsid w:val="0086041F"/>
    <w:rsid w:val="00860AF4"/>
    <w:rsid w:val="00872A06"/>
    <w:rsid w:val="008739E7"/>
    <w:rsid w:val="00874645"/>
    <w:rsid w:val="00881685"/>
    <w:rsid w:val="008844D9"/>
    <w:rsid w:val="00891C3A"/>
    <w:rsid w:val="00895E64"/>
    <w:rsid w:val="008A3A3B"/>
    <w:rsid w:val="008A7188"/>
    <w:rsid w:val="008B02BC"/>
    <w:rsid w:val="008E0A69"/>
    <w:rsid w:val="008E2B64"/>
    <w:rsid w:val="008E55D3"/>
    <w:rsid w:val="008F2058"/>
    <w:rsid w:val="008F3731"/>
    <w:rsid w:val="00904A2B"/>
    <w:rsid w:val="00904B69"/>
    <w:rsid w:val="009064CE"/>
    <w:rsid w:val="0090663A"/>
    <w:rsid w:val="00910AD1"/>
    <w:rsid w:val="00912233"/>
    <w:rsid w:val="009123C0"/>
    <w:rsid w:val="00914021"/>
    <w:rsid w:val="00917410"/>
    <w:rsid w:val="0092175E"/>
    <w:rsid w:val="0092334A"/>
    <w:rsid w:val="009264D0"/>
    <w:rsid w:val="0093360A"/>
    <w:rsid w:val="009358D3"/>
    <w:rsid w:val="00942902"/>
    <w:rsid w:val="00946FD1"/>
    <w:rsid w:val="00955433"/>
    <w:rsid w:val="00955764"/>
    <w:rsid w:val="00957A6F"/>
    <w:rsid w:val="00962D9D"/>
    <w:rsid w:val="009649C2"/>
    <w:rsid w:val="00965DEB"/>
    <w:rsid w:val="00966A04"/>
    <w:rsid w:val="009738DE"/>
    <w:rsid w:val="00980BEB"/>
    <w:rsid w:val="00980D94"/>
    <w:rsid w:val="00982F7B"/>
    <w:rsid w:val="009843D4"/>
    <w:rsid w:val="00986361"/>
    <w:rsid w:val="009867A7"/>
    <w:rsid w:val="0099076D"/>
    <w:rsid w:val="0099690F"/>
    <w:rsid w:val="00996D38"/>
    <w:rsid w:val="00997F89"/>
    <w:rsid w:val="009A10C6"/>
    <w:rsid w:val="009A4503"/>
    <w:rsid w:val="009B008F"/>
    <w:rsid w:val="009B432F"/>
    <w:rsid w:val="009C2D11"/>
    <w:rsid w:val="009C3FDE"/>
    <w:rsid w:val="009C4CE9"/>
    <w:rsid w:val="009E01E7"/>
    <w:rsid w:val="009F2053"/>
    <w:rsid w:val="009F28F5"/>
    <w:rsid w:val="009F6AD3"/>
    <w:rsid w:val="00A06310"/>
    <w:rsid w:val="00A07846"/>
    <w:rsid w:val="00A17CA6"/>
    <w:rsid w:val="00A22C2C"/>
    <w:rsid w:val="00A22FBF"/>
    <w:rsid w:val="00A2670C"/>
    <w:rsid w:val="00A3040C"/>
    <w:rsid w:val="00A346EF"/>
    <w:rsid w:val="00A53E9E"/>
    <w:rsid w:val="00A54087"/>
    <w:rsid w:val="00A57024"/>
    <w:rsid w:val="00A61757"/>
    <w:rsid w:val="00A63939"/>
    <w:rsid w:val="00A65690"/>
    <w:rsid w:val="00A65FB0"/>
    <w:rsid w:val="00A66A23"/>
    <w:rsid w:val="00A743C6"/>
    <w:rsid w:val="00A8148C"/>
    <w:rsid w:val="00A831E7"/>
    <w:rsid w:val="00A85640"/>
    <w:rsid w:val="00A91DC1"/>
    <w:rsid w:val="00A9412B"/>
    <w:rsid w:val="00AA751B"/>
    <w:rsid w:val="00AB536E"/>
    <w:rsid w:val="00AB69AD"/>
    <w:rsid w:val="00AC6877"/>
    <w:rsid w:val="00AC6B15"/>
    <w:rsid w:val="00AD2569"/>
    <w:rsid w:val="00AD4124"/>
    <w:rsid w:val="00AD7DB5"/>
    <w:rsid w:val="00AE0761"/>
    <w:rsid w:val="00AE07A3"/>
    <w:rsid w:val="00AE0E7B"/>
    <w:rsid w:val="00AE2412"/>
    <w:rsid w:val="00AE318F"/>
    <w:rsid w:val="00AF0066"/>
    <w:rsid w:val="00AF237D"/>
    <w:rsid w:val="00AF27B7"/>
    <w:rsid w:val="00AF63B5"/>
    <w:rsid w:val="00B005BD"/>
    <w:rsid w:val="00B03444"/>
    <w:rsid w:val="00B04F23"/>
    <w:rsid w:val="00B062A5"/>
    <w:rsid w:val="00B14C16"/>
    <w:rsid w:val="00B14E68"/>
    <w:rsid w:val="00B23669"/>
    <w:rsid w:val="00B24860"/>
    <w:rsid w:val="00B258C6"/>
    <w:rsid w:val="00B33789"/>
    <w:rsid w:val="00B46BC1"/>
    <w:rsid w:val="00B50080"/>
    <w:rsid w:val="00B56AFB"/>
    <w:rsid w:val="00B576A5"/>
    <w:rsid w:val="00B862DB"/>
    <w:rsid w:val="00B90D3E"/>
    <w:rsid w:val="00B91E08"/>
    <w:rsid w:val="00B922EE"/>
    <w:rsid w:val="00B9596E"/>
    <w:rsid w:val="00BA2FA0"/>
    <w:rsid w:val="00BA3D8E"/>
    <w:rsid w:val="00BA40B4"/>
    <w:rsid w:val="00BA49EB"/>
    <w:rsid w:val="00BB0F85"/>
    <w:rsid w:val="00BC0132"/>
    <w:rsid w:val="00BC0598"/>
    <w:rsid w:val="00BC6B47"/>
    <w:rsid w:val="00BD0526"/>
    <w:rsid w:val="00BD2784"/>
    <w:rsid w:val="00BD46B2"/>
    <w:rsid w:val="00BE4710"/>
    <w:rsid w:val="00BF11C6"/>
    <w:rsid w:val="00C11004"/>
    <w:rsid w:val="00C111FE"/>
    <w:rsid w:val="00C1290F"/>
    <w:rsid w:val="00C1497F"/>
    <w:rsid w:val="00C20B9C"/>
    <w:rsid w:val="00C2509E"/>
    <w:rsid w:val="00C267B2"/>
    <w:rsid w:val="00C2778C"/>
    <w:rsid w:val="00C27F6A"/>
    <w:rsid w:val="00C30C14"/>
    <w:rsid w:val="00C3159C"/>
    <w:rsid w:val="00C3502E"/>
    <w:rsid w:val="00C35841"/>
    <w:rsid w:val="00C35A5C"/>
    <w:rsid w:val="00C368C2"/>
    <w:rsid w:val="00C409C6"/>
    <w:rsid w:val="00C41C74"/>
    <w:rsid w:val="00C4260E"/>
    <w:rsid w:val="00C43C76"/>
    <w:rsid w:val="00C47B63"/>
    <w:rsid w:val="00C47F8B"/>
    <w:rsid w:val="00C50567"/>
    <w:rsid w:val="00C732CF"/>
    <w:rsid w:val="00C742DD"/>
    <w:rsid w:val="00C846F6"/>
    <w:rsid w:val="00C96048"/>
    <w:rsid w:val="00C96214"/>
    <w:rsid w:val="00C96D6E"/>
    <w:rsid w:val="00C9797F"/>
    <w:rsid w:val="00C97D51"/>
    <w:rsid w:val="00CA1FB9"/>
    <w:rsid w:val="00CA490B"/>
    <w:rsid w:val="00CA73C1"/>
    <w:rsid w:val="00CA79D7"/>
    <w:rsid w:val="00CB7BE6"/>
    <w:rsid w:val="00CC0E23"/>
    <w:rsid w:val="00CC40B9"/>
    <w:rsid w:val="00CD7E39"/>
    <w:rsid w:val="00CE2EFB"/>
    <w:rsid w:val="00CE5A10"/>
    <w:rsid w:val="00CF2D6E"/>
    <w:rsid w:val="00D02FD8"/>
    <w:rsid w:val="00D10832"/>
    <w:rsid w:val="00D11A3A"/>
    <w:rsid w:val="00D3104C"/>
    <w:rsid w:val="00D42152"/>
    <w:rsid w:val="00D43D89"/>
    <w:rsid w:val="00D47ECE"/>
    <w:rsid w:val="00D50FDD"/>
    <w:rsid w:val="00D513E4"/>
    <w:rsid w:val="00D53B8E"/>
    <w:rsid w:val="00D56A51"/>
    <w:rsid w:val="00D602AC"/>
    <w:rsid w:val="00D70824"/>
    <w:rsid w:val="00D76068"/>
    <w:rsid w:val="00D760A9"/>
    <w:rsid w:val="00D760CF"/>
    <w:rsid w:val="00D925B8"/>
    <w:rsid w:val="00D949D0"/>
    <w:rsid w:val="00DA2788"/>
    <w:rsid w:val="00DA3B66"/>
    <w:rsid w:val="00DA4453"/>
    <w:rsid w:val="00DA4D95"/>
    <w:rsid w:val="00DA6836"/>
    <w:rsid w:val="00DA733A"/>
    <w:rsid w:val="00DB2417"/>
    <w:rsid w:val="00DC05A3"/>
    <w:rsid w:val="00DC6A0C"/>
    <w:rsid w:val="00E03DB3"/>
    <w:rsid w:val="00E04EB8"/>
    <w:rsid w:val="00E06757"/>
    <w:rsid w:val="00E1280F"/>
    <w:rsid w:val="00E178A3"/>
    <w:rsid w:val="00E17B2C"/>
    <w:rsid w:val="00E26EA1"/>
    <w:rsid w:val="00E27DEF"/>
    <w:rsid w:val="00E30081"/>
    <w:rsid w:val="00E32743"/>
    <w:rsid w:val="00E342C7"/>
    <w:rsid w:val="00E34F40"/>
    <w:rsid w:val="00E354F6"/>
    <w:rsid w:val="00E412D0"/>
    <w:rsid w:val="00E4317C"/>
    <w:rsid w:val="00E53D4C"/>
    <w:rsid w:val="00E560D3"/>
    <w:rsid w:val="00E609ED"/>
    <w:rsid w:val="00E63703"/>
    <w:rsid w:val="00E64DDC"/>
    <w:rsid w:val="00E704C6"/>
    <w:rsid w:val="00E74140"/>
    <w:rsid w:val="00E775AC"/>
    <w:rsid w:val="00E77A47"/>
    <w:rsid w:val="00E77B98"/>
    <w:rsid w:val="00E8471E"/>
    <w:rsid w:val="00E90190"/>
    <w:rsid w:val="00E91E8C"/>
    <w:rsid w:val="00E942DA"/>
    <w:rsid w:val="00E94EF3"/>
    <w:rsid w:val="00E959E9"/>
    <w:rsid w:val="00E95E00"/>
    <w:rsid w:val="00E97167"/>
    <w:rsid w:val="00EB1611"/>
    <w:rsid w:val="00EB468A"/>
    <w:rsid w:val="00EC01E6"/>
    <w:rsid w:val="00EC3DC1"/>
    <w:rsid w:val="00EC4845"/>
    <w:rsid w:val="00EC6CC2"/>
    <w:rsid w:val="00ED1C27"/>
    <w:rsid w:val="00ED3D73"/>
    <w:rsid w:val="00ED3FA6"/>
    <w:rsid w:val="00ED5CDF"/>
    <w:rsid w:val="00ED6DCA"/>
    <w:rsid w:val="00EE459A"/>
    <w:rsid w:val="00EF010E"/>
    <w:rsid w:val="00EF0944"/>
    <w:rsid w:val="00EF7BE7"/>
    <w:rsid w:val="00F0234A"/>
    <w:rsid w:val="00F0280E"/>
    <w:rsid w:val="00F05141"/>
    <w:rsid w:val="00F07267"/>
    <w:rsid w:val="00F159E2"/>
    <w:rsid w:val="00F167CB"/>
    <w:rsid w:val="00F16AA1"/>
    <w:rsid w:val="00F2164E"/>
    <w:rsid w:val="00F22F9A"/>
    <w:rsid w:val="00F240EB"/>
    <w:rsid w:val="00F24B1D"/>
    <w:rsid w:val="00F315FE"/>
    <w:rsid w:val="00F31FE6"/>
    <w:rsid w:val="00F40B12"/>
    <w:rsid w:val="00F42131"/>
    <w:rsid w:val="00F45BB8"/>
    <w:rsid w:val="00F53F80"/>
    <w:rsid w:val="00F5697E"/>
    <w:rsid w:val="00F57625"/>
    <w:rsid w:val="00F673A2"/>
    <w:rsid w:val="00F67B89"/>
    <w:rsid w:val="00F71A10"/>
    <w:rsid w:val="00F72A3E"/>
    <w:rsid w:val="00F74B67"/>
    <w:rsid w:val="00F7577B"/>
    <w:rsid w:val="00F8199A"/>
    <w:rsid w:val="00F8348D"/>
    <w:rsid w:val="00F86352"/>
    <w:rsid w:val="00F91726"/>
    <w:rsid w:val="00FB3B53"/>
    <w:rsid w:val="00FB551B"/>
    <w:rsid w:val="00FC0EF4"/>
    <w:rsid w:val="00FC2947"/>
    <w:rsid w:val="00FC69D9"/>
    <w:rsid w:val="00FD28C1"/>
    <w:rsid w:val="00FD7412"/>
    <w:rsid w:val="00FE2C12"/>
    <w:rsid w:val="00FE7EF3"/>
    <w:rsid w:val="00FF1703"/>
    <w:rsid w:val="00FF1EF9"/>
    <w:rsid w:val="00FF2F4D"/>
    <w:rsid w:val="00FF3E3B"/>
    <w:rsid w:val="00FF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4:docId w14:val="22746E54"/>
  <w15:chartTrackingRefBased/>
  <w15:docId w15:val="{BD8A4DCD-E9B6-4CF3-BD97-B28BB205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ind w:left="1134" w:hanging="1134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240"/>
      <w:ind w:left="1134" w:hanging="1134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240"/>
      <w:ind w:left="1134" w:hanging="1134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ind w:left="2552" w:hanging="851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pPr>
      <w:spacing w:before="240" w:after="240"/>
      <w:ind w:left="1418" w:hanging="1418"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pPr>
      <w:spacing w:before="240" w:after="240"/>
      <w:ind w:left="1418" w:hanging="1418"/>
      <w:outlineLvl w:val="5"/>
    </w:pPr>
    <w:rPr>
      <w:rFonts w:ascii="Arial" w:hAnsi="Arial"/>
      <w:b/>
    </w:rPr>
  </w:style>
  <w:style w:type="paragraph" w:styleId="berschrift7">
    <w:name w:val="heading 7"/>
    <w:basedOn w:val="Standard"/>
    <w:next w:val="Standard"/>
    <w:qFormat/>
    <w:pPr>
      <w:spacing w:before="240" w:after="240"/>
      <w:ind w:left="1418" w:hanging="1418"/>
      <w:outlineLvl w:val="6"/>
    </w:pPr>
    <w:rPr>
      <w:rFonts w:ascii="Arial" w:hAnsi="Arial"/>
      <w:b/>
    </w:rPr>
  </w:style>
  <w:style w:type="paragraph" w:styleId="berschrift8">
    <w:name w:val="heading 8"/>
    <w:basedOn w:val="Standard"/>
    <w:next w:val="Standard"/>
    <w:qFormat/>
    <w:pPr>
      <w:spacing w:before="240" w:after="240"/>
      <w:ind w:left="1418" w:hanging="1418"/>
      <w:outlineLvl w:val="7"/>
    </w:pPr>
    <w:rPr>
      <w:rFonts w:ascii="Arial" w:hAnsi="Arial"/>
      <w:b/>
    </w:rPr>
  </w:style>
  <w:style w:type="paragraph" w:styleId="berschrift9">
    <w:name w:val="heading 9"/>
    <w:basedOn w:val="Standard"/>
    <w:next w:val="Standard"/>
    <w:qFormat/>
    <w:pPr>
      <w:spacing w:before="240" w:after="240"/>
      <w:ind w:left="1418" w:hanging="1418"/>
      <w:outlineLvl w:val="8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spacing w:before="120" w:after="120"/>
      <w:jc w:val="center"/>
    </w:pPr>
    <w:rPr>
      <w:rFonts w:ascii="Arial" w:hAnsi="Arial"/>
      <w:b/>
      <w:sz w:val="20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sz w:val="20"/>
    </w:rPr>
  </w:style>
  <w:style w:type="paragraph" w:customStyle="1" w:styleId="HFlietext">
    <w:name w:val="H_Fließtext"/>
    <w:pPr>
      <w:overflowPunct w:val="0"/>
      <w:autoSpaceDE w:val="0"/>
      <w:autoSpaceDN w:val="0"/>
      <w:adjustRightInd w:val="0"/>
      <w:spacing w:line="280" w:lineRule="exact"/>
      <w:textAlignment w:val="baseline"/>
    </w:pPr>
    <w:rPr>
      <w:sz w:val="22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20"/>
    </w:rPr>
  </w:style>
  <w:style w:type="paragraph" w:customStyle="1" w:styleId="HFlietextfett">
    <w:name w:val="H_Fließtext fett"/>
    <w:basedOn w:val="HFlietext"/>
    <w:rPr>
      <w:b/>
    </w:rPr>
  </w:style>
  <w:style w:type="paragraph" w:customStyle="1" w:styleId="AbsenderArial2">
    <w:name w:val="Absender_Arial2"/>
    <w:basedOn w:val="Standard"/>
    <w:pPr>
      <w:spacing w:after="85" w:line="190" w:lineRule="exact"/>
    </w:pPr>
    <w:rPr>
      <w:rFonts w:ascii="Arial" w:hAnsi="Arial"/>
      <w:b/>
      <w:sz w:val="15"/>
    </w:rPr>
  </w:style>
  <w:style w:type="character" w:styleId="Seitenzahl">
    <w:name w:val="page number"/>
    <w:basedOn w:val="Absatz-Standardschriftart"/>
  </w:style>
  <w:style w:type="paragraph" w:customStyle="1" w:styleId="Sprechblasentext1">
    <w:name w:val="Sprechblasentext1"/>
    <w:basedOn w:val="Standard"/>
    <w:rPr>
      <w:rFonts w:ascii="Tahoma" w:hAnsi="Tahoma"/>
      <w:sz w:val="16"/>
    </w:rPr>
  </w:style>
  <w:style w:type="paragraph" w:styleId="Sprechblasentext">
    <w:name w:val="Balloon Text"/>
    <w:basedOn w:val="Standard"/>
    <w:semiHidden/>
    <w:rsid w:val="00B9596E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575A55"/>
  </w:style>
  <w:style w:type="character" w:styleId="Hyperlink">
    <w:name w:val="Hyperlink"/>
    <w:uiPriority w:val="99"/>
    <w:unhideWhenUsed/>
    <w:rsid w:val="0072073D"/>
    <w:rPr>
      <w:color w:val="0563C1"/>
      <w:u w:val="single"/>
    </w:rPr>
  </w:style>
  <w:style w:type="paragraph" w:customStyle="1" w:styleId="EinfAbs">
    <w:name w:val="[Einf. Abs.]"/>
    <w:basedOn w:val="Standard"/>
    <w:uiPriority w:val="99"/>
    <w:rsid w:val="00E775AC"/>
    <w:pPr>
      <w:overflowPunct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8168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81685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59"/>
    <w:rsid w:val="004A2D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unhideWhenUsed/>
    <w:rsid w:val="00161817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61817"/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NormaleTabelle"/>
    <w:next w:val="Tabellenraster"/>
    <w:uiPriority w:val="59"/>
    <w:rsid w:val="001618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eTabelle"/>
    <w:next w:val="Tabellenraster"/>
    <w:uiPriority w:val="59"/>
    <w:rsid w:val="001618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91402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0526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0526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0526"/>
    <w:rPr>
      <w:rFonts w:asciiTheme="minorHAnsi" w:eastAsiaTheme="minorHAnsi" w:hAnsiTheme="minorHAnsi" w:cstheme="minorBidi"/>
      <w:b/>
      <w:bCs/>
      <w:lang w:eastAsia="en-US"/>
    </w:rPr>
  </w:style>
  <w:style w:type="paragraph" w:styleId="Listenabsatz">
    <w:name w:val="List Paragraph"/>
    <w:basedOn w:val="Standard"/>
    <w:uiPriority w:val="34"/>
    <w:qFormat/>
    <w:rsid w:val="00465A6E"/>
    <w:pPr>
      <w:ind w:left="720"/>
      <w:contextualSpacing/>
    </w:pPr>
  </w:style>
  <w:style w:type="paragraph" w:styleId="berarbeitung">
    <w:name w:val="Revision"/>
    <w:hidden/>
    <w:uiPriority w:val="99"/>
    <w:semiHidden/>
    <w:rsid w:val="00910AD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ermanpropertypartners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ermanpropertypartners.de/de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FCD2B-EDB4-43E4-82DF-60B2A74DD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972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OFB-Brief Frankfurt</vt:lpstr>
    </vt:vector>
  </TitlesOfParts>
  <Company/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OFB-Brief Frankfurt</dc:title>
  <dc:subject/>
  <dc:creator>Keller, Yvonne</dc:creator>
  <cp:keywords/>
  <cp:lastModifiedBy>Katharina Koester</cp:lastModifiedBy>
  <cp:revision>2</cp:revision>
  <cp:lastPrinted>2022-03-30T15:12:00Z</cp:lastPrinted>
  <dcterms:created xsi:type="dcterms:W3CDTF">2023-10-02T10:09:00Z</dcterms:created>
  <dcterms:modified xsi:type="dcterms:W3CDTF">2023-10-02T10:09:00Z</dcterms:modified>
</cp:coreProperties>
</file>