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9D18" w14:textId="77777777" w:rsidR="00A77B3E" w:rsidRDefault="00A90788">
      <w:pPr>
        <w:spacing w:line="288" w:lineRule="auto"/>
        <w:rPr>
          <w:sz w:val="20"/>
        </w:rPr>
      </w:pPr>
      <w:bookmarkStart w:id="0" w:name="Section1"/>
      <w:bookmarkEnd w:id="0"/>
      <w:r>
        <w:rPr>
          <w:noProof/>
          <w:lang w:val="fr-FR" w:eastAsia="fr-FR"/>
        </w:rPr>
        <w:drawing>
          <wp:inline distT="0" distB="0" distL="0" distR="0" wp14:anchorId="3175145A" wp14:editId="739A9E81">
            <wp:extent cx="2819400" cy="3937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819400" cy="393700"/>
                    </a:xfrm>
                    <a:prstGeom prst="rect">
                      <a:avLst/>
                    </a:prstGeom>
                    <a:noFill/>
                    <a:ln>
                      <a:noFill/>
                    </a:ln>
                  </pic:spPr>
                </pic:pic>
              </a:graphicData>
            </a:graphic>
          </wp:inline>
        </w:drawing>
      </w:r>
    </w:p>
    <w:p w14:paraId="7D358BE4" w14:textId="77777777" w:rsidR="00A77B3E" w:rsidRDefault="00A77B3E">
      <w:pPr>
        <w:spacing w:line="288" w:lineRule="auto"/>
        <w:rPr>
          <w:rFonts w:ascii="Arial" w:eastAsia="Arial" w:hAnsi="Arial" w:cs="Arial"/>
          <w:b/>
          <w:sz w:val="32"/>
        </w:rPr>
      </w:pPr>
    </w:p>
    <w:p w14:paraId="0A44926E" w14:textId="77777777" w:rsidR="00A77B3E" w:rsidRDefault="00A90788">
      <w:pPr>
        <w:spacing w:line="288" w:lineRule="auto"/>
        <w:outlineLvl w:val="0"/>
        <w:rPr>
          <w:rFonts w:ascii="Arial" w:eastAsia="Arial" w:hAnsi="Arial" w:cs="Arial"/>
          <w:b/>
          <w:sz w:val="32"/>
        </w:rPr>
      </w:pPr>
      <w:r>
        <w:rPr>
          <w:rFonts w:ascii="Arial" w:eastAsia="Arial" w:hAnsi="Arial" w:cs="Arial"/>
          <w:b/>
          <w:sz w:val="32"/>
        </w:rPr>
        <w:t>Press Release</w:t>
      </w:r>
    </w:p>
    <w:p w14:paraId="03B24F52" w14:textId="77777777" w:rsidR="00A77B3E" w:rsidRDefault="00A77B3E">
      <w:pPr>
        <w:spacing w:line="288" w:lineRule="auto"/>
        <w:rPr>
          <w:sz w:val="20"/>
        </w:rPr>
      </w:pPr>
    </w:p>
    <w:p w14:paraId="6A99A998" w14:textId="77777777" w:rsidR="00A77B3E" w:rsidRDefault="00A90788">
      <w:pPr>
        <w:spacing w:line="288" w:lineRule="auto"/>
        <w:rPr>
          <w:rFonts w:ascii="Arial" w:eastAsia="Arial" w:hAnsi="Arial" w:cs="Arial"/>
          <w:b/>
          <w:sz w:val="28"/>
        </w:rPr>
      </w:pPr>
      <w:r>
        <w:rPr>
          <w:rFonts w:ascii="Arial" w:eastAsia="Arial" w:hAnsi="Arial" w:cs="Arial"/>
          <w:b/>
          <w:sz w:val="28"/>
        </w:rPr>
        <w:t>Fortinet Reports Fourth Quarter and Full Year 2020 Financial Results</w:t>
      </w:r>
    </w:p>
    <w:p w14:paraId="240C1DE3" w14:textId="77777777" w:rsidR="00A77B3E" w:rsidRDefault="00A77B3E">
      <w:pPr>
        <w:spacing w:line="288" w:lineRule="auto"/>
        <w:jc w:val="center"/>
        <w:rPr>
          <w:rFonts w:ascii="Arial" w:eastAsia="Arial" w:hAnsi="Arial" w:cs="Arial"/>
          <w:b/>
          <w:i/>
          <w:sz w:val="28"/>
        </w:rPr>
      </w:pPr>
    </w:p>
    <w:p w14:paraId="7FE355FE" w14:textId="77777777" w:rsidR="00A77B3E" w:rsidRDefault="00A90788">
      <w:pPr>
        <w:spacing w:line="288" w:lineRule="auto"/>
        <w:rPr>
          <w:rFonts w:ascii="Arial" w:eastAsia="Arial" w:hAnsi="Arial" w:cs="Arial"/>
          <w:b/>
        </w:rPr>
      </w:pPr>
      <w:r>
        <w:rPr>
          <w:rFonts w:ascii="Arial" w:eastAsia="Arial" w:hAnsi="Arial" w:cs="Arial"/>
          <w:b/>
        </w:rPr>
        <w:t>Fourth Quarter 2020 Highlights</w:t>
      </w:r>
    </w:p>
    <w:p w14:paraId="4F66EAE2" w14:textId="77777777" w:rsidR="00A77B3E" w:rsidRDefault="00A77B3E">
      <w:pPr>
        <w:spacing w:line="288" w:lineRule="auto"/>
        <w:ind w:left="1440" w:hanging="360"/>
        <w:rPr>
          <w:rFonts w:ascii="Arial" w:eastAsia="Arial" w:hAnsi="Arial" w:cs="Arial"/>
          <w:i/>
          <w:sz w:val="22"/>
        </w:rPr>
      </w:pPr>
    </w:p>
    <w:p w14:paraId="3A4DB273" w14:textId="77777777" w:rsidR="00A77B3E" w:rsidRDefault="00A90788" w:rsidP="006F54BB">
      <w:pPr>
        <w:numPr>
          <w:ilvl w:val="0"/>
          <w:numId w:val="2"/>
        </w:numPr>
        <w:spacing w:line="288" w:lineRule="auto"/>
        <w:ind w:left="1440"/>
        <w:rPr>
          <w:rFonts w:ascii="Arial" w:eastAsia="Arial" w:hAnsi="Arial" w:cs="Arial"/>
          <w:i/>
          <w:sz w:val="22"/>
        </w:rPr>
      </w:pPr>
      <w:r>
        <w:rPr>
          <w:rFonts w:ascii="Arial" w:eastAsia="Arial" w:hAnsi="Arial" w:cs="Arial"/>
          <w:i/>
          <w:sz w:val="22"/>
        </w:rPr>
        <w:t>Total revenue of $748.0 million, up 21% year over year</w:t>
      </w:r>
    </w:p>
    <w:p w14:paraId="51C3B128" w14:textId="77777777" w:rsidR="00A77B3E" w:rsidRDefault="00A90788" w:rsidP="006F54BB">
      <w:pPr>
        <w:numPr>
          <w:ilvl w:val="0"/>
          <w:numId w:val="2"/>
        </w:numPr>
        <w:spacing w:line="288" w:lineRule="auto"/>
        <w:ind w:left="1440"/>
        <w:rPr>
          <w:rFonts w:ascii="Arial" w:eastAsia="Arial" w:hAnsi="Arial" w:cs="Arial"/>
          <w:i/>
          <w:sz w:val="22"/>
        </w:rPr>
      </w:pPr>
      <w:r>
        <w:rPr>
          <w:rFonts w:ascii="Arial" w:eastAsia="Arial" w:hAnsi="Arial" w:cs="Arial"/>
          <w:i/>
          <w:sz w:val="22"/>
        </w:rPr>
        <w:t>Product revenue of $288.4 million, up 21% year over year</w:t>
      </w:r>
    </w:p>
    <w:p w14:paraId="5B701B07" w14:textId="77777777" w:rsidR="00A77B3E" w:rsidRDefault="00A90788" w:rsidP="006F54BB">
      <w:pPr>
        <w:numPr>
          <w:ilvl w:val="0"/>
          <w:numId w:val="2"/>
        </w:numPr>
        <w:spacing w:line="288" w:lineRule="auto"/>
        <w:ind w:left="1440"/>
        <w:rPr>
          <w:rFonts w:ascii="Arial" w:eastAsia="Arial" w:hAnsi="Arial" w:cs="Arial"/>
          <w:i/>
          <w:sz w:val="22"/>
        </w:rPr>
      </w:pPr>
      <w:r>
        <w:rPr>
          <w:rFonts w:ascii="Arial" w:eastAsia="Arial" w:hAnsi="Arial" w:cs="Arial"/>
          <w:i/>
          <w:sz w:val="22"/>
        </w:rPr>
        <w:t>Service revenue of $459.6 million, up 21% year over year</w:t>
      </w:r>
    </w:p>
    <w:p w14:paraId="76C9D107" w14:textId="77777777" w:rsidR="00A77B3E" w:rsidRDefault="00A90788" w:rsidP="006F54BB">
      <w:pPr>
        <w:numPr>
          <w:ilvl w:val="0"/>
          <w:numId w:val="2"/>
        </w:numPr>
        <w:spacing w:line="288" w:lineRule="auto"/>
        <w:ind w:left="1440"/>
        <w:rPr>
          <w:rFonts w:ascii="Arial" w:eastAsia="Arial" w:hAnsi="Arial" w:cs="Arial"/>
          <w:i/>
          <w:sz w:val="22"/>
        </w:rPr>
      </w:pPr>
      <w:r>
        <w:rPr>
          <w:rFonts w:ascii="Arial" w:eastAsia="Arial" w:hAnsi="Arial" w:cs="Arial"/>
          <w:i/>
          <w:sz w:val="22"/>
        </w:rPr>
        <w:t>Billings of $960.9 million, up 20% year over year</w:t>
      </w:r>
      <w:r>
        <w:rPr>
          <w:rFonts w:ascii="Arial" w:eastAsia="Arial" w:hAnsi="Arial" w:cs="Arial"/>
          <w:i/>
          <w:sz w:val="22"/>
          <w:vertAlign w:val="superscript"/>
        </w:rPr>
        <w:t>1</w:t>
      </w:r>
    </w:p>
    <w:p w14:paraId="3764F28E" w14:textId="77777777" w:rsidR="00A77B3E" w:rsidRDefault="00A90788" w:rsidP="006F54BB">
      <w:pPr>
        <w:numPr>
          <w:ilvl w:val="0"/>
          <w:numId w:val="3"/>
        </w:numPr>
        <w:spacing w:line="288" w:lineRule="auto"/>
        <w:ind w:left="1440"/>
        <w:rPr>
          <w:rFonts w:ascii="Arial" w:eastAsia="Arial" w:hAnsi="Arial" w:cs="Arial"/>
          <w:i/>
          <w:sz w:val="22"/>
        </w:rPr>
      </w:pPr>
      <w:r>
        <w:rPr>
          <w:rFonts w:ascii="Arial" w:eastAsia="Arial" w:hAnsi="Arial" w:cs="Arial"/>
          <w:i/>
          <w:sz w:val="22"/>
        </w:rPr>
        <w:t>GAAP operating margin of 22.6%, up 280 basis points year over year</w:t>
      </w:r>
    </w:p>
    <w:p w14:paraId="36B9F28D" w14:textId="77777777" w:rsidR="00A77B3E" w:rsidRDefault="00A90788" w:rsidP="006F54BB">
      <w:pPr>
        <w:numPr>
          <w:ilvl w:val="0"/>
          <w:numId w:val="3"/>
        </w:numPr>
        <w:spacing w:line="288" w:lineRule="auto"/>
        <w:ind w:left="1440"/>
        <w:rPr>
          <w:rFonts w:ascii="Arial" w:eastAsia="Arial" w:hAnsi="Arial" w:cs="Arial"/>
          <w:i/>
          <w:sz w:val="22"/>
        </w:rPr>
      </w:pPr>
      <w:r>
        <w:rPr>
          <w:rFonts w:ascii="Arial" w:eastAsia="Arial" w:hAnsi="Arial" w:cs="Arial"/>
          <w:i/>
          <w:sz w:val="22"/>
        </w:rPr>
        <w:t>Non-GAAP operating margin of 29.4%, up 210 basis points year over year</w:t>
      </w:r>
      <w:r>
        <w:rPr>
          <w:rFonts w:ascii="Arial" w:eastAsia="Arial" w:hAnsi="Arial" w:cs="Arial"/>
          <w:i/>
          <w:sz w:val="22"/>
          <w:vertAlign w:val="superscript"/>
        </w:rPr>
        <w:t>1</w:t>
      </w:r>
    </w:p>
    <w:p w14:paraId="169AD135" w14:textId="77777777" w:rsidR="00A77B3E" w:rsidRDefault="00A90788" w:rsidP="006F54BB">
      <w:pPr>
        <w:numPr>
          <w:ilvl w:val="0"/>
          <w:numId w:val="3"/>
        </w:numPr>
        <w:spacing w:line="288" w:lineRule="auto"/>
        <w:ind w:left="1440"/>
        <w:rPr>
          <w:rFonts w:ascii="Arial" w:eastAsia="Arial" w:hAnsi="Arial" w:cs="Arial"/>
          <w:i/>
          <w:sz w:val="22"/>
        </w:rPr>
      </w:pPr>
      <w:r>
        <w:rPr>
          <w:rFonts w:ascii="Arial" w:eastAsia="Arial" w:hAnsi="Arial" w:cs="Arial"/>
          <w:i/>
          <w:sz w:val="22"/>
        </w:rPr>
        <w:t xml:space="preserve">GAAP diluted net income per share of </w:t>
      </w:r>
      <w:proofErr w:type="gramStart"/>
      <w:r>
        <w:rPr>
          <w:rFonts w:ascii="Arial" w:eastAsia="Arial" w:hAnsi="Arial" w:cs="Arial"/>
          <w:i/>
          <w:sz w:val="22"/>
        </w:rPr>
        <w:t>$0.89</w:t>
      </w:r>
      <w:proofErr w:type="gramEnd"/>
    </w:p>
    <w:p w14:paraId="4C58AAC1" w14:textId="77777777" w:rsidR="00A77B3E" w:rsidRDefault="00A90788" w:rsidP="006F54BB">
      <w:pPr>
        <w:numPr>
          <w:ilvl w:val="0"/>
          <w:numId w:val="3"/>
        </w:numPr>
        <w:spacing w:line="288" w:lineRule="auto"/>
        <w:ind w:left="1440"/>
        <w:rPr>
          <w:rFonts w:ascii="Arial" w:eastAsia="Arial" w:hAnsi="Arial" w:cs="Arial"/>
          <w:i/>
          <w:sz w:val="22"/>
        </w:rPr>
      </w:pPr>
      <w:r>
        <w:rPr>
          <w:rFonts w:ascii="Arial" w:eastAsia="Arial" w:hAnsi="Arial" w:cs="Arial"/>
          <w:i/>
          <w:sz w:val="22"/>
        </w:rPr>
        <w:t xml:space="preserve">Non-GAAP diluted net income per share of </w:t>
      </w:r>
      <w:proofErr w:type="gramStart"/>
      <w:r>
        <w:rPr>
          <w:rFonts w:ascii="Arial" w:eastAsia="Arial" w:hAnsi="Arial" w:cs="Arial"/>
          <w:i/>
          <w:sz w:val="22"/>
        </w:rPr>
        <w:t>$1.06</w:t>
      </w:r>
      <w:r>
        <w:rPr>
          <w:rFonts w:ascii="Arial" w:eastAsia="Arial" w:hAnsi="Arial" w:cs="Arial"/>
          <w:i/>
          <w:sz w:val="22"/>
          <w:vertAlign w:val="superscript"/>
        </w:rPr>
        <w:t>1</w:t>
      </w:r>
      <w:proofErr w:type="gramEnd"/>
    </w:p>
    <w:p w14:paraId="009B996A" w14:textId="77777777" w:rsidR="00A77B3E" w:rsidRDefault="00A90788" w:rsidP="006F54BB">
      <w:pPr>
        <w:numPr>
          <w:ilvl w:val="0"/>
          <w:numId w:val="3"/>
        </w:numPr>
        <w:spacing w:line="288" w:lineRule="auto"/>
        <w:ind w:left="1440"/>
        <w:rPr>
          <w:rFonts w:ascii="Arial" w:eastAsia="Arial" w:hAnsi="Arial" w:cs="Arial"/>
          <w:i/>
          <w:sz w:val="22"/>
        </w:rPr>
      </w:pPr>
      <w:r>
        <w:rPr>
          <w:rFonts w:ascii="Arial" w:eastAsia="Arial" w:hAnsi="Arial" w:cs="Arial"/>
          <w:i/>
          <w:sz w:val="22"/>
        </w:rPr>
        <w:t>Cash flow from operations of $296.5 million</w:t>
      </w:r>
    </w:p>
    <w:p w14:paraId="6C592F2D" w14:textId="77777777" w:rsidR="00A77B3E" w:rsidRDefault="00A90788" w:rsidP="006F54BB">
      <w:pPr>
        <w:numPr>
          <w:ilvl w:val="0"/>
          <w:numId w:val="3"/>
        </w:numPr>
        <w:spacing w:line="288" w:lineRule="auto"/>
        <w:ind w:left="1440"/>
        <w:rPr>
          <w:rFonts w:ascii="Arial" w:eastAsia="Arial" w:hAnsi="Arial" w:cs="Arial"/>
          <w:i/>
          <w:sz w:val="22"/>
        </w:rPr>
      </w:pPr>
      <w:r>
        <w:rPr>
          <w:rFonts w:ascii="Arial" w:eastAsia="Arial" w:hAnsi="Arial" w:cs="Arial"/>
          <w:i/>
          <w:sz w:val="22"/>
        </w:rPr>
        <w:t>Free cash flow of $264.2 million</w:t>
      </w:r>
      <w:r>
        <w:rPr>
          <w:rFonts w:ascii="Arial" w:eastAsia="Arial" w:hAnsi="Arial" w:cs="Arial"/>
          <w:i/>
          <w:sz w:val="22"/>
          <w:vertAlign w:val="superscript"/>
        </w:rPr>
        <w:t>1</w:t>
      </w:r>
    </w:p>
    <w:p w14:paraId="3473CFFB" w14:textId="77777777" w:rsidR="00A77B3E" w:rsidRDefault="00A77B3E">
      <w:pPr>
        <w:spacing w:line="288" w:lineRule="auto"/>
        <w:ind w:left="720"/>
        <w:rPr>
          <w:rFonts w:ascii="Arial" w:eastAsia="Arial" w:hAnsi="Arial" w:cs="Arial"/>
          <w:i/>
          <w:sz w:val="22"/>
          <w:vertAlign w:val="superscript"/>
        </w:rPr>
      </w:pPr>
    </w:p>
    <w:p w14:paraId="59FE8E26" w14:textId="77777777" w:rsidR="00A77B3E" w:rsidRDefault="00A90788">
      <w:pPr>
        <w:spacing w:line="288" w:lineRule="auto"/>
        <w:rPr>
          <w:rFonts w:ascii="Arial" w:eastAsia="Arial" w:hAnsi="Arial" w:cs="Arial"/>
          <w:b/>
          <w:i/>
          <w:vertAlign w:val="superscript"/>
        </w:rPr>
      </w:pPr>
      <w:r>
        <w:rPr>
          <w:rFonts w:ascii="Arial" w:eastAsia="Arial" w:hAnsi="Arial" w:cs="Arial"/>
          <w:b/>
        </w:rPr>
        <w:t>Full Year 2020 Highlights</w:t>
      </w:r>
    </w:p>
    <w:p w14:paraId="15A029F7" w14:textId="77777777" w:rsidR="00A77B3E" w:rsidRDefault="00A77B3E">
      <w:pPr>
        <w:spacing w:line="288" w:lineRule="auto"/>
        <w:ind w:left="1440" w:hanging="360"/>
        <w:rPr>
          <w:rFonts w:ascii="Arial" w:eastAsia="Arial" w:hAnsi="Arial" w:cs="Arial"/>
          <w:i/>
          <w:sz w:val="22"/>
        </w:rPr>
      </w:pPr>
    </w:p>
    <w:p w14:paraId="3C769A42" w14:textId="77777777" w:rsidR="00A77B3E" w:rsidRDefault="00A90788" w:rsidP="006F54BB">
      <w:pPr>
        <w:numPr>
          <w:ilvl w:val="0"/>
          <w:numId w:val="4"/>
        </w:numPr>
        <w:spacing w:line="288" w:lineRule="auto"/>
        <w:ind w:left="1440"/>
        <w:rPr>
          <w:rFonts w:ascii="Arial" w:eastAsia="Arial" w:hAnsi="Arial" w:cs="Arial"/>
          <w:i/>
          <w:sz w:val="22"/>
        </w:rPr>
      </w:pPr>
      <w:r>
        <w:rPr>
          <w:rFonts w:ascii="Arial" w:eastAsia="Arial" w:hAnsi="Arial" w:cs="Arial"/>
          <w:i/>
          <w:sz w:val="22"/>
        </w:rPr>
        <w:t>Total revenue of $2.59 billion, up 20% year over year</w:t>
      </w:r>
    </w:p>
    <w:p w14:paraId="2D08B24A" w14:textId="77777777" w:rsidR="00A77B3E" w:rsidRDefault="00A90788" w:rsidP="006F54BB">
      <w:pPr>
        <w:numPr>
          <w:ilvl w:val="0"/>
          <w:numId w:val="4"/>
        </w:numPr>
        <w:spacing w:line="288" w:lineRule="auto"/>
        <w:ind w:left="1440"/>
        <w:rPr>
          <w:rFonts w:ascii="Arial" w:eastAsia="Arial" w:hAnsi="Arial" w:cs="Arial"/>
          <w:i/>
          <w:sz w:val="22"/>
        </w:rPr>
      </w:pPr>
      <w:r>
        <w:rPr>
          <w:rFonts w:ascii="Arial" w:eastAsia="Arial" w:hAnsi="Arial" w:cs="Arial"/>
          <w:i/>
          <w:sz w:val="22"/>
        </w:rPr>
        <w:t>Product revenue of $916.4 million, up 16% year over year</w:t>
      </w:r>
    </w:p>
    <w:p w14:paraId="41AC9255" w14:textId="77777777" w:rsidR="00A77B3E" w:rsidRDefault="00A90788" w:rsidP="006F54BB">
      <w:pPr>
        <w:numPr>
          <w:ilvl w:val="0"/>
          <w:numId w:val="4"/>
        </w:numPr>
        <w:spacing w:line="288" w:lineRule="auto"/>
        <w:ind w:left="1440"/>
        <w:rPr>
          <w:rFonts w:ascii="Arial" w:eastAsia="Arial" w:hAnsi="Arial" w:cs="Arial"/>
          <w:i/>
          <w:sz w:val="22"/>
        </w:rPr>
      </w:pPr>
      <w:r>
        <w:rPr>
          <w:rFonts w:ascii="Arial" w:eastAsia="Arial" w:hAnsi="Arial" w:cs="Arial"/>
          <w:i/>
          <w:sz w:val="22"/>
        </w:rPr>
        <w:t>Service revenue of $1.68 billion, up 22% year over year</w:t>
      </w:r>
    </w:p>
    <w:p w14:paraId="14768B5E" w14:textId="77777777" w:rsidR="00A77B3E" w:rsidRDefault="00A90788" w:rsidP="006F54BB">
      <w:pPr>
        <w:numPr>
          <w:ilvl w:val="0"/>
          <w:numId w:val="4"/>
        </w:numPr>
        <w:spacing w:line="288" w:lineRule="auto"/>
        <w:ind w:left="1440"/>
        <w:rPr>
          <w:rFonts w:ascii="Arial" w:eastAsia="Arial" w:hAnsi="Arial" w:cs="Arial"/>
          <w:i/>
          <w:sz w:val="22"/>
        </w:rPr>
      </w:pPr>
      <w:r>
        <w:rPr>
          <w:rFonts w:ascii="Arial" w:eastAsia="Arial" w:hAnsi="Arial" w:cs="Arial"/>
          <w:i/>
          <w:sz w:val="22"/>
        </w:rPr>
        <w:t>Billings of $3.09 billion, up 19% year over year</w:t>
      </w:r>
      <w:r>
        <w:rPr>
          <w:rFonts w:ascii="Arial" w:eastAsia="Arial" w:hAnsi="Arial" w:cs="Arial"/>
          <w:i/>
          <w:sz w:val="22"/>
          <w:vertAlign w:val="superscript"/>
        </w:rPr>
        <w:t>1</w:t>
      </w:r>
    </w:p>
    <w:p w14:paraId="22CD4960" w14:textId="77777777" w:rsidR="00A77B3E" w:rsidRDefault="00A90788" w:rsidP="006F54BB">
      <w:pPr>
        <w:numPr>
          <w:ilvl w:val="0"/>
          <w:numId w:val="4"/>
        </w:numPr>
        <w:spacing w:line="288" w:lineRule="auto"/>
        <w:ind w:left="1440"/>
        <w:rPr>
          <w:rFonts w:ascii="Arial" w:eastAsia="Arial" w:hAnsi="Arial" w:cs="Arial"/>
          <w:i/>
          <w:sz w:val="22"/>
        </w:rPr>
      </w:pPr>
      <w:r>
        <w:rPr>
          <w:rFonts w:ascii="Arial" w:eastAsia="Arial" w:hAnsi="Arial" w:cs="Arial"/>
          <w:i/>
          <w:sz w:val="22"/>
        </w:rPr>
        <w:t>Deferred revenue of $2.61 billion, up 24% year over year</w:t>
      </w:r>
    </w:p>
    <w:p w14:paraId="3884B281" w14:textId="77777777" w:rsidR="00A77B3E" w:rsidRDefault="00A90788" w:rsidP="006F54BB">
      <w:pPr>
        <w:numPr>
          <w:ilvl w:val="0"/>
          <w:numId w:val="5"/>
        </w:numPr>
        <w:spacing w:line="288" w:lineRule="auto"/>
        <w:ind w:left="1440"/>
        <w:rPr>
          <w:rFonts w:ascii="Arial" w:eastAsia="Arial" w:hAnsi="Arial" w:cs="Arial"/>
          <w:i/>
          <w:sz w:val="22"/>
        </w:rPr>
      </w:pPr>
      <w:r>
        <w:rPr>
          <w:rFonts w:ascii="Arial" w:eastAsia="Arial" w:hAnsi="Arial" w:cs="Arial"/>
          <w:i/>
          <w:sz w:val="22"/>
        </w:rPr>
        <w:t>GAAP operating margin of 20.5%, up 430 basis points year over year</w:t>
      </w:r>
    </w:p>
    <w:p w14:paraId="55C0D568" w14:textId="77777777" w:rsidR="00A77B3E" w:rsidRDefault="00A90788" w:rsidP="006F54BB">
      <w:pPr>
        <w:numPr>
          <w:ilvl w:val="0"/>
          <w:numId w:val="5"/>
        </w:numPr>
        <w:spacing w:line="288" w:lineRule="auto"/>
        <w:ind w:left="1440"/>
        <w:rPr>
          <w:rFonts w:ascii="Arial" w:eastAsia="Arial" w:hAnsi="Arial" w:cs="Arial"/>
          <w:i/>
          <w:sz w:val="22"/>
        </w:rPr>
      </w:pPr>
      <w:r>
        <w:rPr>
          <w:rFonts w:ascii="Arial" w:eastAsia="Arial" w:hAnsi="Arial" w:cs="Arial"/>
          <w:i/>
          <w:sz w:val="22"/>
        </w:rPr>
        <w:t>Non-GAAP operating margin of 26.9%, up 210 basis points year over year</w:t>
      </w:r>
      <w:r>
        <w:rPr>
          <w:rFonts w:ascii="Arial" w:eastAsia="Arial" w:hAnsi="Arial" w:cs="Arial"/>
          <w:i/>
          <w:sz w:val="22"/>
          <w:vertAlign w:val="superscript"/>
        </w:rPr>
        <w:t>1</w:t>
      </w:r>
    </w:p>
    <w:p w14:paraId="61C7C8C0" w14:textId="77777777" w:rsidR="00A77B3E" w:rsidRDefault="00A90788" w:rsidP="006F54BB">
      <w:pPr>
        <w:numPr>
          <w:ilvl w:val="0"/>
          <w:numId w:val="5"/>
        </w:numPr>
        <w:spacing w:line="288" w:lineRule="auto"/>
        <w:ind w:left="1440"/>
        <w:rPr>
          <w:rFonts w:ascii="Arial" w:eastAsia="Arial" w:hAnsi="Arial" w:cs="Arial"/>
          <w:i/>
          <w:sz w:val="22"/>
        </w:rPr>
      </w:pPr>
      <w:r>
        <w:rPr>
          <w:rFonts w:ascii="Arial" w:eastAsia="Arial" w:hAnsi="Arial" w:cs="Arial"/>
          <w:i/>
          <w:sz w:val="22"/>
        </w:rPr>
        <w:t xml:space="preserve">GAAP diluted net income per share of </w:t>
      </w:r>
      <w:proofErr w:type="gramStart"/>
      <w:r>
        <w:rPr>
          <w:rFonts w:ascii="Arial" w:eastAsia="Arial" w:hAnsi="Arial" w:cs="Arial"/>
          <w:i/>
          <w:sz w:val="22"/>
        </w:rPr>
        <w:t>$2.91</w:t>
      </w:r>
      <w:proofErr w:type="gramEnd"/>
    </w:p>
    <w:p w14:paraId="486D6303" w14:textId="77777777" w:rsidR="00A77B3E" w:rsidRDefault="00A90788" w:rsidP="006F54BB">
      <w:pPr>
        <w:numPr>
          <w:ilvl w:val="0"/>
          <w:numId w:val="5"/>
        </w:numPr>
        <w:spacing w:line="288" w:lineRule="auto"/>
        <w:ind w:left="1440"/>
        <w:rPr>
          <w:rFonts w:ascii="Arial" w:eastAsia="Arial" w:hAnsi="Arial" w:cs="Arial"/>
          <w:i/>
          <w:sz w:val="22"/>
        </w:rPr>
      </w:pPr>
      <w:r>
        <w:rPr>
          <w:rFonts w:ascii="Arial" w:eastAsia="Arial" w:hAnsi="Arial" w:cs="Arial"/>
          <w:i/>
          <w:sz w:val="22"/>
        </w:rPr>
        <w:t xml:space="preserve">Non-GAAP diluted net income per share of </w:t>
      </w:r>
      <w:proofErr w:type="gramStart"/>
      <w:r>
        <w:rPr>
          <w:rFonts w:ascii="Arial" w:eastAsia="Arial" w:hAnsi="Arial" w:cs="Arial"/>
          <w:i/>
          <w:sz w:val="22"/>
        </w:rPr>
        <w:t>$3.35</w:t>
      </w:r>
      <w:r>
        <w:rPr>
          <w:rFonts w:ascii="Arial" w:eastAsia="Arial" w:hAnsi="Arial" w:cs="Arial"/>
          <w:i/>
          <w:sz w:val="22"/>
          <w:vertAlign w:val="superscript"/>
        </w:rPr>
        <w:t>1</w:t>
      </w:r>
      <w:proofErr w:type="gramEnd"/>
    </w:p>
    <w:p w14:paraId="277C4E32" w14:textId="77777777" w:rsidR="00A77B3E" w:rsidRDefault="00A90788" w:rsidP="006F54BB">
      <w:pPr>
        <w:numPr>
          <w:ilvl w:val="0"/>
          <w:numId w:val="5"/>
        </w:numPr>
        <w:spacing w:line="288" w:lineRule="auto"/>
        <w:ind w:left="1440"/>
        <w:rPr>
          <w:rFonts w:ascii="Arial" w:eastAsia="Arial" w:hAnsi="Arial" w:cs="Arial"/>
          <w:i/>
          <w:sz w:val="22"/>
        </w:rPr>
      </w:pPr>
      <w:r>
        <w:rPr>
          <w:rFonts w:ascii="Arial" w:eastAsia="Arial" w:hAnsi="Arial" w:cs="Arial"/>
          <w:i/>
          <w:sz w:val="22"/>
        </w:rPr>
        <w:t>Cash flow from operations of $1.08 billion</w:t>
      </w:r>
    </w:p>
    <w:p w14:paraId="66D0A16A" w14:textId="77777777" w:rsidR="00A77B3E" w:rsidRDefault="00A90788" w:rsidP="006F54BB">
      <w:pPr>
        <w:numPr>
          <w:ilvl w:val="0"/>
          <w:numId w:val="5"/>
        </w:numPr>
        <w:spacing w:line="288" w:lineRule="auto"/>
        <w:ind w:left="1440"/>
        <w:rPr>
          <w:rFonts w:ascii="Arial" w:eastAsia="Arial" w:hAnsi="Arial" w:cs="Arial"/>
          <w:i/>
          <w:sz w:val="22"/>
        </w:rPr>
      </w:pPr>
      <w:r>
        <w:rPr>
          <w:rFonts w:ascii="Arial" w:eastAsia="Arial" w:hAnsi="Arial" w:cs="Arial"/>
          <w:i/>
          <w:sz w:val="22"/>
        </w:rPr>
        <w:t>Free cash flow of $907.8 million</w:t>
      </w:r>
      <w:r>
        <w:rPr>
          <w:rFonts w:ascii="Arial" w:eastAsia="Arial" w:hAnsi="Arial" w:cs="Arial"/>
          <w:i/>
          <w:sz w:val="22"/>
          <w:vertAlign w:val="superscript"/>
        </w:rPr>
        <w:t>1</w:t>
      </w:r>
    </w:p>
    <w:p w14:paraId="6CCD43C2" w14:textId="77777777" w:rsidR="00A77B3E" w:rsidRDefault="00A77B3E">
      <w:pPr>
        <w:spacing w:line="288" w:lineRule="auto"/>
        <w:ind w:left="1440"/>
        <w:rPr>
          <w:rFonts w:ascii="Arial" w:eastAsia="Arial" w:hAnsi="Arial" w:cs="Arial"/>
          <w:i/>
          <w:sz w:val="22"/>
        </w:rPr>
      </w:pPr>
    </w:p>
    <w:p w14:paraId="19AD6B08" w14:textId="77777777" w:rsidR="00A77B3E" w:rsidRDefault="00A90788">
      <w:pPr>
        <w:keepNext/>
        <w:keepLines/>
        <w:widowControl w:val="0"/>
        <w:spacing w:line="288" w:lineRule="auto"/>
        <w:rPr>
          <w:rFonts w:ascii="Arial" w:eastAsia="Arial" w:hAnsi="Arial" w:cs="Arial"/>
          <w:b/>
          <w:sz w:val="22"/>
        </w:rPr>
      </w:pPr>
      <w:r>
        <w:rPr>
          <w:rFonts w:ascii="Arial" w:eastAsia="Arial" w:hAnsi="Arial" w:cs="Arial"/>
          <w:b/>
          <w:sz w:val="22"/>
        </w:rPr>
        <w:t xml:space="preserve">SUNNYVALE, Calif. - </w:t>
      </w:r>
      <w:r>
        <w:rPr>
          <w:rFonts w:ascii="Arial" w:eastAsia="Arial" w:hAnsi="Arial" w:cs="Arial"/>
          <w:b/>
          <w:sz w:val="22"/>
          <w:shd w:val="clear" w:color="auto" w:fill="FFFFFF"/>
        </w:rPr>
        <w:t>February 4, 2021</w:t>
      </w:r>
      <w:r>
        <w:rPr>
          <w:rFonts w:ascii="Arial" w:eastAsia="Arial" w:hAnsi="Arial" w:cs="Arial"/>
          <w:b/>
          <w:sz w:val="22"/>
        </w:rPr>
        <w:t xml:space="preserve"> </w:t>
      </w:r>
      <w:r>
        <w:rPr>
          <w:rFonts w:ascii="Arial" w:eastAsia="Arial" w:hAnsi="Arial" w:cs="Arial"/>
          <w:sz w:val="22"/>
        </w:rPr>
        <w:t xml:space="preserve">- Fortinet® (Nasdaq: FTNT), a global leader in broad, </w:t>
      </w:r>
      <w:proofErr w:type="gramStart"/>
      <w:r>
        <w:rPr>
          <w:rFonts w:ascii="Arial" w:eastAsia="Arial" w:hAnsi="Arial" w:cs="Arial"/>
          <w:sz w:val="22"/>
        </w:rPr>
        <w:t>integrated</w:t>
      </w:r>
      <w:proofErr w:type="gramEnd"/>
      <w:r>
        <w:rPr>
          <w:rFonts w:ascii="Arial" w:eastAsia="Arial" w:hAnsi="Arial" w:cs="Arial"/>
          <w:sz w:val="22"/>
        </w:rPr>
        <w:t xml:space="preserve"> and automated cybersecurity solutions, today announced financial results for the fourth quarter and full year ended December 31, 2020.</w:t>
      </w:r>
    </w:p>
    <w:p w14:paraId="2CEFC7A2" w14:textId="77777777" w:rsidR="00A77B3E" w:rsidRDefault="00A77B3E">
      <w:pPr>
        <w:spacing w:line="288" w:lineRule="auto"/>
        <w:rPr>
          <w:rFonts w:ascii="Arial" w:eastAsia="Arial" w:hAnsi="Arial" w:cs="Arial"/>
          <w:sz w:val="22"/>
          <w:shd w:val="clear" w:color="auto" w:fill="FFFFFF"/>
        </w:rPr>
      </w:pPr>
    </w:p>
    <w:p w14:paraId="05CA4E66" w14:textId="77777777" w:rsidR="00A77B3E" w:rsidRDefault="00A90788">
      <w:pPr>
        <w:spacing w:line="276" w:lineRule="auto"/>
        <w:rPr>
          <w:rFonts w:ascii="Arial" w:eastAsia="Arial" w:hAnsi="Arial" w:cs="Arial"/>
          <w:shd w:val="clear" w:color="auto" w:fill="FFFFFF"/>
        </w:rPr>
      </w:pPr>
      <w:r>
        <w:rPr>
          <w:rFonts w:ascii="Arial" w:eastAsia="Arial" w:hAnsi="Arial" w:cs="Arial"/>
          <w:sz w:val="22"/>
          <w:shd w:val="clear" w:color="auto" w:fill="FFFFFF"/>
        </w:rPr>
        <w:t xml:space="preserve">"We reported our third consecutive year of product revenue growth of approximately 16%, services revenue growth of approximately 22% and total organic revenue growth of approximately 20%. These results were driven by a strong worldwide sales operation, an innovative culture that results in a diversified product set and the market’s growing demand for cybersecurity products both </w:t>
      </w:r>
      <w:proofErr w:type="gramStart"/>
      <w:r>
        <w:rPr>
          <w:rFonts w:ascii="Arial" w:eastAsia="Arial" w:hAnsi="Arial" w:cs="Arial"/>
          <w:sz w:val="22"/>
          <w:shd w:val="clear" w:color="auto" w:fill="FFFFFF"/>
        </w:rPr>
        <w:t>on-premise</w:t>
      </w:r>
      <w:proofErr w:type="gramEnd"/>
      <w:r>
        <w:rPr>
          <w:rFonts w:ascii="Arial" w:eastAsia="Arial" w:hAnsi="Arial" w:cs="Arial"/>
          <w:sz w:val="22"/>
          <w:shd w:val="clear" w:color="auto" w:fill="FFFFFF"/>
        </w:rPr>
        <w:t xml:space="preserve"> and in the cloud. Our solid 2020 revenue performance led to an all-time company high non</w:t>
      </w:r>
      <w:r>
        <w:rPr>
          <w:rFonts w:ascii="Arial" w:eastAsia="Arial" w:hAnsi="Arial" w:cs="Arial"/>
          <w:sz w:val="22"/>
        </w:rPr>
        <w:t xml:space="preserve">-GAAP operating margin of 26.9%,” said Ken Xie, Founder, </w:t>
      </w:r>
      <w:r>
        <w:rPr>
          <w:rFonts w:ascii="Arial" w:eastAsia="Arial" w:hAnsi="Arial" w:cs="Arial"/>
          <w:sz w:val="22"/>
        </w:rPr>
        <w:lastRenderedPageBreak/>
        <w:t>Chairman, and Chief Executive Officer. “Given the many growth opportunities that lie ahead for us, we plan to shift our focus more to growth for at least the next several quarters.”</w:t>
      </w:r>
    </w:p>
    <w:p w14:paraId="3D2E498A" w14:textId="77777777" w:rsidR="00A77B3E" w:rsidRDefault="00A77B3E">
      <w:pPr>
        <w:spacing w:line="288" w:lineRule="auto"/>
        <w:rPr>
          <w:rFonts w:ascii="Arial" w:eastAsia="Arial" w:hAnsi="Arial" w:cs="Arial"/>
          <w:sz w:val="22"/>
        </w:rPr>
      </w:pPr>
    </w:p>
    <w:p w14:paraId="33C80C99" w14:textId="77777777" w:rsidR="00A77B3E" w:rsidRDefault="00A77B3E">
      <w:pPr>
        <w:spacing w:line="288" w:lineRule="auto"/>
        <w:rPr>
          <w:rFonts w:ascii="Arial" w:eastAsia="Arial" w:hAnsi="Arial" w:cs="Arial"/>
          <w:b/>
          <w:sz w:val="22"/>
        </w:rPr>
      </w:pPr>
    </w:p>
    <w:p w14:paraId="1C981EC7" w14:textId="77777777" w:rsidR="00A77B3E" w:rsidRDefault="00A90788" w:rsidP="00A90788">
      <w:pPr>
        <w:spacing w:line="288" w:lineRule="auto"/>
        <w:rPr>
          <w:sz w:val="20"/>
        </w:rPr>
      </w:pPr>
      <w:r>
        <w:rPr>
          <w:rFonts w:ascii="Arial" w:eastAsia="Arial" w:hAnsi="Arial" w:cs="Arial"/>
          <w:b/>
          <w:sz w:val="22"/>
          <w:u w:val="single"/>
        </w:rPr>
        <w:t>Financial Highlights for the Fourth Quarter of 2020</w:t>
      </w:r>
      <w:r>
        <w:rPr>
          <w:rFonts w:ascii="Arial" w:eastAsia="Arial" w:hAnsi="Arial" w:cs="Arial"/>
          <w:b/>
          <w:sz w:val="22"/>
          <w:vertAlign w:val="superscript"/>
        </w:rPr>
        <w:t>2</w:t>
      </w:r>
    </w:p>
    <w:p w14:paraId="12E17FED" w14:textId="77777777" w:rsidR="00A77B3E" w:rsidRDefault="00A77B3E">
      <w:pPr>
        <w:spacing w:line="288" w:lineRule="auto"/>
        <w:rPr>
          <w:rFonts w:ascii="Arial" w:eastAsia="Arial" w:hAnsi="Arial" w:cs="Arial"/>
          <w:b/>
          <w:sz w:val="22"/>
        </w:rPr>
      </w:pPr>
    </w:p>
    <w:p w14:paraId="6FF57372" w14:textId="77777777" w:rsidR="00A77B3E" w:rsidRDefault="00A90788" w:rsidP="006F54BB">
      <w:pPr>
        <w:numPr>
          <w:ilvl w:val="0"/>
          <w:numId w:val="6"/>
        </w:numPr>
        <w:spacing w:line="288" w:lineRule="auto"/>
        <w:rPr>
          <w:rFonts w:ascii="Arial" w:eastAsia="Arial" w:hAnsi="Arial" w:cs="Arial"/>
          <w:sz w:val="22"/>
        </w:rPr>
      </w:pPr>
      <w:r>
        <w:rPr>
          <w:rFonts w:ascii="Arial" w:eastAsia="Arial" w:hAnsi="Arial" w:cs="Arial"/>
          <w:b/>
          <w:sz w:val="22"/>
        </w:rPr>
        <w:t>Revenue:</w:t>
      </w:r>
      <w:r>
        <w:rPr>
          <w:rFonts w:ascii="Arial" w:eastAsia="Arial" w:hAnsi="Arial" w:cs="Arial"/>
          <w:sz w:val="22"/>
        </w:rPr>
        <w:t xml:space="preserve"> Total revenue was $748.0 million for the fourth quarter of 2020, an increase of 21.0% compared to $618.1 million for the same quarter of 2019. </w:t>
      </w:r>
    </w:p>
    <w:p w14:paraId="365AE024" w14:textId="77777777" w:rsidR="00A77B3E" w:rsidRDefault="00A77B3E">
      <w:pPr>
        <w:spacing w:line="288" w:lineRule="auto"/>
        <w:ind w:left="720"/>
        <w:rPr>
          <w:rFonts w:ascii="Arial" w:eastAsia="Arial" w:hAnsi="Arial" w:cs="Arial"/>
          <w:sz w:val="22"/>
        </w:rPr>
      </w:pPr>
    </w:p>
    <w:p w14:paraId="57558524" w14:textId="77777777" w:rsidR="00A77B3E" w:rsidRDefault="00A90788" w:rsidP="006F54BB">
      <w:pPr>
        <w:numPr>
          <w:ilvl w:val="0"/>
          <w:numId w:val="6"/>
        </w:numPr>
        <w:spacing w:line="288" w:lineRule="auto"/>
        <w:rPr>
          <w:rFonts w:ascii="Arial" w:eastAsia="Arial" w:hAnsi="Arial" w:cs="Arial"/>
          <w:sz w:val="22"/>
        </w:rPr>
      </w:pPr>
      <w:r>
        <w:rPr>
          <w:rFonts w:ascii="Arial" w:eastAsia="Arial" w:hAnsi="Arial" w:cs="Arial"/>
          <w:b/>
          <w:sz w:val="22"/>
        </w:rPr>
        <w:t>Product Revenue:</w:t>
      </w:r>
      <w:r>
        <w:rPr>
          <w:rFonts w:ascii="Arial" w:eastAsia="Arial" w:hAnsi="Arial" w:cs="Arial"/>
          <w:sz w:val="22"/>
        </w:rPr>
        <w:t xml:space="preserve"> Product revenue was $288.4 million for the fourth quarter of 2020, an increase of 20.8% compared to $238.8 million for the same quarter of 2019. </w:t>
      </w:r>
    </w:p>
    <w:p w14:paraId="06E19B89" w14:textId="77777777" w:rsidR="00A77B3E" w:rsidRDefault="00A77B3E">
      <w:pPr>
        <w:spacing w:line="288" w:lineRule="auto"/>
        <w:rPr>
          <w:rFonts w:ascii="Arial" w:eastAsia="Arial" w:hAnsi="Arial" w:cs="Arial"/>
          <w:b/>
          <w:sz w:val="22"/>
        </w:rPr>
      </w:pPr>
    </w:p>
    <w:p w14:paraId="18188800" w14:textId="77777777" w:rsidR="00A77B3E" w:rsidRDefault="00A90788" w:rsidP="006F54BB">
      <w:pPr>
        <w:numPr>
          <w:ilvl w:val="0"/>
          <w:numId w:val="6"/>
        </w:numPr>
        <w:spacing w:line="288" w:lineRule="auto"/>
        <w:rPr>
          <w:rFonts w:ascii="Arial" w:eastAsia="Arial" w:hAnsi="Arial" w:cs="Arial"/>
          <w:sz w:val="22"/>
        </w:rPr>
      </w:pPr>
      <w:r>
        <w:rPr>
          <w:rFonts w:ascii="Arial" w:eastAsia="Arial" w:hAnsi="Arial" w:cs="Arial"/>
          <w:b/>
          <w:sz w:val="22"/>
        </w:rPr>
        <w:t>Service Revenue:</w:t>
      </w:r>
      <w:r>
        <w:rPr>
          <w:rFonts w:ascii="Arial" w:eastAsia="Arial" w:hAnsi="Arial" w:cs="Arial"/>
          <w:sz w:val="22"/>
        </w:rPr>
        <w:t xml:space="preserve"> Service revenue was $459.6 million for the fourth quarter of 2020, an increase of 21.2% compared to $379.3 million for the same quarter of 2019. </w:t>
      </w:r>
    </w:p>
    <w:p w14:paraId="00262871" w14:textId="77777777" w:rsidR="00A77B3E" w:rsidRDefault="00A77B3E">
      <w:pPr>
        <w:spacing w:line="288" w:lineRule="auto"/>
        <w:rPr>
          <w:rFonts w:ascii="Arial" w:eastAsia="Arial" w:hAnsi="Arial" w:cs="Arial"/>
          <w:sz w:val="22"/>
        </w:rPr>
      </w:pPr>
    </w:p>
    <w:p w14:paraId="52EA329E" w14:textId="77777777" w:rsidR="00A77B3E" w:rsidRDefault="00A90788" w:rsidP="006F54BB">
      <w:pPr>
        <w:numPr>
          <w:ilvl w:val="0"/>
          <w:numId w:val="7"/>
        </w:numPr>
        <w:spacing w:line="288" w:lineRule="auto"/>
        <w:rPr>
          <w:rFonts w:ascii="Arial" w:eastAsia="Arial" w:hAnsi="Arial" w:cs="Arial"/>
          <w:sz w:val="22"/>
        </w:rPr>
      </w:pPr>
      <w:r>
        <w:rPr>
          <w:rFonts w:ascii="Arial" w:eastAsia="Arial" w:hAnsi="Arial" w:cs="Arial"/>
          <w:b/>
          <w:sz w:val="22"/>
        </w:rPr>
        <w:t>Billings</w:t>
      </w:r>
      <w:r>
        <w:rPr>
          <w:rFonts w:ascii="Arial" w:eastAsia="Arial" w:hAnsi="Arial" w:cs="Arial"/>
          <w:b/>
          <w:sz w:val="22"/>
          <w:vertAlign w:val="superscript"/>
        </w:rPr>
        <w:t>1</w:t>
      </w:r>
      <w:r>
        <w:rPr>
          <w:rFonts w:ascii="Arial" w:eastAsia="Arial" w:hAnsi="Arial" w:cs="Arial"/>
          <w:b/>
          <w:sz w:val="22"/>
        </w:rPr>
        <w:t xml:space="preserve">: </w:t>
      </w:r>
      <w:r>
        <w:rPr>
          <w:rFonts w:ascii="Arial" w:eastAsia="Arial" w:hAnsi="Arial" w:cs="Arial"/>
          <w:sz w:val="22"/>
        </w:rPr>
        <w:t>Total billings were $960.9 million for the fourth quarter of 2020, an increase of 19.8% compared to $802.3 million for the same quarter of 2019.</w:t>
      </w:r>
    </w:p>
    <w:p w14:paraId="7DA4C0BF" w14:textId="77777777" w:rsidR="00A77B3E" w:rsidRDefault="00A77B3E">
      <w:pPr>
        <w:spacing w:line="288" w:lineRule="auto"/>
        <w:rPr>
          <w:rFonts w:ascii="Arial" w:eastAsia="Arial" w:hAnsi="Arial" w:cs="Arial"/>
          <w:sz w:val="22"/>
        </w:rPr>
      </w:pPr>
    </w:p>
    <w:p w14:paraId="34835673" w14:textId="77777777" w:rsidR="00A77B3E" w:rsidRDefault="00A90788" w:rsidP="006F54BB">
      <w:pPr>
        <w:numPr>
          <w:ilvl w:val="0"/>
          <w:numId w:val="8"/>
        </w:numPr>
        <w:spacing w:line="288" w:lineRule="auto"/>
        <w:rPr>
          <w:rFonts w:ascii="Arial" w:eastAsia="Arial" w:hAnsi="Arial" w:cs="Arial"/>
          <w:sz w:val="22"/>
        </w:rPr>
      </w:pPr>
      <w:r>
        <w:rPr>
          <w:rFonts w:ascii="Arial" w:eastAsia="Arial" w:hAnsi="Arial" w:cs="Arial"/>
          <w:b/>
          <w:sz w:val="22"/>
        </w:rPr>
        <w:t>GAAP Operating Income and Margin:</w:t>
      </w:r>
      <w:r>
        <w:rPr>
          <w:rFonts w:ascii="Arial" w:eastAsia="Arial" w:hAnsi="Arial" w:cs="Arial"/>
          <w:sz w:val="22"/>
        </w:rPr>
        <w:t xml:space="preserve"> GAAP operating income was $169.4 million for the fourth quarter of 2020, representing a GAAP operating margin of 22.6%. GAAP operating income was $122.1 million for the same quarter of 2019, representing a GAAP operating margin of 19.8%.</w:t>
      </w:r>
    </w:p>
    <w:p w14:paraId="2D984562" w14:textId="77777777" w:rsidR="00A77B3E" w:rsidRDefault="00A77B3E">
      <w:pPr>
        <w:spacing w:line="288" w:lineRule="auto"/>
        <w:rPr>
          <w:rFonts w:ascii="Arial" w:eastAsia="Arial" w:hAnsi="Arial" w:cs="Arial"/>
          <w:sz w:val="22"/>
        </w:rPr>
      </w:pPr>
    </w:p>
    <w:p w14:paraId="45AA7EA4" w14:textId="77777777" w:rsidR="00A77B3E" w:rsidRDefault="00A90788" w:rsidP="006F54BB">
      <w:pPr>
        <w:numPr>
          <w:ilvl w:val="0"/>
          <w:numId w:val="9"/>
        </w:numPr>
        <w:spacing w:line="288" w:lineRule="auto"/>
        <w:rPr>
          <w:rFonts w:ascii="Arial" w:eastAsia="Arial" w:hAnsi="Arial" w:cs="Arial"/>
          <w:sz w:val="22"/>
        </w:rPr>
      </w:pPr>
      <w:r>
        <w:rPr>
          <w:rFonts w:ascii="Arial" w:eastAsia="Arial" w:hAnsi="Arial" w:cs="Arial"/>
          <w:b/>
          <w:sz w:val="22"/>
        </w:rPr>
        <w:t>Non-GAAP</w:t>
      </w:r>
      <w:r>
        <w:rPr>
          <w:rFonts w:ascii="Arial" w:eastAsia="Arial" w:hAnsi="Arial" w:cs="Arial"/>
          <w:b/>
          <w:sz w:val="22"/>
          <w:vertAlign w:val="superscript"/>
        </w:rPr>
        <w:t xml:space="preserve"> </w:t>
      </w:r>
      <w:r>
        <w:rPr>
          <w:rFonts w:ascii="Arial" w:eastAsia="Arial" w:hAnsi="Arial" w:cs="Arial"/>
          <w:b/>
          <w:sz w:val="22"/>
        </w:rPr>
        <w:t>Operating Income</w:t>
      </w:r>
      <w:r>
        <w:rPr>
          <w:rFonts w:ascii="Arial" w:eastAsia="Arial" w:hAnsi="Arial" w:cs="Arial"/>
          <w:b/>
          <w:sz w:val="22"/>
          <w:vertAlign w:val="superscript"/>
        </w:rPr>
        <w:t xml:space="preserve"> </w:t>
      </w:r>
      <w:r>
        <w:rPr>
          <w:rFonts w:ascii="Arial" w:eastAsia="Arial" w:hAnsi="Arial" w:cs="Arial"/>
          <w:b/>
          <w:sz w:val="22"/>
        </w:rPr>
        <w:t>and Margin</w:t>
      </w:r>
      <w:r>
        <w:rPr>
          <w:rFonts w:ascii="Arial" w:eastAsia="Arial" w:hAnsi="Arial" w:cs="Arial"/>
          <w:b/>
          <w:sz w:val="22"/>
          <w:vertAlign w:val="superscript"/>
        </w:rPr>
        <w:t>1</w:t>
      </w:r>
      <w:r>
        <w:rPr>
          <w:rFonts w:ascii="Arial" w:eastAsia="Arial" w:hAnsi="Arial" w:cs="Arial"/>
          <w:b/>
          <w:sz w:val="22"/>
        </w:rPr>
        <w:t>:</w:t>
      </w:r>
      <w:r>
        <w:rPr>
          <w:rFonts w:ascii="Arial" w:eastAsia="Arial" w:hAnsi="Arial" w:cs="Arial"/>
          <w:sz w:val="22"/>
        </w:rPr>
        <w:t xml:space="preserve"> Non-GAAP operating income was $219.9 million for the fourth quarter of 2020, representing a non-GAAP operating margin of 29.4%. Non-GAAP operating income was $168.6 million for the fourth quarter of 2019, representing a non-GAAP operating margin of 27.3%.</w:t>
      </w:r>
    </w:p>
    <w:p w14:paraId="38C942B4" w14:textId="77777777" w:rsidR="00A77B3E" w:rsidRDefault="00A77B3E">
      <w:pPr>
        <w:spacing w:line="288" w:lineRule="auto"/>
        <w:rPr>
          <w:rFonts w:ascii="Arial" w:eastAsia="Arial" w:hAnsi="Arial" w:cs="Arial"/>
          <w:sz w:val="22"/>
        </w:rPr>
      </w:pPr>
    </w:p>
    <w:p w14:paraId="1C10C72A" w14:textId="77777777" w:rsidR="00A77B3E" w:rsidRDefault="00A90788" w:rsidP="006F54BB">
      <w:pPr>
        <w:keepLines/>
        <w:widowControl w:val="0"/>
        <w:numPr>
          <w:ilvl w:val="0"/>
          <w:numId w:val="9"/>
        </w:numPr>
        <w:spacing w:line="288" w:lineRule="auto"/>
        <w:rPr>
          <w:rFonts w:ascii="Arial" w:eastAsia="Arial" w:hAnsi="Arial" w:cs="Arial"/>
          <w:sz w:val="22"/>
        </w:rPr>
      </w:pPr>
      <w:r>
        <w:rPr>
          <w:rFonts w:ascii="Arial" w:eastAsia="Arial" w:hAnsi="Arial" w:cs="Arial"/>
          <w:b/>
          <w:sz w:val="22"/>
        </w:rPr>
        <w:t>GAAP Net Income and Diluted Net Income Per Share:</w:t>
      </w:r>
      <w:r>
        <w:rPr>
          <w:rFonts w:ascii="Arial" w:eastAsia="Arial" w:hAnsi="Arial" w:cs="Arial"/>
          <w:sz w:val="22"/>
        </w:rPr>
        <w:t xml:space="preserve"> GAAP net income was $146.7 million for the fourth quarter of 2020, compared to GAAP net income of $118.2 million for the same quarter of 2019. GAAP diluted net income per share was $0.89 for the fourth quarter of 2020, based on 165.5 million diluted weighted-average shares outstanding, compared to GAAP diluted net income per share of $0.67 for the same quarter of 2019, based on 175.2 million diluted weighted-average shares outstanding.</w:t>
      </w:r>
    </w:p>
    <w:p w14:paraId="4AB54C95" w14:textId="77777777" w:rsidR="00A77B3E" w:rsidRDefault="00A77B3E">
      <w:pPr>
        <w:spacing w:line="288" w:lineRule="auto"/>
        <w:rPr>
          <w:rFonts w:ascii="Arial" w:eastAsia="Arial" w:hAnsi="Arial" w:cs="Arial"/>
          <w:sz w:val="22"/>
        </w:rPr>
      </w:pPr>
    </w:p>
    <w:p w14:paraId="2847BE0E" w14:textId="77777777" w:rsidR="00A77B3E" w:rsidRDefault="00A90788" w:rsidP="006F54BB">
      <w:pPr>
        <w:keepNext/>
        <w:keepLines/>
        <w:widowControl w:val="0"/>
        <w:numPr>
          <w:ilvl w:val="0"/>
          <w:numId w:val="9"/>
        </w:numPr>
        <w:spacing w:line="288" w:lineRule="auto"/>
        <w:rPr>
          <w:rFonts w:ascii="Arial" w:eastAsia="Arial" w:hAnsi="Arial" w:cs="Arial"/>
          <w:sz w:val="22"/>
        </w:rPr>
      </w:pPr>
      <w:r>
        <w:rPr>
          <w:rFonts w:ascii="Arial" w:eastAsia="Arial" w:hAnsi="Arial" w:cs="Arial"/>
          <w:b/>
          <w:sz w:val="22"/>
        </w:rPr>
        <w:t>Non-GAAP</w:t>
      </w:r>
      <w:r>
        <w:rPr>
          <w:rFonts w:ascii="Arial" w:eastAsia="Arial" w:hAnsi="Arial" w:cs="Arial"/>
          <w:b/>
          <w:sz w:val="22"/>
          <w:vertAlign w:val="superscript"/>
        </w:rPr>
        <w:t xml:space="preserve"> </w:t>
      </w:r>
      <w:r>
        <w:rPr>
          <w:rFonts w:ascii="Arial" w:eastAsia="Arial" w:hAnsi="Arial" w:cs="Arial"/>
          <w:b/>
          <w:sz w:val="22"/>
        </w:rPr>
        <w:t>Net Income and Diluted Net Income Per Share</w:t>
      </w:r>
      <w:r>
        <w:rPr>
          <w:rFonts w:ascii="Arial" w:eastAsia="Arial" w:hAnsi="Arial" w:cs="Arial"/>
          <w:b/>
          <w:sz w:val="22"/>
          <w:vertAlign w:val="superscript"/>
        </w:rPr>
        <w:t>1</w:t>
      </w:r>
      <w:r>
        <w:rPr>
          <w:rFonts w:ascii="Arial" w:eastAsia="Arial" w:hAnsi="Arial" w:cs="Arial"/>
          <w:b/>
          <w:sz w:val="22"/>
        </w:rPr>
        <w:t xml:space="preserve">: </w:t>
      </w:r>
      <w:r>
        <w:rPr>
          <w:rFonts w:ascii="Arial" w:eastAsia="Arial" w:hAnsi="Arial" w:cs="Arial"/>
          <w:sz w:val="22"/>
        </w:rPr>
        <w:t>Non-GAAP net income was $175.5 million for the fourth quarter of 2020, compared to non-GAAP net income of $135.1 million for the same quarter of 2019. Non-GAAP diluted net income per share was $1.06 for the fourth quarter of 2020, based on 165.5 million diluted weighted-average shares outstanding, compared to $0.77 for the same quarter of 2019, based on 175.2 million diluted weighted-average shares outstanding.</w:t>
      </w:r>
    </w:p>
    <w:p w14:paraId="6352F554" w14:textId="77777777" w:rsidR="00A77B3E" w:rsidRDefault="00A77B3E">
      <w:pPr>
        <w:spacing w:line="288" w:lineRule="auto"/>
        <w:rPr>
          <w:rFonts w:ascii="Arial" w:eastAsia="Arial" w:hAnsi="Arial" w:cs="Arial"/>
          <w:sz w:val="22"/>
        </w:rPr>
      </w:pPr>
    </w:p>
    <w:p w14:paraId="009A73FB" w14:textId="77777777" w:rsidR="00A77B3E" w:rsidRDefault="00A90788" w:rsidP="006F54BB">
      <w:pPr>
        <w:numPr>
          <w:ilvl w:val="0"/>
          <w:numId w:val="10"/>
        </w:numPr>
        <w:spacing w:line="288" w:lineRule="auto"/>
        <w:rPr>
          <w:rFonts w:ascii="Arial" w:eastAsia="Arial" w:hAnsi="Arial" w:cs="Arial"/>
          <w:sz w:val="22"/>
        </w:rPr>
      </w:pPr>
      <w:r>
        <w:rPr>
          <w:rFonts w:ascii="Arial" w:eastAsia="Arial" w:hAnsi="Arial" w:cs="Arial"/>
          <w:b/>
          <w:sz w:val="22"/>
        </w:rPr>
        <w:t>Cash Flow:</w:t>
      </w:r>
      <w:r>
        <w:rPr>
          <w:rFonts w:ascii="Arial" w:eastAsia="Arial" w:hAnsi="Arial" w:cs="Arial"/>
          <w:sz w:val="22"/>
        </w:rPr>
        <w:t xml:space="preserve"> In the fourth quarter of 2020, cash flow from operations was $296.5 million compared to $190.4 million in the same quarter of 2019. </w:t>
      </w:r>
    </w:p>
    <w:p w14:paraId="40601D34" w14:textId="77777777" w:rsidR="00A77B3E" w:rsidRDefault="00A77B3E">
      <w:pPr>
        <w:spacing w:line="288" w:lineRule="auto"/>
        <w:rPr>
          <w:rFonts w:ascii="Arial" w:eastAsia="Arial" w:hAnsi="Arial" w:cs="Arial"/>
          <w:sz w:val="22"/>
        </w:rPr>
      </w:pPr>
    </w:p>
    <w:p w14:paraId="424D367F" w14:textId="77777777" w:rsidR="00A77B3E" w:rsidRDefault="00A90788" w:rsidP="006F54BB">
      <w:pPr>
        <w:numPr>
          <w:ilvl w:val="0"/>
          <w:numId w:val="10"/>
        </w:numPr>
        <w:spacing w:line="288" w:lineRule="auto"/>
        <w:rPr>
          <w:rFonts w:ascii="Arial" w:eastAsia="Arial" w:hAnsi="Arial" w:cs="Arial"/>
          <w:sz w:val="22"/>
        </w:rPr>
      </w:pPr>
      <w:r>
        <w:rPr>
          <w:rFonts w:ascii="Arial" w:eastAsia="Arial" w:hAnsi="Arial" w:cs="Arial"/>
          <w:b/>
          <w:sz w:val="22"/>
        </w:rPr>
        <w:lastRenderedPageBreak/>
        <w:t>Free Cash Flow</w:t>
      </w:r>
      <w:r>
        <w:rPr>
          <w:rFonts w:ascii="Arial" w:eastAsia="Arial" w:hAnsi="Arial" w:cs="Arial"/>
          <w:b/>
          <w:sz w:val="22"/>
          <w:vertAlign w:val="superscript"/>
        </w:rPr>
        <w:t>1</w:t>
      </w:r>
      <w:r>
        <w:rPr>
          <w:rFonts w:ascii="Arial" w:eastAsia="Arial" w:hAnsi="Arial" w:cs="Arial"/>
          <w:b/>
          <w:sz w:val="22"/>
        </w:rPr>
        <w:t>:</w:t>
      </w:r>
      <w:r>
        <w:rPr>
          <w:rFonts w:ascii="Arial" w:eastAsia="Arial" w:hAnsi="Arial" w:cs="Arial"/>
          <w:sz w:val="22"/>
        </w:rPr>
        <w:t xml:space="preserve"> Free cash flow was $264.2 million during the fourth quarter of 2020, compared to $143.2 million for the same quarter of 2019.</w:t>
      </w:r>
    </w:p>
    <w:p w14:paraId="27308CF1" w14:textId="77777777" w:rsidR="00A77B3E" w:rsidRDefault="00A77B3E">
      <w:pPr>
        <w:spacing w:line="288" w:lineRule="auto"/>
        <w:rPr>
          <w:rFonts w:ascii="Arial" w:eastAsia="Arial" w:hAnsi="Arial" w:cs="Arial"/>
          <w:sz w:val="22"/>
        </w:rPr>
      </w:pPr>
    </w:p>
    <w:p w14:paraId="0C9BB51F" w14:textId="77777777" w:rsidR="00A77B3E" w:rsidRDefault="00A77B3E">
      <w:pPr>
        <w:spacing w:line="288" w:lineRule="auto"/>
        <w:rPr>
          <w:rFonts w:ascii="Arial" w:eastAsia="Arial" w:hAnsi="Arial" w:cs="Arial"/>
          <w:b/>
          <w:sz w:val="22"/>
        </w:rPr>
      </w:pPr>
    </w:p>
    <w:p w14:paraId="4C80293F" w14:textId="77777777" w:rsidR="00A77B3E" w:rsidRDefault="00A90788">
      <w:pPr>
        <w:spacing w:line="288" w:lineRule="auto"/>
        <w:rPr>
          <w:sz w:val="20"/>
        </w:rPr>
      </w:pPr>
      <w:r>
        <w:rPr>
          <w:rFonts w:ascii="Arial" w:eastAsia="Arial" w:hAnsi="Arial" w:cs="Arial"/>
          <w:b/>
          <w:sz w:val="22"/>
          <w:u w:val="single"/>
        </w:rPr>
        <w:t>Financial Highlights for the Full Year 2020</w:t>
      </w:r>
      <w:r>
        <w:rPr>
          <w:rFonts w:ascii="Arial" w:eastAsia="Arial" w:hAnsi="Arial" w:cs="Arial"/>
          <w:b/>
          <w:sz w:val="22"/>
          <w:vertAlign w:val="superscript"/>
        </w:rPr>
        <w:t>2</w:t>
      </w:r>
    </w:p>
    <w:p w14:paraId="6BBB3E8F" w14:textId="77777777" w:rsidR="00A77B3E" w:rsidRDefault="00A77B3E">
      <w:pPr>
        <w:spacing w:line="288" w:lineRule="auto"/>
        <w:rPr>
          <w:rFonts w:ascii="Arial" w:eastAsia="Arial" w:hAnsi="Arial" w:cs="Arial"/>
          <w:b/>
          <w:sz w:val="22"/>
        </w:rPr>
      </w:pPr>
    </w:p>
    <w:p w14:paraId="095BEAA4" w14:textId="77777777" w:rsidR="00A77B3E" w:rsidRDefault="00A90788" w:rsidP="006F54BB">
      <w:pPr>
        <w:numPr>
          <w:ilvl w:val="0"/>
          <w:numId w:val="11"/>
        </w:numPr>
        <w:spacing w:line="288" w:lineRule="auto"/>
        <w:rPr>
          <w:rFonts w:ascii="Arial" w:eastAsia="Arial" w:hAnsi="Arial" w:cs="Arial"/>
          <w:sz w:val="22"/>
        </w:rPr>
      </w:pPr>
      <w:r>
        <w:rPr>
          <w:rFonts w:ascii="Arial" w:eastAsia="Arial" w:hAnsi="Arial" w:cs="Arial"/>
          <w:b/>
          <w:sz w:val="22"/>
        </w:rPr>
        <w:t>Revenue:</w:t>
      </w:r>
      <w:r>
        <w:rPr>
          <w:rFonts w:ascii="Arial" w:eastAsia="Arial" w:hAnsi="Arial" w:cs="Arial"/>
          <w:sz w:val="22"/>
        </w:rPr>
        <w:t xml:space="preserve"> Total revenue was $2.59 billion for 2020, an increase of 19.9% compared to $2.16 billion in 2019. </w:t>
      </w:r>
    </w:p>
    <w:p w14:paraId="26453E44" w14:textId="77777777" w:rsidR="00A77B3E" w:rsidRDefault="00A77B3E">
      <w:pPr>
        <w:spacing w:line="288" w:lineRule="auto"/>
        <w:ind w:left="720"/>
        <w:rPr>
          <w:rFonts w:ascii="Arial" w:eastAsia="Arial" w:hAnsi="Arial" w:cs="Arial"/>
          <w:sz w:val="22"/>
        </w:rPr>
      </w:pPr>
    </w:p>
    <w:p w14:paraId="49728261" w14:textId="77777777" w:rsidR="00A77B3E" w:rsidRDefault="00A90788" w:rsidP="006F54BB">
      <w:pPr>
        <w:numPr>
          <w:ilvl w:val="0"/>
          <w:numId w:val="11"/>
        </w:numPr>
        <w:spacing w:line="288" w:lineRule="auto"/>
        <w:rPr>
          <w:rFonts w:ascii="Arial" w:eastAsia="Arial" w:hAnsi="Arial" w:cs="Arial"/>
          <w:sz w:val="22"/>
        </w:rPr>
      </w:pPr>
      <w:r>
        <w:rPr>
          <w:rFonts w:ascii="Arial" w:eastAsia="Arial" w:hAnsi="Arial" w:cs="Arial"/>
          <w:b/>
          <w:sz w:val="22"/>
        </w:rPr>
        <w:t>Product Revenue:</w:t>
      </w:r>
      <w:r>
        <w:rPr>
          <w:rFonts w:ascii="Arial" w:eastAsia="Arial" w:hAnsi="Arial" w:cs="Arial"/>
          <w:sz w:val="22"/>
        </w:rPr>
        <w:t xml:space="preserve"> Product revenue was $916.4 million for 2020, an increase of 16.2% compared to $788.5 million in 2019. </w:t>
      </w:r>
    </w:p>
    <w:p w14:paraId="4900AE9C" w14:textId="77777777" w:rsidR="00A77B3E" w:rsidRDefault="00A77B3E">
      <w:pPr>
        <w:spacing w:line="288" w:lineRule="auto"/>
        <w:rPr>
          <w:rFonts w:ascii="Arial" w:eastAsia="Arial" w:hAnsi="Arial" w:cs="Arial"/>
          <w:b/>
          <w:sz w:val="22"/>
        </w:rPr>
      </w:pPr>
    </w:p>
    <w:p w14:paraId="3A377BAD" w14:textId="77777777" w:rsidR="00A77B3E" w:rsidRDefault="00A90788" w:rsidP="006F54BB">
      <w:pPr>
        <w:numPr>
          <w:ilvl w:val="0"/>
          <w:numId w:val="11"/>
        </w:numPr>
        <w:spacing w:line="288" w:lineRule="auto"/>
        <w:rPr>
          <w:rFonts w:ascii="Arial" w:eastAsia="Arial" w:hAnsi="Arial" w:cs="Arial"/>
          <w:sz w:val="22"/>
        </w:rPr>
      </w:pPr>
      <w:r>
        <w:rPr>
          <w:rFonts w:ascii="Arial" w:eastAsia="Arial" w:hAnsi="Arial" w:cs="Arial"/>
          <w:b/>
          <w:sz w:val="22"/>
        </w:rPr>
        <w:t>Service Revenue:</w:t>
      </w:r>
      <w:r>
        <w:rPr>
          <w:rFonts w:ascii="Arial" w:eastAsia="Arial" w:hAnsi="Arial" w:cs="Arial"/>
          <w:sz w:val="22"/>
        </w:rPr>
        <w:t xml:space="preserve"> Service revenue was $1.68 billion for 2020, an increase of 22.1% compared to $1.37 billion in 2019. </w:t>
      </w:r>
    </w:p>
    <w:p w14:paraId="7D906FFD" w14:textId="77777777" w:rsidR="00A77B3E" w:rsidRDefault="00A77B3E">
      <w:pPr>
        <w:spacing w:line="288" w:lineRule="auto"/>
        <w:rPr>
          <w:rFonts w:ascii="Arial" w:eastAsia="Arial" w:hAnsi="Arial" w:cs="Arial"/>
          <w:sz w:val="22"/>
        </w:rPr>
      </w:pPr>
    </w:p>
    <w:p w14:paraId="29253C71" w14:textId="77777777" w:rsidR="00A77B3E" w:rsidRDefault="00A90788" w:rsidP="006F54BB">
      <w:pPr>
        <w:numPr>
          <w:ilvl w:val="0"/>
          <w:numId w:val="12"/>
        </w:numPr>
        <w:spacing w:line="288" w:lineRule="auto"/>
        <w:rPr>
          <w:rFonts w:ascii="Arial" w:eastAsia="Arial" w:hAnsi="Arial" w:cs="Arial"/>
          <w:sz w:val="22"/>
        </w:rPr>
      </w:pPr>
      <w:r>
        <w:rPr>
          <w:rFonts w:ascii="Arial" w:eastAsia="Arial" w:hAnsi="Arial" w:cs="Arial"/>
          <w:b/>
          <w:sz w:val="22"/>
        </w:rPr>
        <w:t>Billings</w:t>
      </w:r>
      <w:r>
        <w:rPr>
          <w:rFonts w:ascii="Arial" w:eastAsia="Arial" w:hAnsi="Arial" w:cs="Arial"/>
          <w:b/>
          <w:sz w:val="22"/>
          <w:vertAlign w:val="superscript"/>
        </w:rPr>
        <w:t>1</w:t>
      </w:r>
      <w:r>
        <w:rPr>
          <w:rFonts w:ascii="Arial" w:eastAsia="Arial" w:hAnsi="Arial" w:cs="Arial"/>
          <w:b/>
          <w:sz w:val="22"/>
        </w:rPr>
        <w:t xml:space="preserve">: </w:t>
      </w:r>
      <w:r>
        <w:rPr>
          <w:rFonts w:ascii="Arial" w:eastAsia="Arial" w:hAnsi="Arial" w:cs="Arial"/>
          <w:sz w:val="22"/>
        </w:rPr>
        <w:t>Total billings were $3.09 billion for 2020, an increase of 18.7% compared to $2.60 billion in 2019.</w:t>
      </w:r>
    </w:p>
    <w:p w14:paraId="148C7486" w14:textId="77777777" w:rsidR="00A77B3E" w:rsidRDefault="00A77B3E">
      <w:pPr>
        <w:spacing w:line="288" w:lineRule="auto"/>
        <w:ind w:left="720"/>
        <w:rPr>
          <w:rFonts w:ascii="Arial" w:eastAsia="Arial" w:hAnsi="Arial" w:cs="Arial"/>
          <w:sz w:val="22"/>
        </w:rPr>
      </w:pPr>
    </w:p>
    <w:p w14:paraId="6B5EF85E" w14:textId="77777777" w:rsidR="00A77B3E" w:rsidRDefault="00A90788" w:rsidP="006F54BB">
      <w:pPr>
        <w:numPr>
          <w:ilvl w:val="0"/>
          <w:numId w:val="13"/>
        </w:numPr>
        <w:spacing w:line="288" w:lineRule="auto"/>
        <w:rPr>
          <w:rFonts w:ascii="Arial" w:eastAsia="Arial" w:hAnsi="Arial" w:cs="Arial"/>
          <w:sz w:val="22"/>
        </w:rPr>
      </w:pPr>
      <w:r>
        <w:rPr>
          <w:rFonts w:ascii="Arial" w:eastAsia="Arial" w:hAnsi="Arial" w:cs="Arial"/>
          <w:b/>
          <w:sz w:val="22"/>
        </w:rPr>
        <w:t>Deferred Revenue:</w:t>
      </w:r>
      <w:r>
        <w:rPr>
          <w:rFonts w:ascii="Arial" w:eastAsia="Arial" w:hAnsi="Arial" w:cs="Arial"/>
          <w:sz w:val="22"/>
        </w:rPr>
        <w:t xml:space="preserve"> Total deferred revenue was $2.61 billion as of December 31, 2020, an increase of 23.5% compared to $2.11 billion as of December 31, 2019.</w:t>
      </w:r>
    </w:p>
    <w:p w14:paraId="356B1720" w14:textId="77777777" w:rsidR="00A77B3E" w:rsidRDefault="00A77B3E">
      <w:pPr>
        <w:spacing w:line="288" w:lineRule="auto"/>
        <w:rPr>
          <w:rFonts w:ascii="Arial" w:eastAsia="Arial" w:hAnsi="Arial" w:cs="Arial"/>
          <w:sz w:val="22"/>
        </w:rPr>
      </w:pPr>
    </w:p>
    <w:p w14:paraId="6862EC88" w14:textId="77777777" w:rsidR="00A77B3E" w:rsidRDefault="00A90788" w:rsidP="006F54BB">
      <w:pPr>
        <w:numPr>
          <w:ilvl w:val="0"/>
          <w:numId w:val="13"/>
        </w:numPr>
        <w:spacing w:line="288" w:lineRule="auto"/>
        <w:rPr>
          <w:rFonts w:ascii="Arial" w:eastAsia="Arial" w:hAnsi="Arial" w:cs="Arial"/>
          <w:sz w:val="22"/>
        </w:rPr>
      </w:pPr>
      <w:r>
        <w:rPr>
          <w:rFonts w:ascii="Arial" w:eastAsia="Arial" w:hAnsi="Arial" w:cs="Arial"/>
          <w:b/>
          <w:sz w:val="22"/>
        </w:rPr>
        <w:t>GAAP Operating Income and Margin:</w:t>
      </w:r>
      <w:r>
        <w:rPr>
          <w:rFonts w:ascii="Arial" w:eastAsia="Arial" w:hAnsi="Arial" w:cs="Arial"/>
          <w:sz w:val="22"/>
        </w:rPr>
        <w:t xml:space="preserve"> GAAP operating income was $531.8 million </w:t>
      </w:r>
      <w:proofErr w:type="gramStart"/>
      <w:r>
        <w:rPr>
          <w:rFonts w:ascii="Arial" w:eastAsia="Arial" w:hAnsi="Arial" w:cs="Arial"/>
          <w:sz w:val="22"/>
        </w:rPr>
        <w:t>for  2020</w:t>
      </w:r>
      <w:proofErr w:type="gramEnd"/>
      <w:r>
        <w:rPr>
          <w:rFonts w:ascii="Arial" w:eastAsia="Arial" w:hAnsi="Arial" w:cs="Arial"/>
          <w:sz w:val="22"/>
        </w:rPr>
        <w:t>, representing a GAAP operating margin of 20.5%. GAAP operating income was $351.0 million for 2019, representing a GAAP operating margin of 16.2%.</w:t>
      </w:r>
    </w:p>
    <w:p w14:paraId="3619094E" w14:textId="77777777" w:rsidR="00A77B3E" w:rsidRDefault="00A77B3E">
      <w:pPr>
        <w:spacing w:line="288" w:lineRule="auto"/>
        <w:rPr>
          <w:rFonts w:ascii="Arial" w:eastAsia="Arial" w:hAnsi="Arial" w:cs="Arial"/>
          <w:sz w:val="22"/>
        </w:rPr>
      </w:pPr>
    </w:p>
    <w:p w14:paraId="7986BE63" w14:textId="77777777" w:rsidR="00A77B3E" w:rsidRDefault="00A90788" w:rsidP="006F54BB">
      <w:pPr>
        <w:numPr>
          <w:ilvl w:val="0"/>
          <w:numId w:val="14"/>
        </w:numPr>
        <w:spacing w:line="288" w:lineRule="auto"/>
        <w:rPr>
          <w:rFonts w:ascii="Arial" w:eastAsia="Arial" w:hAnsi="Arial" w:cs="Arial"/>
          <w:sz w:val="22"/>
        </w:rPr>
      </w:pPr>
      <w:r>
        <w:rPr>
          <w:rFonts w:ascii="Arial" w:eastAsia="Arial" w:hAnsi="Arial" w:cs="Arial"/>
          <w:b/>
          <w:sz w:val="22"/>
        </w:rPr>
        <w:t>Non-GAAP</w:t>
      </w:r>
      <w:r>
        <w:rPr>
          <w:rFonts w:ascii="Arial" w:eastAsia="Arial" w:hAnsi="Arial" w:cs="Arial"/>
          <w:b/>
          <w:sz w:val="22"/>
          <w:vertAlign w:val="superscript"/>
        </w:rPr>
        <w:t xml:space="preserve"> </w:t>
      </w:r>
      <w:r>
        <w:rPr>
          <w:rFonts w:ascii="Arial" w:eastAsia="Arial" w:hAnsi="Arial" w:cs="Arial"/>
          <w:b/>
          <w:sz w:val="22"/>
        </w:rPr>
        <w:t>Operating Income</w:t>
      </w:r>
      <w:r>
        <w:rPr>
          <w:rFonts w:ascii="Arial" w:eastAsia="Arial" w:hAnsi="Arial" w:cs="Arial"/>
          <w:b/>
          <w:sz w:val="22"/>
          <w:vertAlign w:val="superscript"/>
        </w:rPr>
        <w:t xml:space="preserve"> </w:t>
      </w:r>
      <w:r>
        <w:rPr>
          <w:rFonts w:ascii="Arial" w:eastAsia="Arial" w:hAnsi="Arial" w:cs="Arial"/>
          <w:b/>
          <w:sz w:val="22"/>
        </w:rPr>
        <w:t>and Margin</w:t>
      </w:r>
      <w:r>
        <w:rPr>
          <w:rFonts w:ascii="Arial" w:eastAsia="Arial" w:hAnsi="Arial" w:cs="Arial"/>
          <w:b/>
          <w:sz w:val="22"/>
          <w:vertAlign w:val="superscript"/>
        </w:rPr>
        <w:t>1</w:t>
      </w:r>
      <w:r>
        <w:rPr>
          <w:rFonts w:ascii="Arial" w:eastAsia="Arial" w:hAnsi="Arial" w:cs="Arial"/>
          <w:b/>
          <w:sz w:val="22"/>
        </w:rPr>
        <w:t>:</w:t>
      </w:r>
      <w:r>
        <w:rPr>
          <w:rFonts w:ascii="Arial" w:eastAsia="Arial" w:hAnsi="Arial" w:cs="Arial"/>
          <w:sz w:val="22"/>
        </w:rPr>
        <w:t xml:space="preserve"> Non-GAAP operating income was $698.0 million for 2020, representing a non-GAAP operating margin of 26.9%. Non-GAAP operating income was $536.0 million for 2019, representing a non-GAAP operating margin of 24.8%.</w:t>
      </w:r>
    </w:p>
    <w:p w14:paraId="4142DFFD" w14:textId="77777777" w:rsidR="00A77B3E" w:rsidRDefault="00A77B3E">
      <w:pPr>
        <w:spacing w:line="288" w:lineRule="auto"/>
        <w:rPr>
          <w:rFonts w:ascii="Arial" w:eastAsia="Arial" w:hAnsi="Arial" w:cs="Arial"/>
          <w:sz w:val="22"/>
        </w:rPr>
      </w:pPr>
    </w:p>
    <w:p w14:paraId="3D97C8D9" w14:textId="77777777" w:rsidR="00A77B3E" w:rsidRDefault="00A90788" w:rsidP="006F54BB">
      <w:pPr>
        <w:keepLines/>
        <w:widowControl w:val="0"/>
        <w:numPr>
          <w:ilvl w:val="0"/>
          <w:numId w:val="14"/>
        </w:numPr>
        <w:spacing w:line="288" w:lineRule="auto"/>
        <w:rPr>
          <w:rFonts w:ascii="Arial" w:eastAsia="Arial" w:hAnsi="Arial" w:cs="Arial"/>
          <w:sz w:val="22"/>
        </w:rPr>
      </w:pPr>
      <w:r>
        <w:rPr>
          <w:rFonts w:ascii="Arial" w:eastAsia="Arial" w:hAnsi="Arial" w:cs="Arial"/>
          <w:b/>
          <w:sz w:val="22"/>
        </w:rPr>
        <w:t>GAAP Net Income and Diluted Net Income Per Share:</w:t>
      </w:r>
      <w:r>
        <w:rPr>
          <w:rFonts w:ascii="Arial" w:eastAsia="Arial" w:hAnsi="Arial" w:cs="Arial"/>
          <w:sz w:val="22"/>
        </w:rPr>
        <w:t xml:space="preserve"> GAAP net income was $488.5 million for 2020, compared to GAAP net income of $331.7 million for 2019. GAAP diluted net income per share was $2.91 for 2020, based on 167.7 million diluted weighted-average shares outstanding, compared to GAAP diluted net income per share of $1.90 for 2019, based on 175.0 million diluted weighted-average shares outstanding.</w:t>
      </w:r>
    </w:p>
    <w:p w14:paraId="030101CE" w14:textId="77777777" w:rsidR="00A77B3E" w:rsidRDefault="00A77B3E">
      <w:pPr>
        <w:spacing w:line="288" w:lineRule="auto"/>
        <w:rPr>
          <w:rFonts w:ascii="Arial" w:eastAsia="Arial" w:hAnsi="Arial" w:cs="Arial"/>
          <w:sz w:val="22"/>
        </w:rPr>
      </w:pPr>
    </w:p>
    <w:p w14:paraId="58AEEE90" w14:textId="77777777" w:rsidR="00A77B3E" w:rsidRDefault="00A90788" w:rsidP="006F54BB">
      <w:pPr>
        <w:keepNext/>
        <w:keepLines/>
        <w:widowControl w:val="0"/>
        <w:numPr>
          <w:ilvl w:val="0"/>
          <w:numId w:val="14"/>
        </w:numPr>
        <w:spacing w:line="288" w:lineRule="auto"/>
        <w:rPr>
          <w:rFonts w:ascii="Arial" w:eastAsia="Arial" w:hAnsi="Arial" w:cs="Arial"/>
          <w:sz w:val="22"/>
        </w:rPr>
      </w:pPr>
      <w:r>
        <w:rPr>
          <w:rFonts w:ascii="Arial" w:eastAsia="Arial" w:hAnsi="Arial" w:cs="Arial"/>
          <w:b/>
          <w:sz w:val="22"/>
        </w:rPr>
        <w:t>Non-GAAP</w:t>
      </w:r>
      <w:r>
        <w:rPr>
          <w:rFonts w:ascii="Arial" w:eastAsia="Arial" w:hAnsi="Arial" w:cs="Arial"/>
          <w:b/>
          <w:sz w:val="22"/>
          <w:vertAlign w:val="superscript"/>
        </w:rPr>
        <w:t xml:space="preserve"> </w:t>
      </w:r>
      <w:r>
        <w:rPr>
          <w:rFonts w:ascii="Arial" w:eastAsia="Arial" w:hAnsi="Arial" w:cs="Arial"/>
          <w:b/>
          <w:sz w:val="22"/>
        </w:rPr>
        <w:t>Net Income and Diluted Net Income Per Share</w:t>
      </w:r>
      <w:r>
        <w:rPr>
          <w:rFonts w:ascii="Arial" w:eastAsia="Arial" w:hAnsi="Arial" w:cs="Arial"/>
          <w:b/>
          <w:sz w:val="22"/>
          <w:vertAlign w:val="superscript"/>
        </w:rPr>
        <w:t>1</w:t>
      </w:r>
      <w:r>
        <w:rPr>
          <w:rFonts w:ascii="Arial" w:eastAsia="Arial" w:hAnsi="Arial" w:cs="Arial"/>
          <w:b/>
          <w:sz w:val="22"/>
        </w:rPr>
        <w:t xml:space="preserve">: </w:t>
      </w:r>
      <w:r>
        <w:rPr>
          <w:rFonts w:ascii="Arial" w:eastAsia="Arial" w:hAnsi="Arial" w:cs="Arial"/>
          <w:sz w:val="22"/>
        </w:rPr>
        <w:t>Non-GAAP net income was $562.6 million for 2020, compared to non-GAAP net income of $436.7 million for 2019. Non-GAAP diluted net income per share was $3.35 for 2020, based on 167.7 million diluted weighted-average shares outstanding, compared to $2.50 for 2019, based on 175.0 million diluted weighted-average shares outstanding.</w:t>
      </w:r>
    </w:p>
    <w:p w14:paraId="4A02E308" w14:textId="77777777" w:rsidR="00A77B3E" w:rsidRDefault="00A77B3E">
      <w:pPr>
        <w:spacing w:line="288" w:lineRule="auto"/>
        <w:rPr>
          <w:rFonts w:ascii="Arial" w:eastAsia="Arial" w:hAnsi="Arial" w:cs="Arial"/>
          <w:sz w:val="22"/>
        </w:rPr>
      </w:pPr>
    </w:p>
    <w:p w14:paraId="6BCC76C8" w14:textId="77777777" w:rsidR="00A77B3E" w:rsidRDefault="00A90788" w:rsidP="006F54BB">
      <w:pPr>
        <w:numPr>
          <w:ilvl w:val="0"/>
          <w:numId w:val="15"/>
        </w:numPr>
        <w:spacing w:line="288" w:lineRule="auto"/>
        <w:rPr>
          <w:rFonts w:ascii="Arial" w:eastAsia="Arial" w:hAnsi="Arial" w:cs="Arial"/>
          <w:sz w:val="22"/>
        </w:rPr>
      </w:pPr>
      <w:r>
        <w:rPr>
          <w:rFonts w:ascii="Arial" w:eastAsia="Arial" w:hAnsi="Arial" w:cs="Arial"/>
          <w:b/>
          <w:sz w:val="22"/>
        </w:rPr>
        <w:t>Cash Flow:</w:t>
      </w:r>
      <w:r>
        <w:rPr>
          <w:rFonts w:ascii="Arial" w:eastAsia="Arial" w:hAnsi="Arial" w:cs="Arial"/>
          <w:sz w:val="22"/>
        </w:rPr>
        <w:t xml:space="preserve"> In 2020, cash flow from operations was $1.08 billion compared to $808.0 million in 2019. </w:t>
      </w:r>
    </w:p>
    <w:p w14:paraId="1DF5BE6F" w14:textId="77777777" w:rsidR="00A77B3E" w:rsidRDefault="00A77B3E">
      <w:pPr>
        <w:spacing w:line="288" w:lineRule="auto"/>
        <w:rPr>
          <w:rFonts w:ascii="Arial" w:eastAsia="Arial" w:hAnsi="Arial" w:cs="Arial"/>
          <w:sz w:val="22"/>
        </w:rPr>
      </w:pPr>
    </w:p>
    <w:p w14:paraId="779771D3" w14:textId="77777777" w:rsidR="00A77B3E" w:rsidRDefault="00A90788" w:rsidP="006F54BB">
      <w:pPr>
        <w:numPr>
          <w:ilvl w:val="0"/>
          <w:numId w:val="15"/>
        </w:numPr>
        <w:spacing w:line="288" w:lineRule="auto"/>
        <w:rPr>
          <w:rFonts w:ascii="Arial" w:eastAsia="Arial" w:hAnsi="Arial" w:cs="Arial"/>
          <w:sz w:val="22"/>
        </w:rPr>
      </w:pPr>
      <w:r>
        <w:rPr>
          <w:rFonts w:ascii="Arial" w:eastAsia="Arial" w:hAnsi="Arial" w:cs="Arial"/>
          <w:b/>
          <w:sz w:val="22"/>
        </w:rPr>
        <w:t>Free Cash Flow</w:t>
      </w:r>
      <w:r>
        <w:rPr>
          <w:rFonts w:ascii="Arial" w:eastAsia="Arial" w:hAnsi="Arial" w:cs="Arial"/>
          <w:b/>
          <w:sz w:val="22"/>
          <w:vertAlign w:val="superscript"/>
        </w:rPr>
        <w:t>1</w:t>
      </w:r>
      <w:r>
        <w:rPr>
          <w:rFonts w:ascii="Arial" w:eastAsia="Arial" w:hAnsi="Arial" w:cs="Arial"/>
          <w:b/>
          <w:sz w:val="22"/>
        </w:rPr>
        <w:t>:</w:t>
      </w:r>
      <w:r>
        <w:rPr>
          <w:rFonts w:ascii="Arial" w:eastAsia="Arial" w:hAnsi="Arial" w:cs="Arial"/>
          <w:sz w:val="22"/>
        </w:rPr>
        <w:t xml:space="preserve"> Free cash flow was $907.8 million during 2020, compared to $715.8 million in 2019.</w:t>
      </w:r>
    </w:p>
    <w:p w14:paraId="07F6B320" w14:textId="77777777" w:rsidR="00A77B3E" w:rsidRDefault="00A77B3E">
      <w:pPr>
        <w:spacing w:line="288" w:lineRule="auto"/>
        <w:ind w:left="720" w:hanging="360"/>
        <w:rPr>
          <w:rFonts w:ascii="Arial" w:eastAsia="Arial" w:hAnsi="Arial" w:cs="Arial"/>
          <w:sz w:val="22"/>
        </w:rPr>
      </w:pPr>
    </w:p>
    <w:p w14:paraId="1E4295B0" w14:textId="77777777" w:rsidR="00A77B3E" w:rsidRDefault="00A77B3E">
      <w:pPr>
        <w:keepNext/>
        <w:keepLines/>
        <w:widowControl w:val="0"/>
        <w:spacing w:line="288" w:lineRule="auto"/>
        <w:rPr>
          <w:rFonts w:ascii="Arial" w:eastAsia="Arial" w:hAnsi="Arial" w:cs="Arial"/>
          <w:b/>
          <w:sz w:val="22"/>
        </w:rPr>
      </w:pPr>
    </w:p>
    <w:p w14:paraId="7B754A37" w14:textId="77777777" w:rsidR="00A77B3E" w:rsidRDefault="00A90788">
      <w:pPr>
        <w:spacing w:line="288" w:lineRule="auto"/>
        <w:rPr>
          <w:sz w:val="20"/>
        </w:rPr>
      </w:pPr>
      <w:r>
        <w:rPr>
          <w:rFonts w:ascii="Arial" w:eastAsia="Arial" w:hAnsi="Arial" w:cs="Arial"/>
          <w:b/>
          <w:sz w:val="22"/>
          <w:u w:val="single"/>
        </w:rPr>
        <w:t>Guidance</w:t>
      </w:r>
    </w:p>
    <w:p w14:paraId="5DAD128B" w14:textId="77777777" w:rsidR="00A77B3E" w:rsidRDefault="00A77B3E">
      <w:pPr>
        <w:keepNext/>
        <w:keepLines/>
        <w:widowControl w:val="0"/>
        <w:spacing w:line="288" w:lineRule="auto"/>
        <w:rPr>
          <w:rFonts w:ascii="Arial" w:eastAsia="Arial" w:hAnsi="Arial" w:cs="Arial"/>
          <w:sz w:val="22"/>
        </w:rPr>
      </w:pPr>
    </w:p>
    <w:p w14:paraId="53AD545B" w14:textId="77777777" w:rsidR="00A77B3E" w:rsidRDefault="00A90788">
      <w:pPr>
        <w:keepNext/>
        <w:keepLines/>
        <w:widowControl w:val="0"/>
        <w:spacing w:line="288" w:lineRule="auto"/>
        <w:rPr>
          <w:rFonts w:ascii="Arial" w:eastAsia="Arial" w:hAnsi="Arial" w:cs="Arial"/>
          <w:sz w:val="22"/>
        </w:rPr>
      </w:pPr>
      <w:r>
        <w:rPr>
          <w:rFonts w:ascii="Arial" w:eastAsia="Arial" w:hAnsi="Arial" w:cs="Arial"/>
          <w:sz w:val="22"/>
        </w:rPr>
        <w:t>For the first quarter of 2021, Fortinet currently expects:</w:t>
      </w:r>
    </w:p>
    <w:p w14:paraId="3B8A1C8C" w14:textId="77777777" w:rsidR="00A77B3E" w:rsidRDefault="00A77B3E">
      <w:pPr>
        <w:keepNext/>
        <w:keepLines/>
        <w:widowControl w:val="0"/>
        <w:spacing w:line="288" w:lineRule="auto"/>
        <w:rPr>
          <w:rFonts w:ascii="Arial" w:eastAsia="Arial" w:hAnsi="Arial" w:cs="Arial"/>
          <w:sz w:val="22"/>
        </w:rPr>
      </w:pPr>
    </w:p>
    <w:p w14:paraId="3C75F981" w14:textId="77777777" w:rsidR="00A77B3E" w:rsidRDefault="00A90788" w:rsidP="006F54BB">
      <w:pPr>
        <w:keepNext/>
        <w:keepLines/>
        <w:widowControl w:val="0"/>
        <w:numPr>
          <w:ilvl w:val="0"/>
          <w:numId w:val="16"/>
        </w:numPr>
        <w:spacing w:line="288" w:lineRule="auto"/>
        <w:rPr>
          <w:rFonts w:ascii="Arial" w:eastAsia="Arial" w:hAnsi="Arial" w:cs="Arial"/>
          <w:sz w:val="22"/>
        </w:rPr>
      </w:pPr>
      <w:r>
        <w:rPr>
          <w:rFonts w:ascii="Arial" w:eastAsia="Arial" w:hAnsi="Arial" w:cs="Arial"/>
          <w:sz w:val="22"/>
        </w:rPr>
        <w:t>Revenue in the range of $670 million to $685 million</w:t>
      </w:r>
    </w:p>
    <w:p w14:paraId="14F1B11E" w14:textId="77777777" w:rsidR="00A77B3E" w:rsidRDefault="00A90788" w:rsidP="006F54BB">
      <w:pPr>
        <w:numPr>
          <w:ilvl w:val="0"/>
          <w:numId w:val="16"/>
        </w:numPr>
        <w:spacing w:line="288" w:lineRule="auto"/>
        <w:rPr>
          <w:sz w:val="20"/>
        </w:rPr>
      </w:pPr>
      <w:r>
        <w:rPr>
          <w:rFonts w:ascii="Arial" w:eastAsia="Arial" w:hAnsi="Arial" w:cs="Arial"/>
          <w:sz w:val="22"/>
        </w:rPr>
        <w:t>Billings in the range of $765 million to $780 million</w:t>
      </w:r>
    </w:p>
    <w:p w14:paraId="17248AEA" w14:textId="77777777" w:rsidR="00A77B3E" w:rsidRDefault="00A90788" w:rsidP="006F54BB">
      <w:pPr>
        <w:numPr>
          <w:ilvl w:val="0"/>
          <w:numId w:val="17"/>
        </w:numPr>
        <w:tabs>
          <w:tab w:val="left" w:pos="360"/>
        </w:tabs>
        <w:spacing w:line="288" w:lineRule="auto"/>
        <w:rPr>
          <w:rFonts w:ascii="Arial" w:eastAsia="Arial" w:hAnsi="Arial" w:cs="Arial"/>
          <w:sz w:val="22"/>
        </w:rPr>
      </w:pPr>
      <w:r>
        <w:rPr>
          <w:rFonts w:ascii="Arial" w:eastAsia="Arial" w:hAnsi="Arial" w:cs="Arial"/>
          <w:sz w:val="22"/>
        </w:rPr>
        <w:t>Non-GAAP gross margin in the range of 78.5% to 79.5%</w:t>
      </w:r>
    </w:p>
    <w:p w14:paraId="6FF203A1" w14:textId="77777777" w:rsidR="00A77B3E" w:rsidRDefault="00A90788" w:rsidP="006F54BB">
      <w:pPr>
        <w:numPr>
          <w:ilvl w:val="0"/>
          <w:numId w:val="17"/>
        </w:numPr>
        <w:tabs>
          <w:tab w:val="left" w:pos="360"/>
        </w:tabs>
        <w:spacing w:line="288" w:lineRule="auto"/>
        <w:rPr>
          <w:rFonts w:ascii="Arial" w:eastAsia="Arial" w:hAnsi="Arial" w:cs="Arial"/>
          <w:sz w:val="22"/>
        </w:rPr>
      </w:pPr>
      <w:r>
        <w:rPr>
          <w:rFonts w:ascii="Arial" w:eastAsia="Arial" w:hAnsi="Arial" w:cs="Arial"/>
          <w:sz w:val="22"/>
        </w:rPr>
        <w:t>Non-GAAP operating margin in the range of 22.5% to 23.5%</w:t>
      </w:r>
    </w:p>
    <w:p w14:paraId="32822269" w14:textId="77777777" w:rsidR="00A77B3E" w:rsidRDefault="00A90788" w:rsidP="006F54BB">
      <w:pPr>
        <w:numPr>
          <w:ilvl w:val="0"/>
          <w:numId w:val="17"/>
        </w:numPr>
        <w:spacing w:line="288" w:lineRule="auto"/>
        <w:rPr>
          <w:rFonts w:ascii="Arial" w:eastAsia="Arial" w:hAnsi="Arial" w:cs="Arial"/>
          <w:sz w:val="22"/>
        </w:rPr>
      </w:pPr>
      <w:r>
        <w:rPr>
          <w:rFonts w:ascii="Arial" w:eastAsia="Arial" w:hAnsi="Arial" w:cs="Arial"/>
          <w:sz w:val="22"/>
        </w:rPr>
        <w:t>Diluted non-GAAP net income per share in the range of $0.70 to $0.75, assuming a non-GAAP effective tax rate of 21%. This assumes a diluted share count of 167 million to 169 million.</w:t>
      </w:r>
    </w:p>
    <w:p w14:paraId="456EF7C7" w14:textId="77777777" w:rsidR="00A77B3E" w:rsidRDefault="00A77B3E">
      <w:pPr>
        <w:spacing w:line="288" w:lineRule="auto"/>
        <w:rPr>
          <w:rFonts w:ascii="Arial" w:eastAsia="Arial" w:hAnsi="Arial" w:cs="Arial"/>
          <w:sz w:val="22"/>
        </w:rPr>
      </w:pPr>
    </w:p>
    <w:p w14:paraId="4D245AC5" w14:textId="77777777" w:rsidR="00A77B3E" w:rsidRDefault="00A90788">
      <w:pPr>
        <w:keepNext/>
        <w:keepLines/>
        <w:widowControl w:val="0"/>
        <w:spacing w:line="288" w:lineRule="auto"/>
        <w:rPr>
          <w:rFonts w:ascii="Arial" w:eastAsia="Arial" w:hAnsi="Arial" w:cs="Arial"/>
          <w:sz w:val="22"/>
        </w:rPr>
      </w:pPr>
      <w:r>
        <w:rPr>
          <w:rFonts w:ascii="Arial" w:eastAsia="Arial" w:hAnsi="Arial" w:cs="Arial"/>
          <w:sz w:val="22"/>
        </w:rPr>
        <w:t>For the fiscal year 2021, Fortinet currently expects:</w:t>
      </w:r>
    </w:p>
    <w:p w14:paraId="06BB0A5E" w14:textId="77777777" w:rsidR="00A77B3E" w:rsidRDefault="00A77B3E">
      <w:pPr>
        <w:keepNext/>
        <w:keepLines/>
        <w:widowControl w:val="0"/>
        <w:spacing w:line="288" w:lineRule="auto"/>
        <w:rPr>
          <w:rFonts w:ascii="Arial" w:eastAsia="Arial" w:hAnsi="Arial" w:cs="Arial"/>
          <w:sz w:val="22"/>
        </w:rPr>
      </w:pPr>
    </w:p>
    <w:p w14:paraId="5089609C" w14:textId="77777777" w:rsidR="00A77B3E" w:rsidRDefault="00A90788" w:rsidP="006F54BB">
      <w:pPr>
        <w:keepNext/>
        <w:keepLines/>
        <w:widowControl w:val="0"/>
        <w:numPr>
          <w:ilvl w:val="0"/>
          <w:numId w:val="18"/>
        </w:numPr>
        <w:spacing w:line="288" w:lineRule="auto"/>
        <w:rPr>
          <w:rFonts w:ascii="Arial" w:eastAsia="Arial" w:hAnsi="Arial" w:cs="Arial"/>
          <w:sz w:val="22"/>
        </w:rPr>
      </w:pPr>
      <w:r>
        <w:rPr>
          <w:rFonts w:ascii="Arial" w:eastAsia="Arial" w:hAnsi="Arial" w:cs="Arial"/>
          <w:sz w:val="22"/>
        </w:rPr>
        <w:t>Revenue in the range of $3.025 billion to $3.075 billion</w:t>
      </w:r>
    </w:p>
    <w:p w14:paraId="414C1DCF" w14:textId="77777777" w:rsidR="00A77B3E" w:rsidRDefault="00A90788" w:rsidP="006F54BB">
      <w:pPr>
        <w:keepNext/>
        <w:keepLines/>
        <w:widowControl w:val="0"/>
        <w:numPr>
          <w:ilvl w:val="0"/>
          <w:numId w:val="18"/>
        </w:numPr>
        <w:spacing w:line="288" w:lineRule="auto"/>
        <w:rPr>
          <w:rFonts w:ascii="Arial" w:eastAsia="Arial" w:hAnsi="Arial" w:cs="Arial"/>
          <w:sz w:val="22"/>
        </w:rPr>
      </w:pPr>
      <w:r>
        <w:rPr>
          <w:rFonts w:ascii="Arial" w:eastAsia="Arial" w:hAnsi="Arial" w:cs="Arial"/>
          <w:sz w:val="22"/>
        </w:rPr>
        <w:t>Service revenue in the range of $2.015 billion to $2.045 billion</w:t>
      </w:r>
    </w:p>
    <w:p w14:paraId="20205F93" w14:textId="77777777" w:rsidR="00A77B3E" w:rsidRDefault="00A90788" w:rsidP="006F54BB">
      <w:pPr>
        <w:numPr>
          <w:ilvl w:val="0"/>
          <w:numId w:val="18"/>
        </w:numPr>
        <w:spacing w:line="288" w:lineRule="auto"/>
        <w:rPr>
          <w:sz w:val="20"/>
        </w:rPr>
      </w:pPr>
      <w:r>
        <w:rPr>
          <w:rFonts w:ascii="Arial" w:eastAsia="Arial" w:hAnsi="Arial" w:cs="Arial"/>
          <w:sz w:val="22"/>
        </w:rPr>
        <w:t>Billings in the range of $3.560 billion to $3.640 billion</w:t>
      </w:r>
    </w:p>
    <w:p w14:paraId="14FF47EC" w14:textId="77777777" w:rsidR="00A77B3E" w:rsidRDefault="00A90788" w:rsidP="006F54BB">
      <w:pPr>
        <w:numPr>
          <w:ilvl w:val="0"/>
          <w:numId w:val="18"/>
        </w:numPr>
        <w:spacing w:line="288" w:lineRule="auto"/>
        <w:rPr>
          <w:sz w:val="20"/>
        </w:rPr>
      </w:pPr>
      <w:r>
        <w:rPr>
          <w:rFonts w:ascii="Arial" w:eastAsia="Arial" w:hAnsi="Arial" w:cs="Arial"/>
          <w:sz w:val="22"/>
        </w:rPr>
        <w:t>Non-GAAP gross margin in the range of 78.0% to 80.0%</w:t>
      </w:r>
    </w:p>
    <w:p w14:paraId="2076E115" w14:textId="77777777" w:rsidR="00A77B3E" w:rsidRDefault="00A90788" w:rsidP="006F54BB">
      <w:pPr>
        <w:numPr>
          <w:ilvl w:val="0"/>
          <w:numId w:val="18"/>
        </w:numPr>
        <w:tabs>
          <w:tab w:val="left" w:pos="360"/>
        </w:tabs>
        <w:spacing w:line="288" w:lineRule="auto"/>
        <w:rPr>
          <w:rFonts w:ascii="Arial" w:eastAsia="Arial" w:hAnsi="Arial" w:cs="Arial"/>
          <w:sz w:val="22"/>
        </w:rPr>
      </w:pPr>
      <w:r>
        <w:rPr>
          <w:rFonts w:ascii="Arial" w:eastAsia="Arial" w:hAnsi="Arial" w:cs="Arial"/>
          <w:sz w:val="22"/>
        </w:rPr>
        <w:t>Non-GAAP operating margin in the range of 25.0% to 27.0%</w:t>
      </w:r>
    </w:p>
    <w:p w14:paraId="0BA5ACE3" w14:textId="77777777" w:rsidR="00A77B3E" w:rsidRDefault="00A90788" w:rsidP="006F54BB">
      <w:pPr>
        <w:numPr>
          <w:ilvl w:val="0"/>
          <w:numId w:val="18"/>
        </w:numPr>
        <w:spacing w:line="288" w:lineRule="auto"/>
        <w:rPr>
          <w:rFonts w:ascii="Arial" w:eastAsia="Arial" w:hAnsi="Arial" w:cs="Arial"/>
          <w:sz w:val="22"/>
        </w:rPr>
      </w:pPr>
      <w:r>
        <w:rPr>
          <w:rFonts w:ascii="Arial" w:eastAsia="Arial" w:hAnsi="Arial" w:cs="Arial"/>
          <w:sz w:val="22"/>
        </w:rPr>
        <w:t>Diluted non-GAAP net income per share in the range of $3.60 to $3.75, assuming a non-GAAP effective tax rate of 21%. This assumes a diluted share count of 170 million to 172 million.</w:t>
      </w:r>
    </w:p>
    <w:p w14:paraId="6DE6342A" w14:textId="77777777" w:rsidR="00A77B3E" w:rsidRDefault="00A77B3E">
      <w:pPr>
        <w:spacing w:line="288" w:lineRule="auto"/>
        <w:rPr>
          <w:rFonts w:ascii="Arial" w:eastAsia="Arial" w:hAnsi="Arial" w:cs="Arial"/>
          <w:sz w:val="22"/>
          <w:shd w:val="clear" w:color="auto" w:fill="FFFF00"/>
        </w:rPr>
      </w:pPr>
    </w:p>
    <w:p w14:paraId="336C15D6" w14:textId="77777777" w:rsidR="00A77B3E" w:rsidRDefault="00A90788">
      <w:pPr>
        <w:spacing w:line="288" w:lineRule="auto"/>
        <w:rPr>
          <w:rFonts w:ascii="Arial" w:eastAsia="Arial" w:hAnsi="Arial" w:cs="Arial"/>
          <w:sz w:val="22"/>
        </w:rPr>
      </w:pPr>
      <w:r>
        <w:rPr>
          <w:rFonts w:ascii="Arial" w:eastAsia="Arial" w:hAnsi="Arial" w:cs="Arial"/>
          <w:sz w:val="22"/>
        </w:rPr>
        <w:t xml:space="preserve">These statements are forward </w:t>
      </w:r>
      <w:proofErr w:type="gramStart"/>
      <w:r>
        <w:rPr>
          <w:rFonts w:ascii="Arial" w:eastAsia="Arial" w:hAnsi="Arial" w:cs="Arial"/>
          <w:sz w:val="22"/>
        </w:rPr>
        <w:t>looking</w:t>
      </w:r>
      <w:proofErr w:type="gramEnd"/>
      <w:r>
        <w:rPr>
          <w:rFonts w:ascii="Arial" w:eastAsia="Arial" w:hAnsi="Arial" w:cs="Arial"/>
          <w:sz w:val="22"/>
        </w:rPr>
        <w:t xml:space="preserve"> and actual results may differ materially. Refer to the Forward-Looking Statements section below for information on the factors that could cause our actual results to differ materially from these forward-looking statements.</w:t>
      </w:r>
    </w:p>
    <w:p w14:paraId="548E7FD8" w14:textId="77777777" w:rsidR="00A77B3E" w:rsidRDefault="00A77B3E">
      <w:pPr>
        <w:keepNext/>
        <w:spacing w:line="288" w:lineRule="auto"/>
        <w:rPr>
          <w:rFonts w:ascii="Arial" w:eastAsia="Arial" w:hAnsi="Arial" w:cs="Arial"/>
          <w:sz w:val="22"/>
        </w:rPr>
      </w:pPr>
    </w:p>
    <w:p w14:paraId="79CB57C8" w14:textId="77777777" w:rsidR="00A77B3E" w:rsidRDefault="00A90788">
      <w:pPr>
        <w:keepNext/>
        <w:spacing w:line="288" w:lineRule="auto"/>
        <w:rPr>
          <w:rFonts w:ascii="Arial" w:eastAsia="Arial" w:hAnsi="Arial" w:cs="Arial"/>
          <w:sz w:val="22"/>
        </w:rPr>
      </w:pPr>
      <w:r>
        <w:rPr>
          <w:rFonts w:ascii="Arial" w:eastAsia="Arial" w:hAnsi="Arial" w:cs="Arial"/>
          <w:sz w:val="22"/>
        </w:rPr>
        <w:t xml:space="preserve">Our guidance with respect to non-GAAP financial measures excludes stock-based compensation, amortization of acquired intangible assets and gain on intellectual property matter. We have not reconciled our guidance with respect to non-GAAP financial measures to the corresponding GAAP measures because certain items that impact these measures are uncertain or out of our </w:t>
      </w:r>
      <w:proofErr w:type="gramStart"/>
      <w:r>
        <w:rPr>
          <w:rFonts w:ascii="Arial" w:eastAsia="Arial" w:hAnsi="Arial" w:cs="Arial"/>
          <w:sz w:val="22"/>
        </w:rPr>
        <w:t>control, or</w:t>
      </w:r>
      <w:proofErr w:type="gramEnd"/>
      <w:r>
        <w:rPr>
          <w:rFonts w:ascii="Arial" w:eastAsia="Arial" w:hAnsi="Arial" w:cs="Arial"/>
          <w:sz w:val="22"/>
        </w:rPr>
        <w:t xml:space="preserve"> cannot be reasonably predicted. Accordingly, a reconciliation of these non-GAAP financial measures to the corresponding GAAP measures is not available without unreasonable effort.</w:t>
      </w:r>
    </w:p>
    <w:p w14:paraId="08F39D74" w14:textId="77777777" w:rsidR="00A77B3E" w:rsidRDefault="00A77B3E">
      <w:pPr>
        <w:keepNext/>
        <w:spacing w:line="288" w:lineRule="auto"/>
        <w:rPr>
          <w:rFonts w:ascii="Arial" w:eastAsia="Arial" w:hAnsi="Arial" w:cs="Arial"/>
          <w:sz w:val="22"/>
        </w:rPr>
      </w:pPr>
    </w:p>
    <w:p w14:paraId="04EC201E" w14:textId="77777777" w:rsidR="00A77B3E" w:rsidRDefault="00A90788">
      <w:pPr>
        <w:spacing w:line="288" w:lineRule="auto"/>
        <w:rPr>
          <w:rFonts w:ascii="Arial" w:eastAsia="Arial" w:hAnsi="Arial" w:cs="Arial"/>
          <w:b/>
          <w:sz w:val="20"/>
          <w:vertAlign w:val="superscript"/>
        </w:rPr>
      </w:pPr>
      <w:r>
        <w:rPr>
          <w:rFonts w:ascii="Arial" w:eastAsia="Arial" w:hAnsi="Arial" w:cs="Arial"/>
          <w:b/>
          <w:sz w:val="20"/>
          <w:vertAlign w:val="superscript"/>
        </w:rPr>
        <w:t>1</w:t>
      </w:r>
      <w:r>
        <w:rPr>
          <w:rFonts w:ascii="Arial" w:eastAsia="Arial" w:hAnsi="Arial" w:cs="Arial"/>
          <w:b/>
          <w:sz w:val="22"/>
          <w:vertAlign w:val="superscript"/>
        </w:rPr>
        <w:t xml:space="preserve"> </w:t>
      </w:r>
      <w:r>
        <w:rPr>
          <w:rFonts w:ascii="Arial" w:eastAsia="Arial" w:hAnsi="Arial" w:cs="Arial"/>
          <w:sz w:val="20"/>
        </w:rPr>
        <w:t>A reconciliation of GAAP to non-GAAP measures has been provided in the financial statement tables included in this press release. An explanation of these measures is also included below under the heading “Non-GAAP Financial Measures.”</w:t>
      </w:r>
    </w:p>
    <w:p w14:paraId="7198E27B" w14:textId="77777777" w:rsidR="00A77B3E" w:rsidRDefault="00A77B3E">
      <w:pPr>
        <w:spacing w:line="288" w:lineRule="auto"/>
        <w:rPr>
          <w:rFonts w:ascii="Arial" w:eastAsia="Arial" w:hAnsi="Arial" w:cs="Arial"/>
          <w:sz w:val="20"/>
        </w:rPr>
      </w:pPr>
    </w:p>
    <w:p w14:paraId="113582BF" w14:textId="77777777" w:rsidR="00A77B3E" w:rsidRDefault="00A90788">
      <w:pPr>
        <w:spacing w:line="276" w:lineRule="auto"/>
        <w:rPr>
          <w:rFonts w:ascii="Calibri" w:eastAsia="Calibri" w:hAnsi="Calibri" w:cs="Calibri"/>
          <w:sz w:val="22"/>
          <w:vertAlign w:val="superscript"/>
        </w:rPr>
      </w:pPr>
      <w:r>
        <w:rPr>
          <w:rFonts w:ascii="Arial" w:eastAsia="Arial" w:hAnsi="Arial" w:cs="Arial"/>
          <w:b/>
          <w:sz w:val="20"/>
          <w:vertAlign w:val="superscript"/>
        </w:rPr>
        <w:t>2</w:t>
      </w:r>
      <w:r>
        <w:rPr>
          <w:rFonts w:ascii="Arial" w:eastAsia="Arial" w:hAnsi="Arial" w:cs="Arial"/>
          <w:sz w:val="20"/>
        </w:rPr>
        <w:t xml:space="preserve"> Fortinet identified an immaterial error related to the commencement of revenue recognition for certain FortiCare support service contracts, which resulted in an immaterial correction to revenue for prior year reported amounts for the six months ended June 30, 2020. All financial information contained herein has been revised to reflect the correction of this error.</w:t>
      </w:r>
    </w:p>
    <w:p w14:paraId="4CE588D1" w14:textId="77777777" w:rsidR="00A77B3E" w:rsidRDefault="00A77B3E">
      <w:pPr>
        <w:spacing w:line="288" w:lineRule="auto"/>
        <w:rPr>
          <w:rFonts w:ascii="Arial" w:eastAsia="Arial" w:hAnsi="Arial" w:cs="Arial"/>
          <w:b/>
          <w:sz w:val="22"/>
          <w:shd w:val="clear" w:color="auto" w:fill="FFFFFF"/>
        </w:rPr>
      </w:pPr>
    </w:p>
    <w:p w14:paraId="1CBE92F1" w14:textId="77777777" w:rsidR="00A77B3E" w:rsidRDefault="00A90788">
      <w:pPr>
        <w:keepNext/>
        <w:spacing w:line="288" w:lineRule="auto"/>
        <w:rPr>
          <w:rFonts w:ascii="Arial" w:eastAsia="Arial" w:hAnsi="Arial" w:cs="Arial"/>
          <w:b/>
          <w:sz w:val="22"/>
          <w:shd w:val="clear" w:color="auto" w:fill="FFFFFF"/>
        </w:rPr>
      </w:pPr>
      <w:r>
        <w:rPr>
          <w:rFonts w:ascii="Arial" w:eastAsia="Arial" w:hAnsi="Arial" w:cs="Arial"/>
          <w:b/>
          <w:sz w:val="22"/>
          <w:u w:val="single"/>
          <w:shd w:val="clear" w:color="auto" w:fill="FFFFFF"/>
        </w:rPr>
        <w:t>Conference Call Details</w:t>
      </w:r>
    </w:p>
    <w:p w14:paraId="5617F94C" w14:textId="77777777" w:rsidR="00A77B3E" w:rsidRDefault="00A77B3E">
      <w:pPr>
        <w:keepNext/>
        <w:spacing w:line="288" w:lineRule="auto"/>
        <w:rPr>
          <w:rFonts w:ascii="Arial" w:eastAsia="Arial" w:hAnsi="Arial" w:cs="Arial"/>
          <w:sz w:val="22"/>
          <w:shd w:val="clear" w:color="auto" w:fill="FFFFFF"/>
        </w:rPr>
      </w:pPr>
    </w:p>
    <w:p w14:paraId="70C3B8F7" w14:textId="77777777" w:rsidR="00A77B3E" w:rsidRDefault="00A90788">
      <w:pPr>
        <w:spacing w:line="288" w:lineRule="auto"/>
        <w:rPr>
          <w:rFonts w:ascii="Arial" w:eastAsia="Arial" w:hAnsi="Arial" w:cs="Arial"/>
          <w:sz w:val="22"/>
          <w:shd w:val="clear" w:color="auto" w:fill="FFFFFF"/>
        </w:rPr>
      </w:pPr>
      <w:r>
        <w:rPr>
          <w:rFonts w:ascii="Arial" w:eastAsia="Arial" w:hAnsi="Arial" w:cs="Arial"/>
          <w:sz w:val="22"/>
          <w:shd w:val="clear" w:color="auto" w:fill="FFFFFF"/>
        </w:rPr>
        <w:t>Fortinet will host a conference call today at 1:30 p.m. Pacific Time (4:30 p.m. Eastern Time) to discuss the earnings results. The call can be accessed by dialing (877) 303-6913 (domestic) or (224) 357-2188 (international) with conference ID # 9656007. A live webcast of the conference call and supplemental slides will be accessible from the Investor Relations page of Fortinet</w:t>
      </w:r>
      <w:r>
        <w:rPr>
          <w:sz w:val="22"/>
          <w:shd w:val="clear" w:color="auto" w:fill="FFFFFF"/>
        </w:rPr>
        <w:t>’</w:t>
      </w:r>
      <w:r>
        <w:rPr>
          <w:rFonts w:ascii="Arial" w:eastAsia="Arial" w:hAnsi="Arial" w:cs="Arial"/>
          <w:sz w:val="22"/>
          <w:shd w:val="clear" w:color="auto" w:fill="FFFFFF"/>
        </w:rPr>
        <w:t xml:space="preserve">s website at </w:t>
      </w:r>
      <w:r>
        <w:rPr>
          <w:rFonts w:ascii="Arial" w:eastAsia="Arial" w:hAnsi="Arial" w:cs="Arial"/>
          <w:color w:val="0000FF"/>
          <w:sz w:val="22"/>
          <w:u w:val="single"/>
          <w:shd w:val="clear" w:color="auto" w:fill="FFFFFF"/>
        </w:rPr>
        <w:t>https://investor.fortinet.com</w:t>
      </w:r>
      <w:r>
        <w:rPr>
          <w:rFonts w:ascii="Arial" w:eastAsia="Arial" w:hAnsi="Arial" w:cs="Arial"/>
          <w:sz w:val="22"/>
          <w:shd w:val="clear" w:color="auto" w:fill="FFFFFF"/>
        </w:rPr>
        <w:t xml:space="preserve"> and a replay will be archived and accessible at </w:t>
      </w:r>
      <w:r>
        <w:rPr>
          <w:rFonts w:ascii="Arial" w:eastAsia="Arial" w:hAnsi="Arial" w:cs="Arial"/>
          <w:color w:val="0000FF"/>
          <w:sz w:val="22"/>
          <w:u w:val="single"/>
          <w:shd w:val="clear" w:color="auto" w:fill="FFFFFF"/>
        </w:rPr>
        <w:t>https://investor.fortinet.com/events-and-presentations</w:t>
      </w:r>
      <w:r>
        <w:rPr>
          <w:rFonts w:ascii="Arial" w:eastAsia="Arial" w:hAnsi="Arial" w:cs="Arial"/>
          <w:sz w:val="22"/>
          <w:shd w:val="clear" w:color="auto" w:fill="FFFFFF"/>
        </w:rPr>
        <w:t>. A replay of this conference call can also be accessed through February 11, 2021, by dialing (855) 859-2056 (domestic) or (404) 537-3406 (international) with conference ID #9656007.</w:t>
      </w:r>
    </w:p>
    <w:p w14:paraId="1F9BCC33" w14:textId="77777777" w:rsidR="00A77B3E" w:rsidRDefault="00A77B3E">
      <w:pPr>
        <w:spacing w:line="288" w:lineRule="auto"/>
        <w:rPr>
          <w:rFonts w:ascii="Arial" w:eastAsia="Arial" w:hAnsi="Arial" w:cs="Arial"/>
          <w:b/>
          <w:sz w:val="22"/>
          <w:u w:val="single"/>
          <w:shd w:val="clear" w:color="auto" w:fill="FFFF00"/>
        </w:rPr>
      </w:pPr>
    </w:p>
    <w:p w14:paraId="36F58CBB" w14:textId="77777777" w:rsidR="00A77B3E" w:rsidRDefault="00A90788">
      <w:pPr>
        <w:keepNext/>
        <w:keepLines/>
        <w:widowControl w:val="0"/>
        <w:spacing w:line="288" w:lineRule="auto"/>
        <w:rPr>
          <w:rFonts w:ascii="Arial" w:eastAsia="Arial" w:hAnsi="Arial" w:cs="Arial"/>
          <w:b/>
          <w:sz w:val="22"/>
          <w:u w:val="single"/>
          <w:shd w:val="clear" w:color="auto" w:fill="FFFFFF"/>
        </w:rPr>
      </w:pPr>
      <w:r>
        <w:rPr>
          <w:rFonts w:ascii="Arial" w:eastAsia="Arial" w:hAnsi="Arial" w:cs="Arial"/>
          <w:b/>
          <w:sz w:val="22"/>
          <w:u w:val="single"/>
          <w:shd w:val="clear" w:color="auto" w:fill="FFFFFF"/>
        </w:rPr>
        <w:t>First Quarter 2021 Virtual Conference Participation Schedule:</w:t>
      </w:r>
    </w:p>
    <w:p w14:paraId="0524B15D" w14:textId="77777777" w:rsidR="00A77B3E" w:rsidRDefault="00A77B3E">
      <w:pPr>
        <w:keepNext/>
        <w:spacing w:line="288" w:lineRule="auto"/>
        <w:ind w:left="720"/>
        <w:rPr>
          <w:rFonts w:ascii="Arial" w:eastAsia="Arial" w:hAnsi="Arial" w:cs="Arial"/>
          <w:shd w:val="clear" w:color="auto" w:fill="FFFFFF"/>
        </w:rPr>
      </w:pPr>
    </w:p>
    <w:p w14:paraId="6BB4DE93" w14:textId="77777777" w:rsidR="00A77B3E" w:rsidRDefault="00A90788" w:rsidP="006F54BB">
      <w:pPr>
        <w:numPr>
          <w:ilvl w:val="0"/>
          <w:numId w:val="19"/>
        </w:numPr>
        <w:spacing w:line="247" w:lineRule="auto"/>
        <w:rPr>
          <w:rFonts w:ascii="Arial" w:eastAsia="Arial" w:hAnsi="Arial" w:cs="Arial"/>
          <w:b/>
          <w:sz w:val="22"/>
          <w:shd w:val="clear" w:color="auto" w:fill="FFFFFF"/>
        </w:rPr>
      </w:pPr>
      <w:r>
        <w:rPr>
          <w:rFonts w:ascii="Arial" w:eastAsia="Arial" w:hAnsi="Arial" w:cs="Arial"/>
          <w:b/>
          <w:sz w:val="22"/>
          <w:shd w:val="clear" w:color="auto" w:fill="FFFFFF"/>
        </w:rPr>
        <w:t>Goldman Sachs Technology and Internet Conference 2021</w:t>
      </w:r>
    </w:p>
    <w:p w14:paraId="14CBAA89" w14:textId="77777777" w:rsidR="00A77B3E" w:rsidRDefault="00A90788">
      <w:pPr>
        <w:spacing w:line="247" w:lineRule="auto"/>
        <w:ind w:firstLine="720"/>
        <w:rPr>
          <w:rFonts w:ascii="Arial" w:eastAsia="Arial" w:hAnsi="Arial" w:cs="Arial"/>
          <w:sz w:val="22"/>
          <w:shd w:val="clear" w:color="auto" w:fill="FFFFFF"/>
        </w:rPr>
      </w:pPr>
      <w:r>
        <w:rPr>
          <w:rFonts w:ascii="Arial" w:eastAsia="Arial" w:hAnsi="Arial" w:cs="Arial"/>
          <w:sz w:val="22"/>
          <w:shd w:val="clear" w:color="auto" w:fill="FFFFFF"/>
        </w:rPr>
        <w:t xml:space="preserve">February 10, 2021 </w:t>
      </w:r>
    </w:p>
    <w:p w14:paraId="645A0A6E" w14:textId="77777777" w:rsidR="00A77B3E" w:rsidRDefault="00A77B3E">
      <w:pPr>
        <w:spacing w:line="247" w:lineRule="auto"/>
        <w:ind w:firstLine="720"/>
        <w:rPr>
          <w:rFonts w:ascii="Arial" w:eastAsia="Arial" w:hAnsi="Arial" w:cs="Arial"/>
          <w:sz w:val="22"/>
          <w:shd w:val="clear" w:color="auto" w:fill="FFFFFF"/>
        </w:rPr>
      </w:pPr>
    </w:p>
    <w:p w14:paraId="6D4F14CB" w14:textId="77777777" w:rsidR="00A77B3E" w:rsidRDefault="00A90788" w:rsidP="006F54BB">
      <w:pPr>
        <w:numPr>
          <w:ilvl w:val="0"/>
          <w:numId w:val="20"/>
        </w:numPr>
        <w:spacing w:line="247" w:lineRule="auto"/>
        <w:rPr>
          <w:rFonts w:ascii="Arial" w:eastAsia="Arial" w:hAnsi="Arial" w:cs="Arial"/>
          <w:b/>
          <w:sz w:val="22"/>
          <w:shd w:val="clear" w:color="auto" w:fill="FFFFFF"/>
        </w:rPr>
      </w:pPr>
      <w:r>
        <w:rPr>
          <w:rFonts w:ascii="Arial" w:eastAsia="Arial" w:hAnsi="Arial" w:cs="Arial"/>
          <w:b/>
          <w:sz w:val="22"/>
          <w:shd w:val="clear" w:color="auto" w:fill="FFFFFF"/>
        </w:rPr>
        <w:t>Morgan Stanley TMT Conference</w:t>
      </w:r>
    </w:p>
    <w:p w14:paraId="0DDDB319" w14:textId="77777777" w:rsidR="00A77B3E" w:rsidRDefault="00A90788">
      <w:pPr>
        <w:spacing w:line="245" w:lineRule="auto"/>
        <w:ind w:firstLine="720"/>
        <w:rPr>
          <w:shd w:val="clear" w:color="auto" w:fill="FFFFFF"/>
        </w:rPr>
      </w:pPr>
      <w:r>
        <w:rPr>
          <w:rFonts w:ascii="Arial" w:eastAsia="Arial" w:hAnsi="Arial" w:cs="Arial"/>
          <w:sz w:val="22"/>
          <w:shd w:val="clear" w:color="auto" w:fill="FFFFFF"/>
        </w:rPr>
        <w:t xml:space="preserve">March 2, 2021 </w:t>
      </w:r>
    </w:p>
    <w:p w14:paraId="0D2C8999" w14:textId="77777777" w:rsidR="00A77B3E" w:rsidRDefault="00A77B3E">
      <w:pPr>
        <w:spacing w:line="245" w:lineRule="auto"/>
        <w:ind w:firstLine="720"/>
        <w:rPr>
          <w:rFonts w:ascii="Arial" w:eastAsia="Arial" w:hAnsi="Arial" w:cs="Arial"/>
          <w:sz w:val="22"/>
          <w:shd w:val="clear" w:color="auto" w:fill="FFFFFF"/>
        </w:rPr>
      </w:pPr>
    </w:p>
    <w:p w14:paraId="00A758F3" w14:textId="77777777" w:rsidR="00A77B3E" w:rsidRDefault="00A90788" w:rsidP="006F54BB">
      <w:pPr>
        <w:numPr>
          <w:ilvl w:val="0"/>
          <w:numId w:val="21"/>
        </w:numPr>
        <w:spacing w:line="245" w:lineRule="auto"/>
        <w:rPr>
          <w:rFonts w:ascii="Arial" w:eastAsia="Arial" w:hAnsi="Arial" w:cs="Arial"/>
          <w:shd w:val="clear" w:color="auto" w:fill="FFFFFF"/>
        </w:rPr>
      </w:pPr>
      <w:r>
        <w:rPr>
          <w:rFonts w:ascii="Arial" w:eastAsia="Arial" w:hAnsi="Arial" w:cs="Arial"/>
          <w:b/>
          <w:sz w:val="22"/>
          <w:shd w:val="clear" w:color="auto" w:fill="FFFFFF"/>
        </w:rPr>
        <w:t>Fortinet Virtual Accelerate 2021 &amp; Analyst/Investor Day</w:t>
      </w:r>
      <w:r>
        <w:rPr>
          <w:rFonts w:ascii="Arial" w:eastAsia="Arial" w:hAnsi="Arial" w:cs="Arial"/>
          <w:shd w:val="clear" w:color="auto" w:fill="FFFFFF"/>
        </w:rPr>
        <w:t xml:space="preserve"> </w:t>
      </w:r>
    </w:p>
    <w:p w14:paraId="2F0C15C1" w14:textId="77777777" w:rsidR="00A77B3E" w:rsidRDefault="00A90788">
      <w:pPr>
        <w:spacing w:line="245" w:lineRule="auto"/>
        <w:ind w:firstLine="720"/>
        <w:rPr>
          <w:shd w:val="clear" w:color="auto" w:fill="FFFFFF"/>
        </w:rPr>
      </w:pPr>
      <w:r>
        <w:rPr>
          <w:rFonts w:ascii="Arial" w:eastAsia="Arial" w:hAnsi="Arial" w:cs="Arial"/>
          <w:sz w:val="22"/>
          <w:shd w:val="clear" w:color="auto" w:fill="FFFFFF"/>
        </w:rPr>
        <w:t>March 9, 2021</w:t>
      </w:r>
    </w:p>
    <w:p w14:paraId="7DAB5EC8" w14:textId="77777777" w:rsidR="00A77B3E" w:rsidRDefault="00A90788">
      <w:pPr>
        <w:spacing w:line="245" w:lineRule="auto"/>
        <w:ind w:firstLine="720"/>
      </w:pPr>
      <w:r>
        <w:rPr>
          <w:rFonts w:ascii="Arial" w:eastAsia="Arial" w:hAnsi="Arial" w:cs="Arial"/>
          <w:sz w:val="22"/>
          <w:shd w:val="clear" w:color="auto" w:fill="FFFFFF"/>
        </w:rPr>
        <w:t>Management Keynotes:</w:t>
      </w:r>
      <w:r>
        <w:rPr>
          <w:rFonts w:ascii="Arial" w:eastAsia="Arial" w:hAnsi="Arial" w:cs="Arial"/>
        </w:rPr>
        <w:t xml:space="preserve">                     </w:t>
      </w:r>
      <w:r>
        <w:rPr>
          <w:rFonts w:ascii="Arial" w:eastAsia="Arial" w:hAnsi="Arial" w:cs="Arial"/>
          <w:sz w:val="22"/>
          <w:shd w:val="clear" w:color="auto" w:fill="FFFFFF"/>
        </w:rPr>
        <w:t>8:00 AM PT – 9:30 AM PT</w:t>
      </w:r>
    </w:p>
    <w:p w14:paraId="326029E9" w14:textId="77777777" w:rsidR="00A77B3E" w:rsidRDefault="00A90788">
      <w:pPr>
        <w:spacing w:line="245" w:lineRule="auto"/>
        <w:ind w:firstLine="720"/>
      </w:pPr>
      <w:r>
        <w:rPr>
          <w:rFonts w:ascii="Arial" w:eastAsia="Arial" w:hAnsi="Arial" w:cs="Arial"/>
          <w:sz w:val="22"/>
          <w:shd w:val="clear" w:color="auto" w:fill="FFFFFF"/>
        </w:rPr>
        <w:t>CFO presentation &amp; Q&amp;A session:</w:t>
      </w:r>
      <w:r>
        <w:rPr>
          <w:rFonts w:ascii="Arial" w:eastAsia="Arial" w:hAnsi="Arial" w:cs="Arial"/>
        </w:rPr>
        <w:t xml:space="preserve">    </w:t>
      </w:r>
      <w:r>
        <w:rPr>
          <w:rFonts w:ascii="Arial" w:eastAsia="Arial" w:hAnsi="Arial" w:cs="Arial"/>
          <w:sz w:val="22"/>
          <w:shd w:val="clear" w:color="auto" w:fill="FFFFFF"/>
        </w:rPr>
        <w:t>10:00 AM PT – 11:30 AM PT</w:t>
      </w:r>
    </w:p>
    <w:p w14:paraId="2E34ACA2" w14:textId="77777777" w:rsidR="00A77B3E" w:rsidRDefault="00A90788">
      <w:pPr>
        <w:spacing w:line="245" w:lineRule="auto"/>
        <w:ind w:firstLine="720"/>
      </w:pPr>
      <w:r>
        <w:rPr>
          <w:rFonts w:ascii="Arial" w:eastAsia="Arial" w:hAnsi="Arial" w:cs="Arial"/>
          <w:sz w:val="22"/>
          <w:shd w:val="clear" w:color="auto" w:fill="FFFFFF"/>
        </w:rPr>
        <w:t>Registration Link:</w:t>
      </w:r>
    </w:p>
    <w:p w14:paraId="35CF864A" w14:textId="77777777" w:rsidR="00A77B3E" w:rsidRDefault="00A90788">
      <w:pPr>
        <w:spacing w:line="245" w:lineRule="auto"/>
        <w:ind w:firstLine="720"/>
      </w:pPr>
      <w:r>
        <w:rPr>
          <w:rFonts w:ascii="Arial" w:eastAsia="Arial" w:hAnsi="Arial" w:cs="Arial"/>
          <w:sz w:val="22"/>
          <w:shd w:val="clear" w:color="auto" w:fill="FFFFFF"/>
        </w:rPr>
        <w:t>https://www.fortinetaccelerate.com/2021americas/register?reg_type_id=140747</w:t>
      </w:r>
    </w:p>
    <w:p w14:paraId="755F8AA3" w14:textId="77777777" w:rsidR="00A77B3E" w:rsidRDefault="00A77B3E">
      <w:pPr>
        <w:spacing w:line="288" w:lineRule="auto"/>
        <w:rPr>
          <w:sz w:val="20"/>
        </w:rPr>
      </w:pPr>
    </w:p>
    <w:p w14:paraId="6D569389" w14:textId="77777777" w:rsidR="00A77B3E" w:rsidRDefault="00A90788">
      <w:pPr>
        <w:spacing w:line="288" w:lineRule="auto"/>
        <w:rPr>
          <w:rFonts w:ascii="Arial" w:eastAsia="Arial" w:hAnsi="Arial" w:cs="Arial"/>
          <w:sz w:val="22"/>
        </w:rPr>
      </w:pPr>
      <w:r>
        <w:rPr>
          <w:rFonts w:ascii="Arial" w:eastAsia="Arial" w:hAnsi="Arial" w:cs="Arial"/>
          <w:sz w:val="22"/>
        </w:rPr>
        <w:t xml:space="preserve">Members of Fortinet’s management team are expected to present at these conferences and discuss the latest company strategies and initiatives. Fortinet’s conference presentations are expected to be available via webcast on the company’s web site. To access the most updated information and listen to the webcast of each event, please visit the Investor Relations page of Fortinet’s website at </w:t>
      </w:r>
      <w:r>
        <w:rPr>
          <w:rFonts w:ascii="Arial" w:eastAsia="Arial" w:hAnsi="Arial" w:cs="Arial"/>
          <w:color w:val="0000FF"/>
          <w:sz w:val="22"/>
          <w:u w:val="single"/>
        </w:rPr>
        <w:t>https://investor.fortinet.com</w:t>
      </w:r>
      <w:r>
        <w:rPr>
          <w:rFonts w:ascii="Arial" w:eastAsia="Arial" w:hAnsi="Arial" w:cs="Arial"/>
          <w:sz w:val="22"/>
        </w:rPr>
        <w:t>. The schedule is subject to change.</w:t>
      </w:r>
    </w:p>
    <w:p w14:paraId="2D66E695" w14:textId="77777777" w:rsidR="00A77B3E" w:rsidRDefault="00A77B3E">
      <w:pPr>
        <w:widowControl w:val="0"/>
        <w:spacing w:line="288" w:lineRule="auto"/>
        <w:rPr>
          <w:rFonts w:ascii="Arial" w:eastAsia="Arial" w:hAnsi="Arial" w:cs="Arial"/>
          <w:b/>
          <w:sz w:val="22"/>
          <w:u w:val="single"/>
          <w:shd w:val="clear" w:color="auto" w:fill="FFFFFF"/>
        </w:rPr>
      </w:pPr>
    </w:p>
    <w:p w14:paraId="5FA8A6B0" w14:textId="77777777" w:rsidR="00A77B3E" w:rsidRDefault="00A90788">
      <w:pPr>
        <w:keepNext/>
        <w:spacing w:line="288" w:lineRule="auto"/>
        <w:rPr>
          <w:rFonts w:ascii="Arial" w:eastAsia="Arial" w:hAnsi="Arial" w:cs="Arial"/>
          <w:b/>
          <w:sz w:val="22"/>
        </w:rPr>
      </w:pPr>
      <w:r>
        <w:rPr>
          <w:rFonts w:ascii="Arial" w:eastAsia="Arial" w:hAnsi="Arial" w:cs="Arial"/>
          <w:b/>
          <w:sz w:val="22"/>
          <w:u w:val="single"/>
        </w:rPr>
        <w:t>About Fortinet</w:t>
      </w:r>
      <w:r>
        <w:rPr>
          <w:rFonts w:ascii="Arial" w:eastAsia="Arial" w:hAnsi="Arial" w:cs="Arial"/>
          <w:sz w:val="22"/>
        </w:rPr>
        <w:t xml:space="preserve"> (</w:t>
      </w:r>
      <w:r>
        <w:rPr>
          <w:rFonts w:ascii="Arial" w:eastAsia="Arial" w:hAnsi="Arial" w:cs="Arial"/>
          <w:color w:val="0000FF"/>
          <w:sz w:val="22"/>
          <w:u w:val="single"/>
        </w:rPr>
        <w:t>www.fortinet.com</w:t>
      </w:r>
      <w:r>
        <w:rPr>
          <w:rFonts w:ascii="Arial" w:eastAsia="Arial" w:hAnsi="Arial" w:cs="Arial"/>
          <w:sz w:val="22"/>
        </w:rPr>
        <w:t>)</w:t>
      </w:r>
    </w:p>
    <w:p w14:paraId="640F8F7E" w14:textId="77777777" w:rsidR="00A77B3E" w:rsidRDefault="00A77B3E">
      <w:pPr>
        <w:keepNext/>
        <w:spacing w:line="288" w:lineRule="auto"/>
        <w:rPr>
          <w:rFonts w:ascii="Arial" w:eastAsia="Arial" w:hAnsi="Arial" w:cs="Arial"/>
          <w:sz w:val="22"/>
        </w:rPr>
      </w:pPr>
    </w:p>
    <w:p w14:paraId="4400C1A5" w14:textId="77777777" w:rsidR="00A77B3E" w:rsidRDefault="00A90788">
      <w:pPr>
        <w:keepNext/>
        <w:spacing w:line="257" w:lineRule="auto"/>
        <w:rPr>
          <w:rFonts w:ascii="Arial" w:eastAsia="Arial" w:hAnsi="Arial" w:cs="Arial"/>
        </w:rPr>
      </w:pPr>
      <w:r>
        <w:rPr>
          <w:rFonts w:ascii="Arial" w:eastAsia="Arial" w:hAnsi="Arial" w:cs="Arial"/>
          <w:sz w:val="22"/>
        </w:rPr>
        <w:t>Fortinet (Nasdaq: FTNT) secures the largest enterprise, service provider, and government organizations around the world. Fortinet empowers its customers with complete visibility and control across the expanding attack surface and the power to take on ever-increasing performance requirements today and into the future. The Fortinet Security Fabric platform can address the most critical security challenges and protect data across the entire digital infrastructure, whether in networked, application, multi-</w:t>
      </w:r>
      <w:proofErr w:type="gramStart"/>
      <w:r>
        <w:rPr>
          <w:rFonts w:ascii="Arial" w:eastAsia="Arial" w:hAnsi="Arial" w:cs="Arial"/>
          <w:sz w:val="22"/>
        </w:rPr>
        <w:t>cloud</w:t>
      </w:r>
      <w:proofErr w:type="gramEnd"/>
      <w:r>
        <w:rPr>
          <w:rFonts w:ascii="Arial" w:eastAsia="Arial" w:hAnsi="Arial" w:cs="Arial"/>
          <w:sz w:val="22"/>
        </w:rPr>
        <w:t xml:space="preserve"> or edge environments. Both a technology company and a learning organization, the Fortinet Network Security Institute has one of the largest and broadest cybersecurity training programs in the industry. Learn more at </w:t>
      </w:r>
      <w:r>
        <w:rPr>
          <w:rFonts w:ascii="Arial" w:eastAsia="Arial" w:hAnsi="Arial" w:cs="Arial"/>
          <w:color w:val="0000FF"/>
          <w:sz w:val="22"/>
          <w:u w:val="single"/>
        </w:rPr>
        <w:t>https://www.fortinet.com,</w:t>
      </w:r>
      <w:r>
        <w:rPr>
          <w:rFonts w:ascii="Arial" w:eastAsia="Arial" w:hAnsi="Arial" w:cs="Arial"/>
          <w:color w:val="0000FF"/>
          <w:sz w:val="22"/>
        </w:rPr>
        <w:t xml:space="preserve"> </w:t>
      </w:r>
      <w:r>
        <w:rPr>
          <w:rFonts w:ascii="Arial" w:eastAsia="Arial" w:hAnsi="Arial" w:cs="Arial"/>
          <w:sz w:val="22"/>
        </w:rPr>
        <w:t xml:space="preserve">the </w:t>
      </w:r>
      <w:r>
        <w:rPr>
          <w:rFonts w:ascii="Arial" w:eastAsia="Arial" w:hAnsi="Arial" w:cs="Arial"/>
          <w:color w:val="0000FF"/>
          <w:sz w:val="22"/>
          <w:u w:val="single"/>
        </w:rPr>
        <w:t>Fortinet Blog</w:t>
      </w:r>
      <w:r>
        <w:rPr>
          <w:rFonts w:ascii="Arial" w:eastAsia="Arial" w:hAnsi="Arial" w:cs="Arial"/>
          <w:sz w:val="22"/>
        </w:rPr>
        <w:t xml:space="preserve"> or </w:t>
      </w:r>
      <w:r>
        <w:rPr>
          <w:rFonts w:ascii="Arial" w:eastAsia="Arial" w:hAnsi="Arial" w:cs="Arial"/>
          <w:color w:val="0000FF"/>
          <w:sz w:val="22"/>
          <w:u w:val="single"/>
        </w:rPr>
        <w:t>FortiGuard Labs</w:t>
      </w:r>
      <w:r>
        <w:rPr>
          <w:rFonts w:ascii="Arial" w:eastAsia="Arial" w:hAnsi="Arial" w:cs="Arial"/>
          <w:sz w:val="22"/>
        </w:rPr>
        <w:t>.</w:t>
      </w:r>
    </w:p>
    <w:p w14:paraId="6C11ADDB" w14:textId="77777777" w:rsidR="00A77B3E" w:rsidRDefault="00A90788">
      <w:pPr>
        <w:keepNext/>
        <w:keepLines/>
        <w:widowControl w:val="0"/>
        <w:spacing w:before="120" w:line="288" w:lineRule="auto"/>
        <w:jc w:val="center"/>
        <w:rPr>
          <w:rFonts w:ascii="Arial" w:eastAsia="Arial" w:hAnsi="Arial" w:cs="Arial"/>
          <w:sz w:val="22"/>
        </w:rPr>
      </w:pPr>
      <w:r>
        <w:rPr>
          <w:rFonts w:ascii="Arial" w:eastAsia="Arial" w:hAnsi="Arial" w:cs="Arial"/>
          <w:sz w:val="22"/>
        </w:rPr>
        <w:t>#          #          #</w:t>
      </w:r>
    </w:p>
    <w:p w14:paraId="7D479F5E" w14:textId="77777777" w:rsidR="00A77B3E" w:rsidRDefault="00A90788">
      <w:pPr>
        <w:widowControl w:val="0"/>
        <w:spacing w:line="276" w:lineRule="auto"/>
        <w:rPr>
          <w:rFonts w:ascii="Calibri" w:eastAsia="Calibri" w:hAnsi="Calibri" w:cs="Calibri"/>
          <w:sz w:val="22"/>
        </w:rPr>
      </w:pPr>
      <w:r>
        <w:rPr>
          <w:rFonts w:ascii="Arial" w:eastAsia="Arial" w:hAnsi="Arial" w:cs="Arial"/>
          <w:i/>
          <w:sz w:val="22"/>
        </w:rPr>
        <w:t xml:space="preserve">Copyright © 2021 Fortinet, Inc. All rights reserved. The symbols ® and ™ denote respectively federally registered trademarks and common law trademarks of Fortinet, Inc., its </w:t>
      </w:r>
      <w:proofErr w:type="gramStart"/>
      <w:r>
        <w:rPr>
          <w:rFonts w:ascii="Arial" w:eastAsia="Arial" w:hAnsi="Arial" w:cs="Arial"/>
          <w:i/>
          <w:sz w:val="22"/>
        </w:rPr>
        <w:t>subsidiaries</w:t>
      </w:r>
      <w:proofErr w:type="gramEnd"/>
      <w:r>
        <w:rPr>
          <w:rFonts w:ascii="Arial" w:eastAsia="Arial" w:hAnsi="Arial" w:cs="Arial"/>
          <w:i/>
          <w:sz w:val="22"/>
        </w:rPr>
        <w:t xml:space="preserve"> and affiliates. Fortinet’s trademarks include, but are not limited to, the following: Fortinet, the Fortinet logo, FortiGate, FortiOS, FortiGuard, FortiCare, FortiAnalyzer, FortiManager, FortiASIC, FortiClient, FortiCloud, FortiCore, FortiMail, FortiSandbox, FortiADC, FortiAI, FortiAP, FortiAppEngine, FortiAppMonitor, FortiAuthenticator, FortiBalancer, FortiBIOS, FortiBridge, FortiCache, FortiCall, FortiCam, FortiCamera, FortiCarrier, FortiCASB, FortiCenter, FortiCentral, FortiConnect, FortiController, FortiConverter, FortiCWP, FortiDB, FortiDDoS, FortiDeceptor, FortiDirector, FortiDNS, FortiEDR, FortiExplorer, FortiExtender, FortiFirewall, FortiFone, FortiGSLB, FortiHypervisor, FortiInsight, FortiIsolator, FortiLocator, FortiLog, FortiMeter, FortiMoM, FortiMonitor, FortiNAC, FortiPartner, FortiPenTest, FortiPhish, FortiPortal, FortiPresence , FortiProtect, FortiProxy, FortiRecorder, FortiReporter, FortiSASE, FortiScan, FortiSDNConnector, FortiSIEM, FortiSDWAN, FortiSMS, FortiSOAR, FortiSwitch, FortiTester, FortiToken, FortiTrust, FortiVoice, FortiVoIP, FortiWAN, FortiWeb, FortiWiFi, FortiWLC, FortiWLCOS and FortiWLM. Other trademarks belong to their respective owners. Fortinet has not independently verified statements or certifications herein attributed to third parties and Fortinet does not independently endorse such statements. Notwithstanding anything to the contrary herein, nothing herein constitutes a warranty, guarantee, contract, binding specification or other binding commitment by </w:t>
      </w:r>
      <w:proofErr w:type="gramStart"/>
      <w:r>
        <w:rPr>
          <w:rFonts w:ascii="Arial" w:eastAsia="Arial" w:hAnsi="Arial" w:cs="Arial"/>
          <w:i/>
          <w:sz w:val="22"/>
        </w:rPr>
        <w:t>Fortinet</w:t>
      </w:r>
      <w:proofErr w:type="gramEnd"/>
      <w:r>
        <w:rPr>
          <w:rFonts w:ascii="Arial" w:eastAsia="Arial" w:hAnsi="Arial" w:cs="Arial"/>
          <w:i/>
          <w:sz w:val="22"/>
        </w:rPr>
        <w:t xml:space="preserve"> or any indication of intent related to a binding commitment, and performance and other specification information herein may be unique to certain environments.</w:t>
      </w:r>
    </w:p>
    <w:p w14:paraId="3FB9E03F" w14:textId="77777777" w:rsidR="00A77B3E" w:rsidRDefault="00A77B3E">
      <w:pPr>
        <w:spacing w:line="288" w:lineRule="auto"/>
        <w:rPr>
          <w:rFonts w:ascii="Arial" w:eastAsia="Arial" w:hAnsi="Arial" w:cs="Arial"/>
          <w:sz w:val="22"/>
        </w:rPr>
      </w:pPr>
    </w:p>
    <w:p w14:paraId="58DC978B" w14:textId="77777777" w:rsidR="00A77B3E" w:rsidRDefault="00A90788">
      <w:pPr>
        <w:spacing w:line="288" w:lineRule="auto"/>
        <w:rPr>
          <w:rFonts w:ascii="Arial" w:eastAsia="Arial" w:hAnsi="Arial" w:cs="Arial"/>
          <w:sz w:val="22"/>
        </w:rPr>
      </w:pPr>
      <w:r>
        <w:rPr>
          <w:rFonts w:ascii="Arial" w:eastAsia="Arial" w:hAnsi="Arial" w:cs="Arial"/>
          <w:sz w:val="22"/>
        </w:rPr>
        <w:t>FTNT-F</w:t>
      </w:r>
    </w:p>
    <w:p w14:paraId="21AE945A" w14:textId="77777777" w:rsidR="00A77B3E" w:rsidRDefault="00A77B3E">
      <w:pPr>
        <w:spacing w:line="288" w:lineRule="auto"/>
        <w:rPr>
          <w:rFonts w:ascii="Arial" w:eastAsia="Arial" w:hAnsi="Arial" w:cs="Arial"/>
          <w:sz w:val="22"/>
        </w:rPr>
      </w:pPr>
    </w:p>
    <w:p w14:paraId="417E06E7" w14:textId="77777777" w:rsidR="00A77B3E" w:rsidRDefault="00A77B3E">
      <w:pPr>
        <w:keepNext/>
        <w:spacing w:line="288" w:lineRule="auto"/>
        <w:rPr>
          <w:rFonts w:ascii="Arial" w:eastAsia="Arial" w:hAnsi="Arial" w:cs="Arial"/>
          <w:b/>
          <w:sz w:val="22"/>
        </w:rPr>
      </w:pPr>
    </w:p>
    <w:p w14:paraId="1ADBAD54" w14:textId="77777777" w:rsidR="00A77B3E" w:rsidRDefault="00A90788">
      <w:pPr>
        <w:keepNext/>
        <w:pageBreakBefore/>
        <w:spacing w:line="288" w:lineRule="auto"/>
        <w:rPr>
          <w:sz w:val="20"/>
        </w:rPr>
      </w:pPr>
      <w:r>
        <w:rPr>
          <w:rFonts w:ascii="Arial" w:eastAsia="Arial" w:hAnsi="Arial" w:cs="Arial"/>
          <w:b/>
          <w:sz w:val="22"/>
        </w:rPr>
        <w:t>Forward-Looking Statements</w:t>
      </w:r>
    </w:p>
    <w:p w14:paraId="78952815" w14:textId="77777777" w:rsidR="00A77B3E" w:rsidRDefault="00A77B3E">
      <w:pPr>
        <w:keepNext/>
        <w:spacing w:line="288" w:lineRule="auto"/>
        <w:rPr>
          <w:rFonts w:ascii="Arial" w:eastAsia="Arial" w:hAnsi="Arial" w:cs="Arial"/>
          <w:b/>
          <w:sz w:val="22"/>
        </w:rPr>
      </w:pPr>
    </w:p>
    <w:p w14:paraId="0D2FB328" w14:textId="77777777" w:rsidR="00A77B3E" w:rsidRDefault="00A90788">
      <w:pPr>
        <w:widowControl w:val="0"/>
        <w:spacing w:line="288" w:lineRule="auto"/>
        <w:rPr>
          <w:rFonts w:ascii="Arial" w:eastAsia="Arial" w:hAnsi="Arial" w:cs="Arial"/>
          <w:sz w:val="22"/>
        </w:rPr>
      </w:pPr>
      <w:r>
        <w:rPr>
          <w:rFonts w:ascii="Arial" w:eastAsia="Arial" w:hAnsi="Arial" w:cs="Arial"/>
          <w:sz w:val="22"/>
        </w:rPr>
        <w:t xml:space="preserve">This press release contains forward-looking statements that involve risks and uncertainties. These forward-looking statements include statements regarding demand for our products and services, </w:t>
      </w:r>
      <w:proofErr w:type="gramStart"/>
      <w:r>
        <w:rPr>
          <w:rFonts w:ascii="Arial" w:eastAsia="Arial" w:hAnsi="Arial" w:cs="Arial"/>
          <w:sz w:val="22"/>
        </w:rPr>
        <w:t>guidance</w:t>
      </w:r>
      <w:proofErr w:type="gramEnd"/>
      <w:r>
        <w:rPr>
          <w:rFonts w:ascii="Arial" w:eastAsia="Arial" w:hAnsi="Arial" w:cs="Arial"/>
          <w:sz w:val="22"/>
        </w:rPr>
        <w:t xml:space="preserve"> and expectations around future financial results, including guidance and expectations for the first quarter and full year 2021, statements regarding the momentum in our business and future growth expectations and objectives and statements regarding growth in market demand. Although we attempt to be accurate in making forward-looking statements, it is possible that future circumstances might differ from the assumptions on which such statements are based such that actual results are materially different from our forward-looking statements in this release. Important factors that could cause results to differ materially from the statements herein include the following: general economic risks, including those caused by the COVID-19 pandemic; negative impacts from the COVID-19 pandemic on sales, billings, revenue, demand and buying patterns, component supply and ability to manufacture products to meet demand in a timely fashion, and costs such as possible increased costs for shipping and components; global economic conditions, country-specific economic conditions, and foreign currency risks; competitiveness in the security market; the dynamic nature of the security market and its products and services; specific economic risks worldwide and in different geographies, and among different customer segments; uncertainty regarding demand and increased business and renewals from existing customers; uncertainties around continued success in sales growth and market share gains; actual or perceived vulnerabilities in our supply chain, products or services, and any actual or perceived breach of our network or our customers’ networks; longer sales cycles, particularly for larger enterprise, service providers, government and other large organization customers; the effectiveness of our salesforce and failure to convert sales pipeline into final sales; risks associated with successful implementation of multiple integrated software products and other product functionality risks; risks associated with integrating acquisitions and changes in circumstances and plans associated therewith, including, among other risks, changes in plans related to product and services integrations, product and services plans and sales strategies; sales and marketing execution risks; execution risks around new product development and introductions and innovation; litigation and disputes and the potential cost, distraction and damage to sales and reputation caused thereby or by other factors; cybersecurity threats, breaches and other disruptions; market acceptance of new products and services; the ability to attract and retain personnel; changes in strategy; risks associated with management of growth; lengthy sales and implementation cycles, particularly in larger organizations; technological changes that make our products and services less competitive; risks associated with the adoption of, and demand for, our products and services in general and by specific customer segments, including those caused by the COVID-19 pandemic; competition and pricing pressure; product inventory shortages for any reason, including those caused by the COVID-19 pandemic; risks associated with business disruption caused by natural disasters and health emergencies such as earthquakes, fires, power outages, typhoons, floods, health epidemics and viruses such as the COVID-19 pandemic, and by manmade events such as civil unrest, labor disruption, international trade disputes, international conflicts, terrorism, wars, and critical infrastructure attacks; tariffs, trade disputes and other trade barriers, and negative impact on sales based on geo-political dynamics and disputes and protectionist policies; any political and government disruption around the world, including the impact of any future shutdowns of the U.S. government; and the other risk factors set forth from time to time in our most recent Annual Report on Form 10-K, our most recent Quarterly Report on Form 10-Q and our other filings with the Securities and Exchange Commission (SEC), copies of which are available free of charge at the SEC’s website at </w:t>
      </w:r>
      <w:r>
        <w:rPr>
          <w:rFonts w:ascii="Arial" w:eastAsia="Arial" w:hAnsi="Arial" w:cs="Arial"/>
          <w:color w:val="0000FF"/>
          <w:sz w:val="22"/>
          <w:u w:val="single"/>
        </w:rPr>
        <w:t>www.sec.gov</w:t>
      </w:r>
      <w:r>
        <w:rPr>
          <w:rFonts w:ascii="Arial" w:eastAsia="Arial" w:hAnsi="Arial" w:cs="Arial"/>
          <w:sz w:val="22"/>
        </w:rPr>
        <w:t xml:space="preserve"> or upon request from our investor relations department. All forward-looking statements herein reflect our opinions only as of the date of this release, and we undertake no obligation, and expressly disclaim any obligation, to update forward-looking statements herein </w:t>
      </w:r>
      <w:proofErr w:type="gramStart"/>
      <w:r>
        <w:rPr>
          <w:rFonts w:ascii="Arial" w:eastAsia="Arial" w:hAnsi="Arial" w:cs="Arial"/>
          <w:sz w:val="22"/>
        </w:rPr>
        <w:t>in light of</w:t>
      </w:r>
      <w:proofErr w:type="gramEnd"/>
      <w:r>
        <w:rPr>
          <w:rFonts w:ascii="Arial" w:eastAsia="Arial" w:hAnsi="Arial" w:cs="Arial"/>
          <w:sz w:val="22"/>
        </w:rPr>
        <w:t xml:space="preserve"> new information or future events.</w:t>
      </w:r>
    </w:p>
    <w:p w14:paraId="79F8AD04" w14:textId="77777777" w:rsidR="00A77B3E" w:rsidRDefault="00A77B3E">
      <w:pPr>
        <w:widowControl w:val="0"/>
        <w:spacing w:line="288" w:lineRule="auto"/>
        <w:rPr>
          <w:rFonts w:ascii="Arial" w:eastAsia="Arial" w:hAnsi="Arial" w:cs="Arial"/>
          <w:sz w:val="22"/>
        </w:rPr>
      </w:pPr>
    </w:p>
    <w:p w14:paraId="54126817" w14:textId="77777777" w:rsidR="00A77B3E" w:rsidRDefault="00A90788">
      <w:pPr>
        <w:keepNext/>
        <w:spacing w:line="288" w:lineRule="auto"/>
        <w:rPr>
          <w:rFonts w:ascii="Arial" w:eastAsia="Arial" w:hAnsi="Arial" w:cs="Arial"/>
          <w:b/>
          <w:sz w:val="22"/>
        </w:rPr>
      </w:pPr>
      <w:r>
        <w:rPr>
          <w:rFonts w:ascii="Arial" w:eastAsia="Arial" w:hAnsi="Arial" w:cs="Arial"/>
          <w:b/>
          <w:sz w:val="22"/>
        </w:rPr>
        <w:t>COVID-19 Impact</w:t>
      </w:r>
    </w:p>
    <w:p w14:paraId="61301B16" w14:textId="77777777" w:rsidR="00A77B3E" w:rsidRDefault="00A77B3E">
      <w:pPr>
        <w:keepNext/>
        <w:spacing w:line="288" w:lineRule="auto"/>
        <w:rPr>
          <w:rFonts w:ascii="Arial" w:eastAsia="Arial" w:hAnsi="Arial" w:cs="Arial"/>
          <w:sz w:val="22"/>
        </w:rPr>
      </w:pPr>
    </w:p>
    <w:p w14:paraId="0D8C07F1" w14:textId="77777777" w:rsidR="00A77B3E" w:rsidRDefault="00A90788">
      <w:pPr>
        <w:widowControl w:val="0"/>
        <w:spacing w:line="288" w:lineRule="auto"/>
        <w:rPr>
          <w:rFonts w:ascii="Arial" w:eastAsia="Arial" w:hAnsi="Arial" w:cs="Arial"/>
          <w:color w:val="212529"/>
          <w:sz w:val="22"/>
        </w:rPr>
      </w:pPr>
      <w:r>
        <w:rPr>
          <w:rFonts w:ascii="Arial" w:eastAsia="Arial" w:hAnsi="Arial" w:cs="Arial"/>
          <w:color w:val="212529"/>
          <w:sz w:val="22"/>
        </w:rPr>
        <w:t xml:space="preserve">While the broader implications of the COVID-19 pandemic on our employees and overall financial performance remain uncertain, we have seen certain impacts on our business and operations, results of operations, financial condition, cash flows, liquidity and capital and financial resources. Going forward, the situation is uncertain, rapidly </w:t>
      </w:r>
      <w:proofErr w:type="gramStart"/>
      <w:r>
        <w:rPr>
          <w:rFonts w:ascii="Arial" w:eastAsia="Arial" w:hAnsi="Arial" w:cs="Arial"/>
          <w:color w:val="212529"/>
          <w:sz w:val="22"/>
        </w:rPr>
        <w:t>changing</w:t>
      </w:r>
      <w:proofErr w:type="gramEnd"/>
      <w:r>
        <w:rPr>
          <w:rFonts w:ascii="Arial" w:eastAsia="Arial" w:hAnsi="Arial" w:cs="Arial"/>
          <w:color w:val="212529"/>
          <w:sz w:val="22"/>
        </w:rPr>
        <w:t xml:space="preserve"> and hard to predict, and the COVID-19 pandemic may have a material negative impact on our future periods, including our results for the three months ending March 31, 2021 and beyond. To highlight the uncertainty remaining for the </w:t>
      </w:r>
      <w:proofErr w:type="gramStart"/>
      <w:r>
        <w:rPr>
          <w:rFonts w:ascii="Arial" w:eastAsia="Arial" w:hAnsi="Arial" w:cs="Arial"/>
          <w:color w:val="212529"/>
          <w:sz w:val="22"/>
        </w:rPr>
        <w:t>three month</w:t>
      </w:r>
      <w:proofErr w:type="gramEnd"/>
      <w:r>
        <w:rPr>
          <w:rFonts w:ascii="Arial" w:eastAsia="Arial" w:hAnsi="Arial" w:cs="Arial"/>
          <w:color w:val="212529"/>
          <w:sz w:val="22"/>
        </w:rPr>
        <w:t xml:space="preserve"> period ending March 31, 2021, it should be noted that, due to customer buying patterns and the efforts of our sales force and channel partners to meet or exceed quarterly quotas, we have historically received a substantial portion of each quarter’s sales orders and generated a substantial portion of each quarter’s billings and revenue during the last two weeks of the quarter. If we experience significant changes in our billings growth rates, it will impact product revenue in the current quarter and FortiGuard and FortiCare service revenues in subsequent quarters, as we sell annual and multi-year service contracts that are recognized ratably over the contractual service term. In addition, the broader implications of the pandemic on our busine</w:t>
      </w:r>
      <w:r>
        <w:rPr>
          <w:rFonts w:ascii="Arial" w:eastAsia="Arial" w:hAnsi="Arial" w:cs="Arial"/>
          <w:sz w:val="22"/>
        </w:rPr>
        <w:t>ss and operations and our financial results, including the extent to which the effects of the pandemic will impact future results and growth in the cybersecurity industry, remain uncertain. The duration and severity of the economic downturn from the pandemic may negatively impact our business and operations, results of operations, financial condition, cash flows, liquidity and capital and financial resources in a material way. As a result, the effects of the pandemic may not be fully reflected in our results of operations until future periods.</w:t>
      </w:r>
    </w:p>
    <w:p w14:paraId="50196012" w14:textId="77777777" w:rsidR="00A77B3E" w:rsidRDefault="00A77B3E">
      <w:pPr>
        <w:widowControl w:val="0"/>
        <w:spacing w:line="288" w:lineRule="auto"/>
        <w:rPr>
          <w:rFonts w:ascii="Arial" w:eastAsia="Arial" w:hAnsi="Arial" w:cs="Arial"/>
          <w:sz w:val="22"/>
        </w:rPr>
      </w:pPr>
    </w:p>
    <w:p w14:paraId="7887833A" w14:textId="77777777" w:rsidR="00A77B3E" w:rsidRDefault="00A90788">
      <w:pPr>
        <w:keepNext/>
        <w:spacing w:line="288" w:lineRule="auto"/>
        <w:rPr>
          <w:rFonts w:ascii="Arial" w:eastAsia="Arial" w:hAnsi="Arial" w:cs="Arial"/>
          <w:b/>
          <w:sz w:val="22"/>
        </w:rPr>
      </w:pPr>
      <w:r>
        <w:rPr>
          <w:rFonts w:ascii="Arial" w:eastAsia="Arial" w:hAnsi="Arial" w:cs="Arial"/>
          <w:b/>
          <w:sz w:val="22"/>
        </w:rPr>
        <w:t>Non-GAAP Financial Measures</w:t>
      </w:r>
    </w:p>
    <w:p w14:paraId="01C24F78" w14:textId="77777777" w:rsidR="00A77B3E" w:rsidRDefault="00A77B3E">
      <w:pPr>
        <w:keepNext/>
        <w:spacing w:line="288" w:lineRule="auto"/>
        <w:rPr>
          <w:rFonts w:ascii="Arial" w:eastAsia="Arial" w:hAnsi="Arial" w:cs="Arial"/>
          <w:sz w:val="22"/>
        </w:rPr>
      </w:pPr>
    </w:p>
    <w:p w14:paraId="166F6AC4" w14:textId="77777777" w:rsidR="00A77B3E" w:rsidRDefault="00A90788">
      <w:pPr>
        <w:spacing w:line="288" w:lineRule="auto"/>
        <w:rPr>
          <w:rFonts w:ascii="Arial" w:eastAsia="Arial" w:hAnsi="Arial" w:cs="Arial"/>
          <w:sz w:val="22"/>
        </w:rPr>
      </w:pPr>
      <w:r>
        <w:rPr>
          <w:rFonts w:ascii="Arial" w:eastAsia="Arial" w:hAnsi="Arial" w:cs="Arial"/>
          <w:sz w:val="22"/>
        </w:rPr>
        <w:t>We have provided in this release financial information that has not been prepared in accordance with U.S. Generally Accepted Accounting Principles (GAAP). These non-GAAP financial and liquidity measures are not based on any standardized methodology prescribed by GAAP and are not necessarily comparable to similar measures presented by other companies. We use these non-GAAP financial measures internally in analyzing our financial results and believe they are useful to investors, as a supplement to GAAP measures, in evaluating our ongoing operational performance. We believe that the use of these non-GAAP financial measures provides an additional tool for investors to use in evaluating ongoing operating results and trends and in comparing our financial results with peer companies, many of which present similar non-GAAP financial measures to investors.</w:t>
      </w:r>
    </w:p>
    <w:p w14:paraId="4B5F8F36" w14:textId="77777777" w:rsidR="00A77B3E" w:rsidRDefault="00A77B3E">
      <w:pPr>
        <w:spacing w:line="288" w:lineRule="auto"/>
        <w:rPr>
          <w:rFonts w:ascii="Arial" w:eastAsia="Arial" w:hAnsi="Arial" w:cs="Arial"/>
          <w:sz w:val="22"/>
        </w:rPr>
      </w:pPr>
    </w:p>
    <w:p w14:paraId="2C05E954" w14:textId="77777777" w:rsidR="00A77B3E" w:rsidRDefault="00A90788">
      <w:pPr>
        <w:spacing w:line="288" w:lineRule="auto"/>
        <w:rPr>
          <w:rFonts w:ascii="Arial" w:eastAsia="Arial" w:hAnsi="Arial" w:cs="Arial"/>
          <w:sz w:val="22"/>
        </w:rPr>
      </w:pPr>
      <w:r>
        <w:rPr>
          <w:rFonts w:ascii="Arial" w:eastAsia="Arial" w:hAnsi="Arial" w:cs="Arial"/>
          <w:sz w:val="22"/>
        </w:rPr>
        <w:t xml:space="preserve">Non-GAAP financial measures should not be considered in isolation from, or as a substitute for, financial information prepared in accordance with GAAP. Investors are encouraged to review the reconciliation of these non-GAAP financial measures to their most directly comparable GAAP financial measures provided in the financial statement tables below. </w:t>
      </w:r>
    </w:p>
    <w:p w14:paraId="79D505C4" w14:textId="77777777" w:rsidR="00A77B3E" w:rsidRDefault="00A77B3E">
      <w:pPr>
        <w:spacing w:line="288" w:lineRule="auto"/>
        <w:rPr>
          <w:rFonts w:ascii="Arial" w:eastAsia="Arial" w:hAnsi="Arial" w:cs="Arial"/>
          <w:sz w:val="22"/>
        </w:rPr>
      </w:pPr>
    </w:p>
    <w:p w14:paraId="7C4B30A0" w14:textId="77777777" w:rsidR="00A77B3E" w:rsidRDefault="00A90788">
      <w:pPr>
        <w:spacing w:line="288" w:lineRule="auto"/>
        <w:rPr>
          <w:rFonts w:ascii="Arial" w:eastAsia="Arial" w:hAnsi="Arial" w:cs="Arial"/>
          <w:i/>
          <w:sz w:val="22"/>
        </w:rPr>
      </w:pPr>
      <w:r>
        <w:rPr>
          <w:rFonts w:ascii="Arial" w:eastAsia="Arial" w:hAnsi="Arial" w:cs="Arial"/>
          <w:i/>
          <w:sz w:val="22"/>
        </w:rPr>
        <w:t>Billings (non-GAAP).</w:t>
      </w:r>
      <w:r>
        <w:rPr>
          <w:rFonts w:ascii="Arial" w:eastAsia="Arial" w:hAnsi="Arial" w:cs="Arial"/>
          <w:sz w:val="22"/>
        </w:rPr>
        <w:t xml:space="preserve"> We define billings as revenue recognized in accordance with GAAP plus the change in deferred revenue from the beginning to the end of the period, less any deferred revenue balances acquired from business combination(s) during the period. We consider billings to be a useful metric for management and investors because billings drive current and future revenue, which is an important indicator of the health and viability of our business. There are </w:t>
      </w:r>
      <w:proofErr w:type="gramStart"/>
      <w:r>
        <w:rPr>
          <w:rFonts w:ascii="Arial" w:eastAsia="Arial" w:hAnsi="Arial" w:cs="Arial"/>
          <w:sz w:val="22"/>
        </w:rPr>
        <w:t>a number of</w:t>
      </w:r>
      <w:proofErr w:type="gramEnd"/>
      <w:r>
        <w:rPr>
          <w:rFonts w:ascii="Arial" w:eastAsia="Arial" w:hAnsi="Arial" w:cs="Arial"/>
          <w:sz w:val="22"/>
        </w:rPr>
        <w:t xml:space="preserve"> limitations related to the use of billings instead of GAAP revenue. First, billings include amounts that have not yet been recognized as revenue and are impacted by the term of security and support agreements. Second, we may calculate billings in a manner that is different from peer companies that report similar financial measures. Management accounts for these limitations by providing specific information regarding GAAP revenue and evaluating billings together with GAAP revenue.</w:t>
      </w:r>
    </w:p>
    <w:p w14:paraId="6B957736" w14:textId="77777777" w:rsidR="00A77B3E" w:rsidRDefault="00A77B3E">
      <w:pPr>
        <w:spacing w:line="288" w:lineRule="auto"/>
        <w:rPr>
          <w:rFonts w:ascii="Arial" w:eastAsia="Arial" w:hAnsi="Arial" w:cs="Arial"/>
          <w:sz w:val="22"/>
        </w:rPr>
      </w:pPr>
    </w:p>
    <w:p w14:paraId="600B5404" w14:textId="77777777" w:rsidR="00A77B3E" w:rsidRDefault="00A90788">
      <w:pPr>
        <w:spacing w:line="276" w:lineRule="auto"/>
        <w:rPr>
          <w:rFonts w:ascii="Arial" w:eastAsia="Arial" w:hAnsi="Arial" w:cs="Arial"/>
          <w:sz w:val="22"/>
        </w:rPr>
      </w:pPr>
      <w:r>
        <w:rPr>
          <w:rFonts w:ascii="Arial" w:eastAsia="Arial" w:hAnsi="Arial" w:cs="Arial"/>
          <w:i/>
          <w:sz w:val="22"/>
        </w:rPr>
        <w:t>Free cash flow (non-GAAP).</w:t>
      </w:r>
      <w:r>
        <w:rPr>
          <w:rFonts w:ascii="Arial" w:eastAsia="Arial" w:hAnsi="Arial" w:cs="Arial"/>
          <w:sz w:val="22"/>
        </w:rPr>
        <w:t xml:space="preserve"> We define free cash flow as net cash provided by operating activities minus purchases of property and equipment and excluding any significant non-recurring items, such as proceeds from intellectual property matter. We believe free cash flow to be a liquidity measure that provides useful information to management and investors about the amount of cash generated by the business that, after capital expenditures and net of proceeds from intellectual property matter, can be used for strategic opportunities, including repurchasing outstanding common stock, investing in our business, making strategic </w:t>
      </w:r>
      <w:proofErr w:type="gramStart"/>
      <w:r>
        <w:rPr>
          <w:rFonts w:ascii="Arial" w:eastAsia="Arial" w:hAnsi="Arial" w:cs="Arial"/>
          <w:sz w:val="22"/>
        </w:rPr>
        <w:t>acquisitions</w:t>
      </w:r>
      <w:proofErr w:type="gramEnd"/>
      <w:r>
        <w:rPr>
          <w:rFonts w:ascii="Arial" w:eastAsia="Arial" w:hAnsi="Arial" w:cs="Arial"/>
          <w:sz w:val="22"/>
        </w:rPr>
        <w:t xml:space="preserve"> and strengthening the balance sheet. A limitation of using free cash flow rather than the GAAP measures of cash provided by or used in operating activities, investing activities, and financing activities is that free cash flow does not represent the total increase or decrease in the cash and cash equivalents balance for the period because it excludes cash flows from significant non-recurring items, such as proceeds from intellectual property matter, investing activities other than capital expenditures and cash flows from financing activities. Management accounts for this limitation by providing information about our capital expenditures and other investing and financing activities on the face of the cash flow statement and under the caption “Management</w:t>
      </w:r>
      <w:r>
        <w:rPr>
          <w:sz w:val="20"/>
        </w:rPr>
        <w:t>’</w:t>
      </w:r>
      <w:r>
        <w:rPr>
          <w:rFonts w:ascii="Arial" w:eastAsia="Arial" w:hAnsi="Arial" w:cs="Arial"/>
          <w:sz w:val="22"/>
        </w:rPr>
        <w:t>s Discussion and Analysis of Financial Condition and Results of Operations</w:t>
      </w:r>
      <w:r>
        <w:t>—</w:t>
      </w:r>
      <w:r>
        <w:rPr>
          <w:rFonts w:ascii="Arial" w:eastAsia="Arial" w:hAnsi="Arial" w:cs="Arial"/>
          <w:sz w:val="22"/>
        </w:rPr>
        <w:t>Liquidity and Capital Resources” in our most recent Quarterly Report on Form 10-Q and Annual Report on Form 10-K and by presenting cash flows from investing and financing activities in our reconciliation of free cash flow. In addition, it is important to note that other companies, including companies in our industry, may not use free cash flow, may calculate free cash flow in a different manner than we do or may use other financial measures to evaluate their performance, all of which could reduce the usefulness of free cash flow as a comparative measure.</w:t>
      </w:r>
    </w:p>
    <w:p w14:paraId="2DA311F8" w14:textId="77777777" w:rsidR="00A77B3E" w:rsidRDefault="00A77B3E">
      <w:pPr>
        <w:spacing w:line="288" w:lineRule="auto"/>
        <w:rPr>
          <w:rFonts w:ascii="Arial" w:eastAsia="Arial" w:hAnsi="Arial" w:cs="Arial"/>
          <w:sz w:val="22"/>
        </w:rPr>
      </w:pPr>
    </w:p>
    <w:p w14:paraId="63F51BE0" w14:textId="77777777" w:rsidR="00A77B3E" w:rsidRDefault="00A90788">
      <w:pPr>
        <w:spacing w:line="276" w:lineRule="auto"/>
        <w:rPr>
          <w:rFonts w:ascii="Arial" w:eastAsia="Arial" w:hAnsi="Arial" w:cs="Arial"/>
          <w:sz w:val="22"/>
        </w:rPr>
      </w:pPr>
      <w:r>
        <w:rPr>
          <w:rFonts w:ascii="Arial" w:eastAsia="Arial" w:hAnsi="Arial" w:cs="Arial"/>
          <w:i/>
          <w:sz w:val="22"/>
        </w:rPr>
        <w:t xml:space="preserve">Non-GAAP operating income and operating margin. </w:t>
      </w:r>
      <w:r>
        <w:rPr>
          <w:rFonts w:ascii="Arial" w:eastAsia="Arial" w:hAnsi="Arial" w:cs="Arial"/>
          <w:sz w:val="22"/>
        </w:rPr>
        <w:t xml:space="preserve">We define non-GAAP operating income as operating income plus stock-based compensation, </w:t>
      </w:r>
      <w:proofErr w:type="gramStart"/>
      <w:r>
        <w:rPr>
          <w:rFonts w:ascii="Arial" w:eastAsia="Arial" w:hAnsi="Arial" w:cs="Arial"/>
          <w:sz w:val="22"/>
        </w:rPr>
        <w:t>impairment</w:t>
      </w:r>
      <w:proofErr w:type="gramEnd"/>
      <w:r>
        <w:rPr>
          <w:rFonts w:ascii="Arial" w:eastAsia="Arial" w:hAnsi="Arial" w:cs="Arial"/>
          <w:sz w:val="22"/>
        </w:rPr>
        <w:t xml:space="preserve"> and amortization of acquired intangible assets, less gain on intellectual property matter and, when applicable, other significant non-recurring items in a given quarter, such as non-recurring gains or losses on litigation-related matters. Non-GAAP operating margin is defined as non-GAAP operating income divided by GAAP revenue. We consider these non-GAAP financial measures to be useful metrics for management and investors because they exclude the items noted above so that our management and investors can compare our recurring core business operating results over multiple periods. There are </w:t>
      </w:r>
      <w:proofErr w:type="gramStart"/>
      <w:r>
        <w:rPr>
          <w:rFonts w:ascii="Arial" w:eastAsia="Arial" w:hAnsi="Arial" w:cs="Arial"/>
          <w:sz w:val="22"/>
        </w:rPr>
        <w:t>a number of</w:t>
      </w:r>
      <w:proofErr w:type="gramEnd"/>
      <w:r>
        <w:rPr>
          <w:rFonts w:ascii="Arial" w:eastAsia="Arial" w:hAnsi="Arial" w:cs="Arial"/>
          <w:sz w:val="22"/>
        </w:rPr>
        <w:t xml:space="preserve"> limitations related to the use of non-GAAP operating income instead of operating income or loss calculated in accordance with GAAP. First, non-GAAP operating income excludes the items noted above. Second, the components of the costs that we exclude from our calculation of non-GAAP operating income may differ from the components that peer companies exclude when they report their non-GAAP results of operations. Management accounts for these limitations by providing specific information regarding the GAAP amounts excluded from non-GAAP operating income and evaluating non-GAAP operating income together with operating income calculated in accordance with GAAP.</w:t>
      </w:r>
    </w:p>
    <w:p w14:paraId="4D3B56D6" w14:textId="77777777" w:rsidR="00A77B3E" w:rsidRDefault="00A77B3E">
      <w:pPr>
        <w:spacing w:line="288" w:lineRule="auto"/>
        <w:rPr>
          <w:rFonts w:ascii="Arial" w:eastAsia="Arial" w:hAnsi="Arial" w:cs="Arial"/>
          <w:i/>
          <w:sz w:val="22"/>
        </w:rPr>
      </w:pPr>
    </w:p>
    <w:p w14:paraId="787F303F" w14:textId="77777777" w:rsidR="00A77B3E" w:rsidRDefault="00A90788">
      <w:pPr>
        <w:spacing w:line="288" w:lineRule="auto"/>
        <w:rPr>
          <w:rFonts w:ascii="Arial" w:eastAsia="Arial" w:hAnsi="Arial" w:cs="Arial"/>
          <w:i/>
          <w:sz w:val="22"/>
        </w:rPr>
      </w:pPr>
      <w:r>
        <w:rPr>
          <w:rFonts w:ascii="Arial" w:eastAsia="Arial" w:hAnsi="Arial" w:cs="Arial"/>
          <w:i/>
          <w:sz w:val="22"/>
        </w:rPr>
        <w:t xml:space="preserve">Non-GAAP net income and diluted net income per share. </w:t>
      </w:r>
      <w:r>
        <w:rPr>
          <w:rFonts w:ascii="Arial" w:eastAsia="Arial" w:hAnsi="Arial" w:cs="Arial"/>
          <w:sz w:val="22"/>
        </w:rPr>
        <w:t xml:space="preserve">We define non-GAAP net income as net income or loss plus the items noted above under non-GAAP operating income and operating margin. In addition, we adjust non-GAAP net income and diluted net income per share for gains or losses on investments in privately held companies and a tax adjustment required for an effective tax rate on a non-GAAP basis, which differs from the GAAP effective tax rate. We define non-GAAP diluted net income per share as non-GAAP net income divided by the non-GAAP diluted weighted-average shares outstanding. We consider these non-GAAP financial measures to be useful metrics for management and investors for the same reasons that we use non-GAAP operating income and non-GAAP operating margin. However, </w:t>
      </w:r>
      <w:proofErr w:type="gramStart"/>
      <w:r>
        <w:rPr>
          <w:rFonts w:ascii="Arial" w:eastAsia="Arial" w:hAnsi="Arial" w:cs="Arial"/>
          <w:sz w:val="22"/>
        </w:rPr>
        <w:t>in order to</w:t>
      </w:r>
      <w:proofErr w:type="gramEnd"/>
      <w:r>
        <w:rPr>
          <w:rFonts w:ascii="Arial" w:eastAsia="Arial" w:hAnsi="Arial" w:cs="Arial"/>
          <w:sz w:val="22"/>
        </w:rPr>
        <w:t xml:space="preserve"> provide a more complete picture of our recurring core business operating results, we include in non-GAAP net income and non-GAAP diluted net income per share, the tax adjustment required resulting in an effective tax rate on a non-GAAP basis, which often differs from the GAAP tax rate. We believe the non-GAAP effective tax rates we use are reasonable estimates of normalized tax rates for our current and prior fiscal years under our global operating structure. The same limitations described above regarding our use of non-GAAP operating income and non-GAAP operating margin apply to our use of non-GAAP net income and non-GAAP diluted net income per share. We account for these limitations by providing specific information regarding the GAAP amounts excluded from non-GAAP net income and non-GAAP diluted net income per share and evaluating non-GAAP net income and non-GAAP diluted net income per share together with net income or loss and diluted net income per share calculated in accordance with GAAP.</w:t>
      </w:r>
    </w:p>
    <w:p w14:paraId="426ADF4A" w14:textId="77777777" w:rsidR="00A77B3E" w:rsidRDefault="00A77B3E">
      <w:pPr>
        <w:spacing w:line="288" w:lineRule="auto"/>
        <w:rPr>
          <w:sz w:val="20"/>
        </w:rPr>
        <w:sectPr w:rsidR="00A77B3E">
          <w:headerReference w:type="default" r:id="rId8"/>
          <w:footerReference w:type="default" r:id="rId9"/>
          <w:type w:val="continuous"/>
          <w:pgSz w:w="12240" w:h="15840"/>
          <w:pgMar w:top="855" w:right="1080" w:bottom="855" w:left="1800" w:header="270" w:footer="270" w:gutter="0"/>
          <w:cols w:space="708"/>
          <w:docGrid w:linePitch="360"/>
        </w:sectPr>
      </w:pPr>
    </w:p>
    <w:p w14:paraId="19050435" w14:textId="77777777" w:rsidR="003F4498" w:rsidRDefault="00A90788">
      <w:pPr>
        <w:spacing w:line="288" w:lineRule="auto"/>
        <w:jc w:val="center"/>
        <w:outlineLvl w:val="0"/>
        <w:rPr>
          <w:b/>
          <w:sz w:val="20"/>
        </w:rPr>
      </w:pPr>
      <w:bookmarkStart w:id="1" w:name="Section2"/>
      <w:bookmarkEnd w:id="1"/>
      <w:r>
        <w:rPr>
          <w:b/>
          <w:sz w:val="20"/>
        </w:rPr>
        <w:t>FORTINET, INC.</w:t>
      </w:r>
    </w:p>
    <w:p w14:paraId="707F356D" w14:textId="77777777" w:rsidR="003F4498" w:rsidRDefault="00A90788">
      <w:pPr>
        <w:spacing w:before="60" w:line="288" w:lineRule="auto"/>
        <w:jc w:val="center"/>
        <w:rPr>
          <w:b/>
          <w:sz w:val="20"/>
        </w:rPr>
      </w:pPr>
      <w:r>
        <w:rPr>
          <w:b/>
          <w:sz w:val="20"/>
        </w:rPr>
        <w:t>CONDENSED CONSOLIDATED BALANCE SHEETS</w:t>
      </w:r>
      <w:r>
        <w:rPr>
          <w:b/>
          <w:sz w:val="20"/>
          <w:vertAlign w:val="superscript"/>
        </w:rPr>
        <w:t>1</w:t>
      </w:r>
    </w:p>
    <w:p w14:paraId="5B317E13" w14:textId="77777777" w:rsidR="003F4498" w:rsidRDefault="00A90788">
      <w:pPr>
        <w:spacing w:before="60" w:after="160" w:line="288" w:lineRule="auto"/>
        <w:jc w:val="center"/>
        <w:rPr>
          <w:b/>
          <w:sz w:val="20"/>
        </w:rPr>
      </w:pPr>
      <w:r>
        <w:rPr>
          <w:b/>
          <w:sz w:val="20"/>
        </w:rPr>
        <w:t>(Unaudited, in millions)</w:t>
      </w: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162"/>
        <w:gridCol w:w="1062"/>
        <w:gridCol w:w="102"/>
        <w:gridCol w:w="114"/>
        <w:gridCol w:w="163"/>
        <w:gridCol w:w="1062"/>
        <w:gridCol w:w="102"/>
      </w:tblGrid>
      <w:tr w:rsidR="003F4498" w14:paraId="7427B52E" w14:textId="77777777">
        <w:trPr>
          <w:cantSplit/>
          <w:trHeight w:hRule="exact" w:val="645"/>
          <w:jc w:val="center"/>
        </w:trPr>
        <w:tc>
          <w:tcPr>
            <w:tcW w:w="7560" w:type="dxa"/>
            <w:tcBorders>
              <w:top w:val="nil"/>
              <w:left w:val="nil"/>
              <w:bottom w:val="nil"/>
              <w:right w:val="nil"/>
            </w:tcBorders>
            <w:tcMar>
              <w:top w:w="0" w:type="dxa"/>
              <w:left w:w="53" w:type="dxa"/>
              <w:bottom w:w="0" w:type="dxa"/>
              <w:right w:w="53" w:type="dxa"/>
            </w:tcMar>
            <w:vAlign w:val="bottom"/>
          </w:tcPr>
          <w:p w14:paraId="14BE72E6" w14:textId="77777777" w:rsidR="003F4498" w:rsidRDefault="00A90788">
            <w:pPr>
              <w:keepNext/>
              <w:spacing w:before="75" w:after="30"/>
            </w:pPr>
            <w:r>
              <w:rPr>
                <w:color w:val="000000"/>
                <w:sz w:val="18"/>
              </w:rPr>
              <w:t> </w:t>
            </w: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14:paraId="694AACC8" w14:textId="77777777" w:rsidR="003F4498" w:rsidRDefault="00A90788">
            <w:pPr>
              <w:keepNext/>
              <w:spacing w:before="75" w:after="30"/>
              <w:jc w:val="center"/>
            </w:pPr>
            <w:r>
              <w:rPr>
                <w:b/>
                <w:color w:val="000000"/>
                <w:sz w:val="18"/>
              </w:rPr>
              <w:t>December 31,</w:t>
            </w:r>
            <w:r>
              <w:br/>
            </w:r>
            <w:r>
              <w:rPr>
                <w:b/>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14:paraId="70D35C94" w14:textId="77777777" w:rsidR="003F4498" w:rsidRDefault="003F4498">
            <w:pPr>
              <w:keepNext/>
            </w:pP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14:paraId="7793977E" w14:textId="77777777" w:rsidR="003F4498" w:rsidRDefault="00A90788">
            <w:pPr>
              <w:keepNext/>
              <w:spacing w:before="75" w:after="30"/>
              <w:jc w:val="center"/>
            </w:pPr>
            <w:r>
              <w:rPr>
                <w:b/>
                <w:color w:val="000000"/>
                <w:sz w:val="18"/>
              </w:rPr>
              <w:t>December 31,</w:t>
            </w:r>
            <w:r>
              <w:br/>
            </w:r>
            <w:r>
              <w:rPr>
                <w:b/>
                <w:color w:val="000000"/>
                <w:sz w:val="18"/>
              </w:rPr>
              <w:t>2019</w:t>
            </w:r>
          </w:p>
        </w:tc>
      </w:tr>
      <w:tr w:rsidR="003F4498" w14:paraId="2141397F" w14:textId="77777777">
        <w:trPr>
          <w:cantSplit/>
          <w:trHeight w:hRule="exact" w:val="40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325EA205" w14:textId="77777777" w:rsidR="003F4498" w:rsidRDefault="00A90788">
            <w:pPr>
              <w:keepNext/>
              <w:spacing w:before="75" w:after="30"/>
            </w:pPr>
            <w:r>
              <w:rPr>
                <w:b/>
                <w:color w:val="000000"/>
                <w:sz w:val="20"/>
              </w:rPr>
              <w:t>ASSETS</w:t>
            </w: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37A5A7A"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EDF128" w14:textId="77777777" w:rsidR="003F4498" w:rsidRDefault="003F4498">
            <w:pPr>
              <w:keepNext/>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E4968AB" w14:textId="77777777" w:rsidR="003F4498" w:rsidRDefault="003F4498">
            <w:pPr>
              <w:keepNext/>
            </w:pPr>
          </w:p>
        </w:tc>
      </w:tr>
      <w:tr w:rsidR="003F4498" w14:paraId="694A0530"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5E477AA7" w14:textId="77777777" w:rsidR="003F4498" w:rsidRDefault="00A90788">
            <w:pPr>
              <w:keepNext/>
              <w:spacing w:before="75" w:after="30"/>
            </w:pPr>
            <w:r>
              <w:rPr>
                <w:color w:val="000000"/>
                <w:sz w:val="20"/>
              </w:rPr>
              <w:t>CURRENT ASSETS:</w:t>
            </w: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14:paraId="77393760"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0E4E7D" w14:textId="77777777" w:rsidR="003F4498" w:rsidRDefault="003F4498">
            <w:pPr>
              <w:keepNext/>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14:paraId="64E611E9" w14:textId="77777777" w:rsidR="003F4498" w:rsidRDefault="003F4498">
            <w:pPr>
              <w:keepNext/>
            </w:pPr>
          </w:p>
        </w:tc>
      </w:tr>
      <w:tr w:rsidR="003F4498" w14:paraId="3724322A"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57B5F1B4" w14:textId="77777777" w:rsidR="003F4498" w:rsidRDefault="00A90788">
            <w:pPr>
              <w:keepNext/>
              <w:spacing w:before="75" w:after="30"/>
              <w:ind w:left="225"/>
            </w:pPr>
            <w:r>
              <w:rPr>
                <w:color w:val="000000"/>
                <w:sz w:val="20"/>
              </w:rPr>
              <w:t>Cash and cash equivalents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7A067C79" w14:textId="77777777" w:rsidR="003F4498" w:rsidRDefault="00A90788">
            <w:pPr>
              <w:keepNext/>
              <w:spacing w:before="75" w:after="30"/>
            </w:pPr>
            <w:r>
              <w:rPr>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14:paraId="65E23859" w14:textId="77777777" w:rsidR="003F4498" w:rsidRDefault="00A90788">
            <w:pPr>
              <w:keepNext/>
              <w:spacing w:before="75" w:after="30"/>
              <w:jc w:val="right"/>
            </w:pPr>
            <w:r>
              <w:rPr>
                <w:color w:val="000000"/>
                <w:sz w:val="20"/>
              </w:rPr>
              <w:t>1,061.8 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2989B0E"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3813111" w14:textId="77777777" w:rsidR="003F4498" w:rsidRDefault="003F4498">
            <w:pPr>
              <w:keepNext/>
              <w:spacing w:before="75" w:after="3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E442FDF" w14:textId="77777777" w:rsidR="003F4498" w:rsidRDefault="00A90788">
            <w:pPr>
              <w:keepNext/>
              <w:spacing w:before="75" w:after="30"/>
            </w:pPr>
            <w:r>
              <w:rPr>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14:paraId="08ED378F" w14:textId="77777777" w:rsidR="003F4498" w:rsidRDefault="00A90788">
            <w:pPr>
              <w:keepNext/>
              <w:spacing w:before="75" w:after="30"/>
              <w:jc w:val="right"/>
            </w:pPr>
            <w:r>
              <w:rPr>
                <w:color w:val="000000"/>
                <w:sz w:val="20"/>
              </w:rPr>
              <w:t>1,222.5 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F792F9C" w14:textId="77777777" w:rsidR="003F4498" w:rsidRDefault="003F4498">
            <w:pPr>
              <w:keepNext/>
              <w:spacing w:before="75" w:after="30"/>
              <w:jc w:val="right"/>
            </w:pPr>
          </w:p>
        </w:tc>
      </w:tr>
      <w:tr w:rsidR="003F4498" w14:paraId="3F809778"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02A53B78" w14:textId="77777777" w:rsidR="003F4498" w:rsidRDefault="00A90788">
            <w:pPr>
              <w:keepNext/>
              <w:spacing w:before="75" w:after="30"/>
              <w:ind w:left="225"/>
            </w:pPr>
            <w:r>
              <w:rPr>
                <w:color w:val="000000"/>
                <w:sz w:val="20"/>
              </w:rPr>
              <w:t>Short-term investments</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17E725A4" w14:textId="77777777" w:rsidR="003F4498" w:rsidRDefault="00A90788">
            <w:pPr>
              <w:keepNext/>
              <w:spacing w:before="75" w:after="30"/>
              <w:jc w:val="right"/>
            </w:pPr>
            <w:r>
              <w:rPr>
                <w:color w:val="000000"/>
                <w:sz w:val="20"/>
              </w:rPr>
              <w:t>775.5 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99BBD27"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6B450F8" w14:textId="77777777" w:rsidR="003F4498" w:rsidRDefault="003F4498">
            <w:pPr>
              <w:keepNext/>
              <w:spacing w:before="75" w:after="30"/>
              <w:jc w:val="righ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4E92FEBA" w14:textId="77777777" w:rsidR="003F4498" w:rsidRDefault="00A90788">
            <w:pPr>
              <w:keepNext/>
              <w:spacing w:before="75" w:after="30"/>
              <w:jc w:val="right"/>
            </w:pPr>
            <w:r>
              <w:rPr>
                <w:color w:val="000000"/>
                <w:sz w:val="20"/>
              </w:rPr>
              <w:t>843.1 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8430E18" w14:textId="77777777" w:rsidR="003F4498" w:rsidRDefault="003F4498">
            <w:pPr>
              <w:keepNext/>
              <w:spacing w:before="75" w:after="30"/>
              <w:jc w:val="right"/>
            </w:pPr>
          </w:p>
        </w:tc>
      </w:tr>
      <w:tr w:rsidR="003F4498" w14:paraId="3AC4BE59"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433FAE09" w14:textId="77777777" w:rsidR="003F4498" w:rsidRDefault="00A90788">
            <w:pPr>
              <w:keepNext/>
              <w:spacing w:before="75" w:after="30"/>
              <w:ind w:left="225"/>
            </w:pPr>
            <w:r>
              <w:rPr>
                <w:color w:val="000000"/>
                <w:sz w:val="20"/>
              </w:rPr>
              <w:t xml:space="preserve">Accounts </w:t>
            </w:r>
            <w:proofErr w:type="gramStart"/>
            <w:r>
              <w:rPr>
                <w:color w:val="000000"/>
                <w:sz w:val="20"/>
              </w:rPr>
              <w:t>receivable—net</w:t>
            </w:r>
            <w:proofErr w:type="gramEnd"/>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7D046822" w14:textId="77777777" w:rsidR="003F4498" w:rsidRDefault="00A90788">
            <w:pPr>
              <w:keepNext/>
              <w:spacing w:before="75" w:after="30"/>
              <w:jc w:val="right"/>
            </w:pPr>
            <w:r>
              <w:rPr>
                <w:color w:val="000000"/>
                <w:sz w:val="20"/>
              </w:rPr>
              <w:t>720.0 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D1BCA87"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E355F5B" w14:textId="77777777" w:rsidR="003F4498" w:rsidRDefault="003F4498">
            <w:pPr>
              <w:keepNext/>
              <w:spacing w:before="75" w:after="30"/>
              <w:jc w:val="righ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0097F663" w14:textId="77777777" w:rsidR="003F4498" w:rsidRDefault="00A90788">
            <w:pPr>
              <w:keepNext/>
              <w:spacing w:before="75" w:after="30"/>
              <w:jc w:val="right"/>
            </w:pPr>
            <w:r>
              <w:rPr>
                <w:color w:val="000000"/>
                <w:sz w:val="20"/>
              </w:rPr>
              <w:t>544.3 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0D3DCA6" w14:textId="77777777" w:rsidR="003F4498" w:rsidRDefault="003F4498">
            <w:pPr>
              <w:keepNext/>
              <w:spacing w:before="75" w:after="30"/>
              <w:jc w:val="right"/>
            </w:pPr>
          </w:p>
        </w:tc>
      </w:tr>
      <w:tr w:rsidR="003F4498" w14:paraId="1F053F3D"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28C72CCF" w14:textId="77777777" w:rsidR="003F4498" w:rsidRDefault="00A90788">
            <w:pPr>
              <w:keepNext/>
              <w:spacing w:before="75" w:after="30"/>
              <w:ind w:left="225"/>
            </w:pPr>
            <w:r>
              <w:rPr>
                <w:color w:val="000000"/>
                <w:sz w:val="20"/>
              </w:rPr>
              <w:t>Inventory</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7C0EB7D2" w14:textId="77777777" w:rsidR="003F4498" w:rsidRDefault="00A90788">
            <w:pPr>
              <w:keepNext/>
              <w:spacing w:before="75" w:after="30"/>
              <w:jc w:val="right"/>
            </w:pPr>
            <w:r>
              <w:rPr>
                <w:color w:val="000000"/>
                <w:sz w:val="20"/>
              </w:rPr>
              <w:t>139.8 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BAEDD16"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E64811D" w14:textId="77777777" w:rsidR="003F4498" w:rsidRDefault="003F4498">
            <w:pPr>
              <w:keepNext/>
              <w:spacing w:before="75" w:after="30"/>
              <w:jc w:val="righ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50BA137F" w14:textId="77777777" w:rsidR="003F4498" w:rsidRDefault="00A90788">
            <w:pPr>
              <w:keepNext/>
              <w:spacing w:before="75" w:after="30"/>
              <w:jc w:val="right"/>
            </w:pPr>
            <w:r>
              <w:rPr>
                <w:color w:val="000000"/>
                <w:sz w:val="20"/>
              </w:rPr>
              <w:t>117.9 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D8AC070" w14:textId="77777777" w:rsidR="003F4498" w:rsidRDefault="003F4498">
            <w:pPr>
              <w:keepNext/>
              <w:spacing w:before="75" w:after="30"/>
              <w:jc w:val="right"/>
            </w:pPr>
          </w:p>
        </w:tc>
      </w:tr>
      <w:tr w:rsidR="003F4498" w14:paraId="5ABE14E6"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2757C3A1" w14:textId="77777777" w:rsidR="003F4498" w:rsidRDefault="00A90788">
            <w:pPr>
              <w:keepNext/>
              <w:spacing w:before="75" w:after="30"/>
              <w:ind w:left="225"/>
            </w:pPr>
            <w:r>
              <w:rPr>
                <w:color w:val="000000"/>
                <w:sz w:val="20"/>
              </w:rPr>
              <w:t>Prepaid expenses and other current assets</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CF8C15D" w14:textId="77777777" w:rsidR="003F4498" w:rsidRDefault="00A90788">
            <w:pPr>
              <w:keepNext/>
              <w:spacing w:before="75" w:after="30"/>
              <w:jc w:val="right"/>
            </w:pPr>
            <w:r>
              <w:rPr>
                <w:color w:val="000000"/>
                <w:sz w:val="20"/>
              </w:rPr>
              <w:t>43.3 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E1F10BC"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8D1D131" w14:textId="77777777" w:rsidR="003F4498" w:rsidRDefault="003F4498">
            <w:pPr>
              <w:keepNext/>
              <w:spacing w:before="75" w:after="30"/>
              <w:jc w:val="righ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45316ED" w14:textId="77777777" w:rsidR="003F4498" w:rsidRDefault="00A90788">
            <w:pPr>
              <w:keepNext/>
              <w:spacing w:before="75" w:after="30"/>
              <w:jc w:val="right"/>
            </w:pPr>
            <w:r>
              <w:rPr>
                <w:color w:val="000000"/>
                <w:sz w:val="20"/>
              </w:rPr>
              <w:t>41.2 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2A33892" w14:textId="77777777" w:rsidR="003F4498" w:rsidRDefault="003F4498">
            <w:pPr>
              <w:keepNext/>
              <w:spacing w:before="75" w:after="30"/>
              <w:jc w:val="right"/>
            </w:pPr>
          </w:p>
        </w:tc>
      </w:tr>
      <w:tr w:rsidR="003F4498" w14:paraId="578265C9"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4934AFEB" w14:textId="77777777" w:rsidR="003F4498" w:rsidRDefault="00A90788">
            <w:pPr>
              <w:keepNext/>
              <w:spacing w:before="75" w:after="30"/>
              <w:ind w:left="495"/>
            </w:pPr>
            <w:r>
              <w:rPr>
                <w:color w:val="000000"/>
                <w:sz w:val="20"/>
              </w:rPr>
              <w:t>Total current assets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054DA796" w14:textId="77777777" w:rsidR="003F4498" w:rsidRDefault="00A90788">
            <w:pPr>
              <w:keepNext/>
              <w:spacing w:before="55" w:after="30"/>
              <w:jc w:val="right"/>
            </w:pPr>
            <w:r>
              <w:rPr>
                <w:color w:val="000000"/>
                <w:sz w:val="20"/>
              </w:rPr>
              <w:t>2,740.4 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F22D779"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B0F65A" w14:textId="77777777" w:rsidR="003F4498" w:rsidRDefault="003F4498">
            <w:pPr>
              <w:keepNext/>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0DE7B9C8" w14:textId="77777777" w:rsidR="003F4498" w:rsidRDefault="00A90788">
            <w:pPr>
              <w:keepNext/>
              <w:spacing w:before="55" w:after="30"/>
              <w:jc w:val="right"/>
            </w:pPr>
            <w:r>
              <w:rPr>
                <w:color w:val="000000"/>
                <w:sz w:val="20"/>
              </w:rPr>
              <w:t>2,769.0 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DCEF464" w14:textId="77777777" w:rsidR="003F4498" w:rsidRDefault="003F4498">
            <w:pPr>
              <w:keepNext/>
              <w:spacing w:before="55" w:after="30"/>
              <w:jc w:val="right"/>
            </w:pPr>
          </w:p>
        </w:tc>
      </w:tr>
      <w:tr w:rsidR="003F4498" w14:paraId="032FBCDA"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4087B878" w14:textId="77777777" w:rsidR="003F4498" w:rsidRDefault="00A90788">
            <w:pPr>
              <w:keepNext/>
              <w:spacing w:before="75" w:after="30"/>
            </w:pPr>
            <w:r>
              <w:rPr>
                <w:color w:val="000000"/>
                <w:sz w:val="20"/>
              </w:rPr>
              <w:t>LONG-TERM INVESTMENTS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31BCB560" w14:textId="77777777" w:rsidR="003F4498" w:rsidRDefault="00A90788">
            <w:pPr>
              <w:keepNext/>
              <w:spacing w:before="75" w:after="30"/>
              <w:jc w:val="right"/>
            </w:pPr>
            <w:r>
              <w:rPr>
                <w:color w:val="000000"/>
                <w:sz w:val="20"/>
              </w:rPr>
              <w:t>118.3 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F86FF4A"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8FC846F" w14:textId="77777777" w:rsidR="003F4498" w:rsidRDefault="003F4498">
            <w:pPr>
              <w:keepNext/>
              <w:spacing w:before="75" w:after="30"/>
              <w:jc w:val="righ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3A718C43" w14:textId="77777777" w:rsidR="003F4498" w:rsidRDefault="00A90788">
            <w:pPr>
              <w:keepNext/>
              <w:spacing w:before="75" w:after="30"/>
              <w:jc w:val="right"/>
            </w:pPr>
            <w:r>
              <w:rPr>
                <w:color w:val="000000"/>
                <w:sz w:val="20"/>
              </w:rPr>
              <w:t>144.3 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11EBC6F" w14:textId="77777777" w:rsidR="003F4498" w:rsidRDefault="003F4498">
            <w:pPr>
              <w:keepNext/>
              <w:spacing w:before="75" w:after="30"/>
              <w:jc w:val="right"/>
            </w:pPr>
          </w:p>
        </w:tc>
      </w:tr>
      <w:tr w:rsidR="003F4498" w14:paraId="5743D5BE"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596CB875" w14:textId="77777777" w:rsidR="003F4498" w:rsidRDefault="00A90788">
            <w:pPr>
              <w:keepNext/>
              <w:spacing w:before="75" w:after="30"/>
            </w:pPr>
            <w:r>
              <w:rPr>
                <w:color w:val="000000"/>
                <w:sz w:val="20"/>
              </w:rPr>
              <w:t>PROPERTY AND EQUIPMENT—NET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3AED425D" w14:textId="77777777" w:rsidR="003F4498" w:rsidRDefault="00A90788">
            <w:pPr>
              <w:keepNext/>
              <w:spacing w:before="75" w:after="30"/>
              <w:jc w:val="right"/>
            </w:pPr>
            <w:r>
              <w:rPr>
                <w:color w:val="000000"/>
                <w:sz w:val="20"/>
              </w:rPr>
              <w:t>448.0 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17BCCE"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8B30E91" w14:textId="77777777" w:rsidR="003F4498" w:rsidRDefault="003F4498">
            <w:pPr>
              <w:keepNext/>
              <w:spacing w:before="75" w:after="30"/>
              <w:jc w:val="righ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2842A173" w14:textId="77777777" w:rsidR="003F4498" w:rsidRDefault="00A90788">
            <w:pPr>
              <w:keepNext/>
              <w:spacing w:before="75" w:after="30"/>
              <w:jc w:val="right"/>
            </w:pPr>
            <w:r>
              <w:rPr>
                <w:color w:val="000000"/>
                <w:sz w:val="20"/>
              </w:rPr>
              <w:t>344.3 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F388B47" w14:textId="77777777" w:rsidR="003F4498" w:rsidRDefault="003F4498">
            <w:pPr>
              <w:keepNext/>
              <w:spacing w:before="75" w:after="30"/>
              <w:jc w:val="right"/>
            </w:pPr>
          </w:p>
        </w:tc>
      </w:tr>
      <w:tr w:rsidR="003F4498" w14:paraId="13B2519B"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606BC7A4" w14:textId="77777777" w:rsidR="003F4498" w:rsidRDefault="00A90788">
            <w:pPr>
              <w:keepNext/>
              <w:spacing w:before="75" w:after="30"/>
            </w:pPr>
            <w:r>
              <w:rPr>
                <w:color w:val="000000"/>
                <w:sz w:val="20"/>
              </w:rPr>
              <w:t>DEFERRED CONTRACT COSTS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21D6D4D1" w14:textId="77777777" w:rsidR="003F4498" w:rsidRDefault="00A90788">
            <w:pPr>
              <w:keepNext/>
              <w:spacing w:before="75" w:after="30"/>
              <w:jc w:val="right"/>
            </w:pPr>
            <w:r>
              <w:rPr>
                <w:color w:val="000000"/>
                <w:sz w:val="20"/>
              </w:rPr>
              <w:t>304.8 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9AF2187"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EA61C72" w14:textId="77777777" w:rsidR="003F4498" w:rsidRDefault="003F4498">
            <w:pPr>
              <w:keepNext/>
              <w:spacing w:before="75" w:after="3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259E2A8A" w14:textId="77777777" w:rsidR="003F4498" w:rsidRDefault="00A90788">
            <w:pPr>
              <w:keepNext/>
              <w:spacing w:before="75" w:after="30"/>
              <w:jc w:val="right"/>
            </w:pPr>
            <w:r>
              <w:rPr>
                <w:color w:val="000000"/>
                <w:sz w:val="20"/>
              </w:rPr>
              <w:t>237.0 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FD2C3E7" w14:textId="77777777" w:rsidR="003F4498" w:rsidRDefault="003F4498">
            <w:pPr>
              <w:keepNext/>
              <w:spacing w:before="75" w:after="30"/>
              <w:jc w:val="right"/>
            </w:pPr>
          </w:p>
        </w:tc>
      </w:tr>
      <w:tr w:rsidR="003F4498" w14:paraId="15322C67"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3AF1753C" w14:textId="77777777" w:rsidR="003F4498" w:rsidRDefault="00A90788">
            <w:pPr>
              <w:keepNext/>
              <w:spacing w:before="75" w:after="30"/>
            </w:pPr>
            <w:r>
              <w:rPr>
                <w:color w:val="000000"/>
                <w:sz w:val="20"/>
              </w:rPr>
              <w:t xml:space="preserve">DEFERRED TAX ASSETS </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5C2B550A" w14:textId="77777777" w:rsidR="003F4498" w:rsidRDefault="00A90788">
            <w:pPr>
              <w:keepNext/>
              <w:spacing w:before="75" w:after="30"/>
              <w:jc w:val="right"/>
            </w:pPr>
            <w:r>
              <w:rPr>
                <w:color w:val="000000"/>
                <w:sz w:val="20"/>
              </w:rPr>
              <w:t>245.2 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56A3D19"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7B6A11A" w14:textId="77777777" w:rsidR="003F4498" w:rsidRDefault="003F4498">
            <w:pPr>
              <w:keepNext/>
              <w:spacing w:before="75" w:after="3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144F450E" w14:textId="77777777" w:rsidR="003F4498" w:rsidRDefault="00A90788">
            <w:pPr>
              <w:keepNext/>
              <w:spacing w:before="75" w:after="30"/>
              <w:jc w:val="right"/>
            </w:pPr>
            <w:r>
              <w:rPr>
                <w:color w:val="000000"/>
                <w:sz w:val="20"/>
              </w:rPr>
              <w:t>226.3 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018DF10" w14:textId="77777777" w:rsidR="003F4498" w:rsidRDefault="003F4498">
            <w:pPr>
              <w:keepNext/>
              <w:spacing w:before="75" w:after="30"/>
              <w:jc w:val="right"/>
            </w:pPr>
          </w:p>
        </w:tc>
      </w:tr>
      <w:tr w:rsidR="003F4498" w14:paraId="737E63B9"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40DE18C0" w14:textId="77777777" w:rsidR="003F4498" w:rsidRDefault="00A90788">
            <w:pPr>
              <w:keepNext/>
              <w:spacing w:before="75" w:after="30"/>
            </w:pPr>
            <w:r>
              <w:rPr>
                <w:color w:val="000000"/>
                <w:sz w:val="20"/>
              </w:rPr>
              <w:t>GOODWILL AND OTHER INTANGIBLE ASSETS—NET</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23685378" w14:textId="77777777" w:rsidR="003F4498" w:rsidRDefault="00A90788">
            <w:pPr>
              <w:keepNext/>
              <w:spacing w:before="75" w:after="30"/>
              <w:jc w:val="right"/>
            </w:pPr>
            <w:r>
              <w:rPr>
                <w:color w:val="000000"/>
                <w:sz w:val="20"/>
              </w:rPr>
              <w:t>124.6 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456F4A3"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6F40D72" w14:textId="77777777" w:rsidR="003F4498" w:rsidRDefault="003F4498">
            <w:pPr>
              <w:keepNext/>
              <w:spacing w:before="75" w:after="3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1BB4AE8D" w14:textId="77777777" w:rsidR="003F4498" w:rsidRDefault="00A90788">
            <w:pPr>
              <w:keepNext/>
              <w:spacing w:before="75" w:after="30"/>
              <w:jc w:val="right"/>
            </w:pPr>
            <w:r>
              <w:rPr>
                <w:color w:val="000000"/>
                <w:sz w:val="20"/>
              </w:rPr>
              <w:t>98.3 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D990C6B" w14:textId="77777777" w:rsidR="003F4498" w:rsidRDefault="003F4498">
            <w:pPr>
              <w:keepNext/>
              <w:spacing w:before="75" w:after="30"/>
              <w:jc w:val="right"/>
            </w:pPr>
          </w:p>
        </w:tc>
      </w:tr>
      <w:tr w:rsidR="003F4498" w14:paraId="65602F68"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52C49DFA" w14:textId="77777777" w:rsidR="003F4498" w:rsidRDefault="00A90788">
            <w:pPr>
              <w:keepNext/>
              <w:spacing w:before="75" w:after="30"/>
            </w:pPr>
            <w:r>
              <w:rPr>
                <w:color w:val="000000"/>
                <w:sz w:val="20"/>
              </w:rPr>
              <w:t>OTHER ASSETS</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BED5DB4" w14:textId="77777777" w:rsidR="003F4498" w:rsidRDefault="00A90788">
            <w:pPr>
              <w:keepNext/>
              <w:spacing w:before="75" w:after="30"/>
              <w:jc w:val="right"/>
            </w:pPr>
            <w:r>
              <w:rPr>
                <w:color w:val="000000"/>
                <w:sz w:val="20"/>
              </w:rPr>
              <w:t>63.2 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C30B315"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3530DAA" w14:textId="77777777" w:rsidR="003F4498" w:rsidRDefault="003F4498">
            <w:pPr>
              <w:keepNext/>
              <w:spacing w:before="75" w:after="30"/>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43FEEDA" w14:textId="77777777" w:rsidR="003F4498" w:rsidRDefault="00A90788">
            <w:pPr>
              <w:keepNext/>
              <w:spacing w:before="75" w:after="30"/>
              <w:jc w:val="right"/>
            </w:pPr>
            <w:r>
              <w:rPr>
                <w:color w:val="000000"/>
                <w:sz w:val="20"/>
              </w:rPr>
              <w:t>60.0 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3BAEE98" w14:textId="77777777" w:rsidR="003F4498" w:rsidRDefault="003F4498">
            <w:pPr>
              <w:keepNext/>
              <w:spacing w:before="75" w:after="30"/>
              <w:jc w:val="right"/>
            </w:pPr>
          </w:p>
        </w:tc>
      </w:tr>
      <w:tr w:rsidR="003F4498" w14:paraId="61AA1582" w14:textId="77777777">
        <w:trPr>
          <w:cantSplit/>
          <w:trHeight w:hRule="exact" w:val="36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3607A217" w14:textId="77777777" w:rsidR="003F4498" w:rsidRDefault="00A90788">
            <w:pPr>
              <w:keepNext/>
              <w:spacing w:before="75" w:after="30"/>
            </w:pPr>
            <w:r>
              <w:rPr>
                <w:color w:val="000000"/>
                <w:sz w:val="20"/>
              </w:rPr>
              <w:t>TOTAL ASSETS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DE2291D" w14:textId="77777777" w:rsidR="003F4498" w:rsidRDefault="00A90788">
            <w:pPr>
              <w:keepNext/>
              <w:spacing w:before="55" w:after="30"/>
            </w:pPr>
            <w:r>
              <w:rPr>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85038CB" w14:textId="77777777" w:rsidR="003F4498" w:rsidRDefault="00A90788">
            <w:pPr>
              <w:keepNext/>
              <w:spacing w:before="55" w:after="30"/>
              <w:jc w:val="right"/>
            </w:pPr>
            <w:r>
              <w:rPr>
                <w:color w:val="000000"/>
                <w:sz w:val="20"/>
              </w:rPr>
              <w:t>4,044.5 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89F95DE"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45427C"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5146AE8" w14:textId="77777777" w:rsidR="003F4498" w:rsidRDefault="00A90788">
            <w:pPr>
              <w:keepNext/>
              <w:spacing w:before="55" w:after="30"/>
            </w:pPr>
            <w:r>
              <w:rPr>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B563AA6" w14:textId="77777777" w:rsidR="003F4498" w:rsidRDefault="00A90788">
            <w:pPr>
              <w:keepNext/>
              <w:spacing w:before="55" w:after="30"/>
              <w:jc w:val="right"/>
            </w:pPr>
            <w:r>
              <w:rPr>
                <w:color w:val="000000"/>
                <w:sz w:val="20"/>
              </w:rPr>
              <w:t>3,879.2 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614A928" w14:textId="77777777" w:rsidR="003F4498" w:rsidRDefault="003F4498">
            <w:pPr>
              <w:keepNext/>
              <w:spacing w:before="55" w:after="30"/>
              <w:jc w:val="right"/>
            </w:pPr>
          </w:p>
        </w:tc>
      </w:tr>
      <w:tr w:rsidR="003F4498" w14:paraId="2E177FCE" w14:textId="77777777">
        <w:trPr>
          <w:cantSplit/>
          <w:trHeight w:hRule="exact" w:val="40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5507FBFC" w14:textId="77777777" w:rsidR="003F4498" w:rsidRDefault="00A90788">
            <w:pPr>
              <w:keepNext/>
              <w:spacing w:before="75" w:after="30"/>
              <w:rPr>
                <w:b/>
                <w:sz w:val="20"/>
              </w:rPr>
            </w:pPr>
            <w:r>
              <w:rPr>
                <w:b/>
                <w:sz w:val="20"/>
              </w:rPr>
              <w:t>LIABILITIES AND STOCKHOLDERS</w:t>
            </w:r>
            <w:r>
              <w:rPr>
                <w:sz w:val="22"/>
              </w:rPr>
              <w:t>’</w:t>
            </w:r>
            <w:r>
              <w:rPr>
                <w:b/>
                <w:sz w:val="20"/>
              </w:rPr>
              <w:t xml:space="preserve"> EQUITY</w:t>
            </w: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2E5AD1A2"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D28FA95" w14:textId="77777777" w:rsidR="003F4498" w:rsidRDefault="003F4498">
            <w:pPr>
              <w:keepNext/>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82211F3" w14:textId="77777777" w:rsidR="003F4498" w:rsidRDefault="003F4498">
            <w:pPr>
              <w:keepNext/>
            </w:pPr>
          </w:p>
        </w:tc>
      </w:tr>
      <w:tr w:rsidR="003F4498" w14:paraId="2ED0EF71"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568EC439" w14:textId="77777777" w:rsidR="003F4498" w:rsidRDefault="00A90788">
            <w:pPr>
              <w:keepNext/>
              <w:spacing w:before="75" w:after="30"/>
            </w:pPr>
            <w:r>
              <w:rPr>
                <w:color w:val="000000"/>
                <w:sz w:val="20"/>
              </w:rPr>
              <w:t>CURRENT LIABILITIES:</w:t>
            </w: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3E0A9600"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2948EE" w14:textId="77777777" w:rsidR="003F4498" w:rsidRDefault="003F4498">
            <w:pPr>
              <w:keepNext/>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45DF9E83" w14:textId="77777777" w:rsidR="003F4498" w:rsidRDefault="003F4498">
            <w:pPr>
              <w:keepNext/>
            </w:pPr>
          </w:p>
        </w:tc>
      </w:tr>
      <w:tr w:rsidR="003F4498" w14:paraId="050A647F"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207E9273" w14:textId="77777777" w:rsidR="003F4498" w:rsidRDefault="00A90788">
            <w:pPr>
              <w:keepNext/>
              <w:spacing w:before="75" w:after="30"/>
              <w:ind w:left="225"/>
            </w:pPr>
            <w:r>
              <w:rPr>
                <w:color w:val="000000"/>
                <w:sz w:val="20"/>
              </w:rPr>
              <w:t>Accounts payable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2C51BCC" w14:textId="77777777" w:rsidR="003F4498" w:rsidRDefault="00A90788">
            <w:pPr>
              <w:keepNext/>
              <w:spacing w:before="75" w:after="30"/>
            </w:pPr>
            <w:r>
              <w:rPr>
                <w:color w:val="000000"/>
                <w:sz w:val="20"/>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14:paraId="4EC828AA" w14:textId="77777777" w:rsidR="003F4498" w:rsidRDefault="00A90788">
            <w:pPr>
              <w:keepNext/>
              <w:spacing w:before="75" w:after="30"/>
              <w:jc w:val="right"/>
            </w:pPr>
            <w:r>
              <w:rPr>
                <w:color w:val="000000"/>
                <w:sz w:val="20"/>
              </w:rPr>
              <w:t>141.6 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FCCED81"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3C04F59" w14:textId="77777777" w:rsidR="003F4498" w:rsidRDefault="003F4498">
            <w:pPr>
              <w:keepNext/>
              <w:spacing w:before="75"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3B0C8F3" w14:textId="77777777" w:rsidR="003F4498" w:rsidRDefault="00A90788">
            <w:pPr>
              <w:keepNext/>
              <w:spacing w:before="75" w:after="30"/>
            </w:pPr>
            <w:r>
              <w:rPr>
                <w:color w:val="000000"/>
                <w:sz w:val="20"/>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14:paraId="5019CDEB" w14:textId="77777777" w:rsidR="003F4498" w:rsidRDefault="00A90788">
            <w:pPr>
              <w:keepNext/>
              <w:spacing w:before="75" w:after="30"/>
              <w:jc w:val="right"/>
            </w:pPr>
            <w:r>
              <w:rPr>
                <w:color w:val="000000"/>
                <w:sz w:val="20"/>
              </w:rPr>
              <w:t>96.4 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8FDA0B1" w14:textId="77777777" w:rsidR="003F4498" w:rsidRDefault="003F4498">
            <w:pPr>
              <w:keepNext/>
              <w:spacing w:before="75" w:after="30"/>
              <w:jc w:val="right"/>
            </w:pPr>
          </w:p>
        </w:tc>
      </w:tr>
      <w:tr w:rsidR="003F4498" w14:paraId="25BF8BBC"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7ABE0678" w14:textId="77777777" w:rsidR="003F4498" w:rsidRDefault="00A90788">
            <w:pPr>
              <w:keepNext/>
              <w:spacing w:before="75" w:after="30"/>
              <w:ind w:left="225"/>
            </w:pPr>
            <w:r>
              <w:rPr>
                <w:color w:val="000000"/>
                <w:sz w:val="20"/>
              </w:rPr>
              <w:t>Accrued liabilities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670B1B7C" w14:textId="77777777" w:rsidR="003F4498" w:rsidRDefault="00A90788">
            <w:pPr>
              <w:keepNext/>
              <w:spacing w:before="75" w:after="30"/>
              <w:jc w:val="right"/>
            </w:pPr>
            <w:r>
              <w:rPr>
                <w:color w:val="000000"/>
                <w:sz w:val="20"/>
              </w:rPr>
              <w:t>149.2 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02A417C"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01EF8ED" w14:textId="77777777" w:rsidR="003F4498" w:rsidRDefault="003F4498">
            <w:pPr>
              <w:keepNext/>
              <w:spacing w:before="75" w:after="30"/>
              <w:jc w:val="righ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1F4095DC" w14:textId="77777777" w:rsidR="003F4498" w:rsidRDefault="00A90788">
            <w:pPr>
              <w:keepNext/>
              <w:spacing w:before="75" w:after="30"/>
              <w:jc w:val="right"/>
            </w:pPr>
            <w:r>
              <w:rPr>
                <w:color w:val="000000"/>
                <w:sz w:val="20"/>
              </w:rPr>
              <w:t>101.8 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BC1D2C5" w14:textId="77777777" w:rsidR="003F4498" w:rsidRDefault="003F4498">
            <w:pPr>
              <w:keepNext/>
              <w:spacing w:before="75" w:after="30"/>
              <w:jc w:val="right"/>
            </w:pPr>
          </w:p>
        </w:tc>
      </w:tr>
      <w:tr w:rsidR="003F4498" w14:paraId="57B66D21"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40607FAB" w14:textId="77777777" w:rsidR="003F4498" w:rsidRDefault="00A90788">
            <w:pPr>
              <w:keepNext/>
              <w:spacing w:before="75" w:after="30"/>
              <w:ind w:left="225"/>
            </w:pPr>
            <w:r>
              <w:rPr>
                <w:color w:val="000000"/>
                <w:sz w:val="20"/>
              </w:rPr>
              <w:t>Accrued payroll and compensation</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510E8AD4" w14:textId="77777777" w:rsidR="003F4498" w:rsidRDefault="00A90788">
            <w:pPr>
              <w:keepNext/>
              <w:spacing w:before="75" w:after="30"/>
              <w:jc w:val="right"/>
            </w:pPr>
            <w:r>
              <w:rPr>
                <w:color w:val="000000"/>
                <w:sz w:val="20"/>
              </w:rPr>
              <w:t>145.9 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5F0BA56"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F294E7B" w14:textId="77777777" w:rsidR="003F4498" w:rsidRDefault="003F4498">
            <w:pPr>
              <w:keepNext/>
              <w:spacing w:before="75" w:after="30"/>
              <w:jc w:val="righ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1EB4AB56" w14:textId="77777777" w:rsidR="003F4498" w:rsidRDefault="00A90788">
            <w:pPr>
              <w:keepNext/>
              <w:spacing w:before="75" w:after="30"/>
              <w:jc w:val="right"/>
            </w:pPr>
            <w:r>
              <w:rPr>
                <w:color w:val="000000"/>
                <w:sz w:val="20"/>
              </w:rPr>
              <w:t>101.8 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1DD664" w14:textId="77777777" w:rsidR="003F4498" w:rsidRDefault="003F4498">
            <w:pPr>
              <w:keepNext/>
              <w:spacing w:before="75" w:after="30"/>
              <w:jc w:val="right"/>
            </w:pPr>
          </w:p>
        </w:tc>
      </w:tr>
      <w:tr w:rsidR="003F4498" w14:paraId="1C88FD47"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0C856AAD" w14:textId="77777777" w:rsidR="003F4498" w:rsidRDefault="00A90788">
            <w:pPr>
              <w:keepNext/>
              <w:spacing w:before="75" w:after="30"/>
              <w:ind w:left="225"/>
            </w:pPr>
            <w:r>
              <w:rPr>
                <w:color w:val="000000"/>
                <w:sz w:val="20"/>
              </w:rPr>
              <w:t>Deferred revenue</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55A2099" w14:textId="77777777" w:rsidR="003F4498" w:rsidRDefault="00A90788">
            <w:pPr>
              <w:keepNext/>
              <w:spacing w:before="75" w:after="30"/>
              <w:jc w:val="right"/>
            </w:pPr>
            <w:r>
              <w:rPr>
                <w:color w:val="000000"/>
                <w:sz w:val="20"/>
              </w:rPr>
              <w:t>1,392.8 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DA17ECD"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78A43A1" w14:textId="77777777" w:rsidR="003F4498" w:rsidRDefault="003F4498">
            <w:pPr>
              <w:keepNext/>
              <w:spacing w:before="75" w:after="30"/>
              <w:jc w:val="righ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E516A6D" w14:textId="77777777" w:rsidR="003F4498" w:rsidRDefault="00A90788">
            <w:pPr>
              <w:keepNext/>
              <w:spacing w:before="75" w:after="30"/>
              <w:jc w:val="right"/>
            </w:pPr>
            <w:r>
              <w:rPr>
                <w:color w:val="000000"/>
                <w:sz w:val="20"/>
              </w:rPr>
              <w:t>1,155.8 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46CC9DD" w14:textId="77777777" w:rsidR="003F4498" w:rsidRDefault="003F4498">
            <w:pPr>
              <w:keepNext/>
              <w:spacing w:before="75" w:after="30"/>
              <w:jc w:val="right"/>
            </w:pPr>
          </w:p>
        </w:tc>
      </w:tr>
      <w:tr w:rsidR="003F4498" w14:paraId="3D692AE1"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4E69460A" w14:textId="77777777" w:rsidR="003F4498" w:rsidRDefault="00A90788">
            <w:pPr>
              <w:keepNext/>
              <w:spacing w:before="75" w:after="30"/>
              <w:ind w:left="495"/>
            </w:pPr>
            <w:r>
              <w:rPr>
                <w:color w:val="000000"/>
                <w:sz w:val="20"/>
              </w:rPr>
              <w:t>Total current liabilities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37B0BEC8" w14:textId="77777777" w:rsidR="003F4498" w:rsidRDefault="00A90788">
            <w:pPr>
              <w:keepNext/>
              <w:spacing w:before="55" w:after="30"/>
              <w:jc w:val="right"/>
            </w:pPr>
            <w:r>
              <w:rPr>
                <w:color w:val="000000"/>
                <w:sz w:val="20"/>
              </w:rPr>
              <w:t>1,829.5 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293CDA2"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44848F" w14:textId="77777777" w:rsidR="003F4498" w:rsidRDefault="003F4498">
            <w:pPr>
              <w:keepNext/>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1E9E5172" w14:textId="77777777" w:rsidR="003F4498" w:rsidRDefault="00A90788">
            <w:pPr>
              <w:keepNext/>
              <w:spacing w:before="55" w:after="30"/>
              <w:jc w:val="right"/>
            </w:pPr>
            <w:r>
              <w:rPr>
                <w:color w:val="000000"/>
                <w:sz w:val="20"/>
              </w:rPr>
              <w:t>1,455.8 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AA740AE" w14:textId="77777777" w:rsidR="003F4498" w:rsidRDefault="003F4498">
            <w:pPr>
              <w:keepNext/>
              <w:spacing w:before="55" w:after="30"/>
              <w:jc w:val="right"/>
            </w:pPr>
          </w:p>
        </w:tc>
      </w:tr>
      <w:tr w:rsidR="003F4498" w14:paraId="73314BB3"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069EC126" w14:textId="77777777" w:rsidR="003F4498" w:rsidRDefault="00A90788">
            <w:pPr>
              <w:keepNext/>
              <w:spacing w:before="75" w:after="30"/>
            </w:pPr>
            <w:r>
              <w:rPr>
                <w:color w:val="000000"/>
                <w:sz w:val="20"/>
              </w:rPr>
              <w:t>DEFERRED REVENUE</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13648641" w14:textId="77777777" w:rsidR="003F4498" w:rsidRDefault="00A90788">
            <w:pPr>
              <w:keepNext/>
              <w:spacing w:before="75" w:after="30"/>
              <w:jc w:val="right"/>
            </w:pPr>
            <w:r>
              <w:rPr>
                <w:color w:val="000000"/>
                <w:sz w:val="20"/>
              </w:rPr>
              <w:t>1,212.5 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27F2EFA"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439EB9C" w14:textId="77777777" w:rsidR="003F4498" w:rsidRDefault="003F4498">
            <w:pPr>
              <w:keepNext/>
              <w:spacing w:before="75" w:after="30"/>
              <w:jc w:val="righ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2D10A1C1" w14:textId="77777777" w:rsidR="003F4498" w:rsidRDefault="00A90788">
            <w:pPr>
              <w:keepNext/>
              <w:spacing w:before="75" w:after="30"/>
              <w:jc w:val="right"/>
            </w:pPr>
            <w:r>
              <w:rPr>
                <w:color w:val="000000"/>
                <w:sz w:val="20"/>
              </w:rPr>
              <w:t>953.3 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21A3A08" w14:textId="77777777" w:rsidR="003F4498" w:rsidRDefault="003F4498">
            <w:pPr>
              <w:keepNext/>
              <w:spacing w:before="75" w:after="30"/>
              <w:jc w:val="right"/>
            </w:pPr>
          </w:p>
        </w:tc>
      </w:tr>
      <w:tr w:rsidR="003F4498" w14:paraId="1C2CF100"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4532098A" w14:textId="77777777" w:rsidR="003F4498" w:rsidRDefault="00A90788">
            <w:pPr>
              <w:keepNext/>
              <w:spacing w:before="75" w:after="30"/>
            </w:pPr>
            <w:r>
              <w:rPr>
                <w:color w:val="000000"/>
                <w:sz w:val="20"/>
              </w:rPr>
              <w:t>INCOME TAX LIABILITIES</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2BA4C22F" w14:textId="77777777" w:rsidR="003F4498" w:rsidRDefault="00A90788">
            <w:pPr>
              <w:keepNext/>
              <w:spacing w:before="75" w:after="30"/>
              <w:jc w:val="right"/>
            </w:pPr>
            <w:r>
              <w:rPr>
                <w:color w:val="000000"/>
                <w:sz w:val="20"/>
              </w:rPr>
              <w:t>90.3 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ABA50C0"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8B8C120" w14:textId="77777777" w:rsidR="003F4498" w:rsidRDefault="003F4498">
            <w:pPr>
              <w:keepNext/>
              <w:spacing w:before="75" w:after="3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32D5A744" w14:textId="77777777" w:rsidR="003F4498" w:rsidRDefault="00A90788">
            <w:pPr>
              <w:keepNext/>
              <w:spacing w:before="75" w:after="30"/>
              <w:jc w:val="right"/>
            </w:pPr>
            <w:r>
              <w:rPr>
                <w:color w:val="000000"/>
                <w:sz w:val="20"/>
              </w:rPr>
              <w:t>82.8 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97EAFD9" w14:textId="77777777" w:rsidR="003F4498" w:rsidRDefault="003F4498">
            <w:pPr>
              <w:keepNext/>
              <w:spacing w:before="75" w:after="30"/>
              <w:jc w:val="right"/>
            </w:pPr>
          </w:p>
        </w:tc>
      </w:tr>
      <w:tr w:rsidR="003F4498" w14:paraId="3B2B2E75"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03264653" w14:textId="77777777" w:rsidR="003F4498" w:rsidRDefault="00A90788">
            <w:pPr>
              <w:keepNext/>
              <w:spacing w:before="75" w:after="30"/>
            </w:pPr>
            <w:r>
              <w:rPr>
                <w:color w:val="000000"/>
                <w:sz w:val="20"/>
              </w:rPr>
              <w:t>OTHER LIABILITIES</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E648FE7" w14:textId="77777777" w:rsidR="003F4498" w:rsidRDefault="00A90788">
            <w:pPr>
              <w:keepNext/>
              <w:spacing w:before="75" w:after="30"/>
              <w:jc w:val="right"/>
            </w:pPr>
            <w:r>
              <w:rPr>
                <w:color w:val="000000"/>
                <w:sz w:val="20"/>
              </w:rPr>
              <w:t>56.2 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2F18224"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61A54CE" w14:textId="77777777" w:rsidR="003F4498" w:rsidRDefault="003F4498">
            <w:pPr>
              <w:keepNext/>
              <w:spacing w:before="75" w:after="30"/>
              <w:jc w:val="righ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B341F60" w14:textId="77777777" w:rsidR="003F4498" w:rsidRDefault="00A90788">
            <w:pPr>
              <w:keepNext/>
              <w:spacing w:before="75" w:after="30"/>
              <w:jc w:val="right"/>
            </w:pPr>
            <w:r>
              <w:rPr>
                <w:color w:val="000000"/>
                <w:sz w:val="20"/>
              </w:rPr>
              <w:t>44.9 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9A49D15" w14:textId="77777777" w:rsidR="003F4498" w:rsidRDefault="003F4498">
            <w:pPr>
              <w:keepNext/>
              <w:spacing w:before="75" w:after="30"/>
              <w:jc w:val="right"/>
            </w:pPr>
          </w:p>
        </w:tc>
      </w:tr>
      <w:tr w:rsidR="003F4498" w14:paraId="02D3CDA4"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02A213DA" w14:textId="77777777" w:rsidR="003F4498" w:rsidRDefault="00A90788">
            <w:pPr>
              <w:keepNext/>
              <w:spacing w:before="75" w:after="30"/>
              <w:ind w:left="495"/>
            </w:pPr>
            <w:r>
              <w:rPr>
                <w:color w:val="000000"/>
                <w:sz w:val="20"/>
              </w:rPr>
              <w:t>Total liabilities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1EE04167" w14:textId="77777777" w:rsidR="003F4498" w:rsidRDefault="00A90788">
            <w:pPr>
              <w:keepNext/>
              <w:spacing w:before="55" w:after="30"/>
              <w:jc w:val="right"/>
            </w:pPr>
            <w:r>
              <w:rPr>
                <w:color w:val="000000"/>
                <w:sz w:val="20"/>
              </w:rPr>
              <w:t>3,188.5 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C39D088"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01C027" w14:textId="77777777" w:rsidR="003F4498" w:rsidRDefault="003F4498">
            <w:pPr>
              <w:keepNext/>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6B3594B2" w14:textId="77777777" w:rsidR="003F4498" w:rsidRDefault="00A90788">
            <w:pPr>
              <w:keepNext/>
              <w:spacing w:before="55" w:after="30"/>
              <w:jc w:val="right"/>
            </w:pPr>
            <w:r>
              <w:rPr>
                <w:color w:val="000000"/>
                <w:sz w:val="20"/>
              </w:rPr>
              <w:t>2,536.8 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1966CAD" w14:textId="77777777" w:rsidR="003F4498" w:rsidRDefault="003F4498">
            <w:pPr>
              <w:keepNext/>
              <w:spacing w:before="55" w:after="30"/>
              <w:jc w:val="right"/>
            </w:pPr>
          </w:p>
        </w:tc>
      </w:tr>
      <w:tr w:rsidR="003F4498" w14:paraId="723BC2D5" w14:textId="77777777">
        <w:trPr>
          <w:cantSplit/>
          <w:trHeight w:hRule="exact" w:val="31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1284C72D" w14:textId="77777777" w:rsidR="003F4498" w:rsidRDefault="00A90788">
            <w:pPr>
              <w:keepNext/>
              <w:spacing w:before="75" w:after="30"/>
            </w:pPr>
            <w:r>
              <w:rPr>
                <w:color w:val="000000"/>
                <w:sz w:val="20"/>
              </w:rPr>
              <w:t>COMMITMENTS AND CONTINGENCIES</w:t>
            </w: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0AD9C9F9"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261E9F" w14:textId="77777777" w:rsidR="003F4498" w:rsidRDefault="003F4498">
            <w:pPr>
              <w:keepNext/>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3171B50F" w14:textId="77777777" w:rsidR="003F4498" w:rsidRDefault="003F4498">
            <w:pPr>
              <w:keepNext/>
            </w:pPr>
          </w:p>
        </w:tc>
      </w:tr>
      <w:tr w:rsidR="003F4498" w14:paraId="27EA4FE4" w14:textId="77777777">
        <w:trPr>
          <w:cantSplit/>
          <w:trHeight w:hRule="exact" w:val="31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79AE6308" w14:textId="77777777" w:rsidR="003F4498" w:rsidRDefault="00A90788">
            <w:pPr>
              <w:keepNext/>
              <w:spacing w:before="75" w:after="30"/>
              <w:rPr>
                <w:sz w:val="20"/>
              </w:rPr>
            </w:pPr>
            <w:r>
              <w:rPr>
                <w:sz w:val="20"/>
              </w:rPr>
              <w:t>STOCKHOLDERS</w:t>
            </w:r>
            <w:r>
              <w:rPr>
                <w:sz w:val="22"/>
              </w:rPr>
              <w:t>’</w:t>
            </w:r>
            <w:r>
              <w:rPr>
                <w:sz w:val="20"/>
              </w:rPr>
              <w:t xml:space="preserve"> EQUITY:</w:t>
            </w: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14:paraId="321A1B46"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951F87" w14:textId="77777777" w:rsidR="003F4498" w:rsidRDefault="003F4498">
            <w:pPr>
              <w:keepNext/>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14:paraId="29E74261" w14:textId="77777777" w:rsidR="003F4498" w:rsidRDefault="003F4498">
            <w:pPr>
              <w:keepNext/>
            </w:pPr>
          </w:p>
        </w:tc>
      </w:tr>
      <w:tr w:rsidR="003F4498" w14:paraId="161C274C"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6307B0B2" w14:textId="77777777" w:rsidR="003F4498" w:rsidRDefault="00A90788">
            <w:pPr>
              <w:keepNext/>
              <w:spacing w:before="75" w:after="30"/>
              <w:ind w:left="225"/>
            </w:pPr>
            <w:r>
              <w:rPr>
                <w:color w:val="000000"/>
                <w:sz w:val="20"/>
              </w:rPr>
              <w:t>Common stock</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391298D2" w14:textId="77777777" w:rsidR="003F4498" w:rsidRDefault="00A90788">
            <w:pPr>
              <w:keepNext/>
              <w:spacing w:before="75" w:after="30"/>
              <w:jc w:val="right"/>
            </w:pPr>
            <w:r>
              <w:rPr>
                <w:color w:val="000000"/>
                <w:sz w:val="20"/>
              </w:rPr>
              <w:t>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97D894E"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0094716" w14:textId="77777777" w:rsidR="003F4498" w:rsidRDefault="003F4498">
            <w:pPr>
              <w:keepNext/>
              <w:spacing w:before="75" w:after="3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7EF8D0FC" w14:textId="77777777" w:rsidR="003F4498" w:rsidRDefault="00A90788">
            <w:pPr>
              <w:keepNext/>
              <w:spacing w:before="75" w:after="30"/>
              <w:jc w:val="right"/>
            </w:pPr>
            <w:r>
              <w:rPr>
                <w:color w:val="000000"/>
                <w:sz w:val="20"/>
              </w:rPr>
              <w:t>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A764404" w14:textId="77777777" w:rsidR="003F4498" w:rsidRDefault="003F4498">
            <w:pPr>
              <w:keepNext/>
              <w:spacing w:before="75" w:after="30"/>
              <w:jc w:val="right"/>
            </w:pPr>
          </w:p>
        </w:tc>
      </w:tr>
      <w:tr w:rsidR="003F4498" w14:paraId="02DF8B90"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511C39EB" w14:textId="77777777" w:rsidR="003F4498" w:rsidRDefault="00A90788">
            <w:pPr>
              <w:keepNext/>
              <w:spacing w:before="75" w:after="30"/>
              <w:ind w:left="225"/>
            </w:pPr>
            <w:r>
              <w:rPr>
                <w:color w:val="000000"/>
                <w:sz w:val="20"/>
              </w:rPr>
              <w:t>Additional paid-in capital</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42E6C5C3" w14:textId="77777777" w:rsidR="003F4498" w:rsidRDefault="00A90788">
            <w:pPr>
              <w:keepNext/>
              <w:spacing w:before="75" w:after="30"/>
              <w:jc w:val="right"/>
            </w:pPr>
            <w:r>
              <w:rPr>
                <w:color w:val="000000"/>
                <w:sz w:val="20"/>
              </w:rPr>
              <w:t>1,207.2 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A3D9811"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7FF8FEE" w14:textId="77777777" w:rsidR="003F4498" w:rsidRDefault="003F4498">
            <w:pPr>
              <w:keepNext/>
              <w:spacing w:before="75" w:after="30"/>
              <w:jc w:val="righ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42416970" w14:textId="77777777" w:rsidR="003F4498" w:rsidRDefault="00A90788">
            <w:pPr>
              <w:keepNext/>
              <w:spacing w:before="75" w:after="30"/>
              <w:jc w:val="right"/>
            </w:pPr>
            <w:r>
              <w:rPr>
                <w:color w:val="000000"/>
                <w:sz w:val="20"/>
              </w:rPr>
              <w:t>1,180.3 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276CE91" w14:textId="77777777" w:rsidR="003F4498" w:rsidRDefault="003F4498">
            <w:pPr>
              <w:keepNext/>
              <w:spacing w:before="75" w:after="30"/>
              <w:jc w:val="right"/>
            </w:pPr>
          </w:p>
        </w:tc>
      </w:tr>
      <w:tr w:rsidR="003F4498" w14:paraId="2F05CFAE"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54F9C297" w14:textId="77777777" w:rsidR="003F4498" w:rsidRDefault="00A90788">
            <w:pPr>
              <w:keepNext/>
              <w:spacing w:before="75" w:after="30"/>
              <w:ind w:left="225"/>
            </w:pPr>
            <w:r>
              <w:rPr>
                <w:color w:val="000000"/>
                <w:sz w:val="20"/>
              </w:rPr>
              <w:t>Accumulated other comprehensive income</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0CAB0C4D" w14:textId="77777777" w:rsidR="003F4498" w:rsidRDefault="00A90788">
            <w:pPr>
              <w:keepNext/>
              <w:spacing w:before="75" w:after="30"/>
              <w:jc w:val="right"/>
            </w:pPr>
            <w:r>
              <w:rPr>
                <w:color w:val="000000"/>
                <w:sz w:val="20"/>
              </w:rPr>
              <w:t>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903B09B"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D9ADA7D" w14:textId="77777777" w:rsidR="003F4498" w:rsidRDefault="003F4498">
            <w:pPr>
              <w:keepNext/>
              <w:spacing w:before="75" w:after="3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78BCBF61" w14:textId="77777777" w:rsidR="003F4498" w:rsidRDefault="00A90788">
            <w:pPr>
              <w:keepNext/>
              <w:spacing w:before="75" w:after="30"/>
              <w:jc w:val="right"/>
            </w:pPr>
            <w:r>
              <w:rPr>
                <w:color w:val="000000"/>
                <w:sz w:val="20"/>
              </w:rPr>
              <w:t>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C06E17F" w14:textId="77777777" w:rsidR="003F4498" w:rsidRDefault="003F4498">
            <w:pPr>
              <w:keepNext/>
              <w:spacing w:before="75" w:after="30"/>
              <w:jc w:val="right"/>
            </w:pPr>
          </w:p>
        </w:tc>
      </w:tr>
      <w:tr w:rsidR="003F4498" w14:paraId="095A0DF6"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0CFD1A82" w14:textId="77777777" w:rsidR="003F4498" w:rsidRDefault="00A90788">
            <w:pPr>
              <w:keepNext/>
              <w:spacing w:before="75" w:after="30"/>
              <w:ind w:left="225"/>
            </w:pPr>
            <w:r>
              <w:rPr>
                <w:color w:val="000000"/>
                <w:sz w:val="20"/>
              </w:rPr>
              <w:t>Retained earnings (accumulated deficit)</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4EEADF6" w14:textId="77777777" w:rsidR="003F4498" w:rsidRDefault="00A90788">
            <w:pPr>
              <w:keepNext/>
              <w:spacing w:before="75" w:after="30"/>
              <w:jc w:val="right"/>
            </w:pPr>
            <w:r>
              <w:rPr>
                <w:color w:val="000000"/>
                <w:sz w:val="20"/>
              </w:rPr>
              <w:t>(352.1)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394B42C"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AD0D4D9" w14:textId="77777777" w:rsidR="003F4498" w:rsidRDefault="003F4498">
            <w:pPr>
              <w:keepNext/>
              <w:spacing w:before="75" w:after="30"/>
              <w:jc w:val="right"/>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8827301" w14:textId="77777777" w:rsidR="003F4498" w:rsidRDefault="00A90788">
            <w:pPr>
              <w:keepNext/>
              <w:spacing w:before="75" w:after="30"/>
              <w:jc w:val="right"/>
            </w:pPr>
            <w:r>
              <w:rPr>
                <w:color w:val="000000"/>
                <w:sz w:val="20"/>
              </w:rPr>
              <w:t>160.8 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F82D609" w14:textId="77777777" w:rsidR="003F4498" w:rsidRDefault="003F4498">
            <w:pPr>
              <w:keepNext/>
              <w:spacing w:before="75" w:after="30"/>
              <w:jc w:val="right"/>
            </w:pPr>
          </w:p>
        </w:tc>
      </w:tr>
      <w:tr w:rsidR="003F4498" w14:paraId="4C4BA83F"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5ED63F0D" w14:textId="77777777" w:rsidR="003F4498" w:rsidRDefault="00A90788">
            <w:pPr>
              <w:keepNext/>
              <w:spacing w:before="75" w:after="30"/>
              <w:ind w:left="495"/>
            </w:pPr>
            <w:r>
              <w:rPr>
                <w:color w:val="000000"/>
                <w:sz w:val="20"/>
              </w:rPr>
              <w:t>Total stockholders’ equity</w:t>
            </w: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5C3DC7C3" w14:textId="77777777" w:rsidR="003F4498" w:rsidRDefault="00A90788">
            <w:pPr>
              <w:keepNext/>
              <w:spacing w:before="55" w:after="30"/>
              <w:jc w:val="right"/>
            </w:pPr>
            <w:r>
              <w:rPr>
                <w:color w:val="000000"/>
                <w:sz w:val="20"/>
              </w:rPr>
              <w:t>856.0 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9256F36"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C284F9F" w14:textId="77777777" w:rsidR="003F4498" w:rsidRDefault="003F4498">
            <w:pPr>
              <w:keepNext/>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71835AE7" w14:textId="77777777" w:rsidR="003F4498" w:rsidRDefault="00A90788">
            <w:pPr>
              <w:keepNext/>
              <w:spacing w:before="55" w:after="30"/>
              <w:jc w:val="right"/>
            </w:pPr>
            <w:r>
              <w:rPr>
                <w:color w:val="000000"/>
                <w:sz w:val="20"/>
              </w:rPr>
              <w:t>1,342.4 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7434F72" w14:textId="77777777" w:rsidR="003F4498" w:rsidRDefault="003F4498">
            <w:pPr>
              <w:keepNext/>
              <w:spacing w:before="55" w:after="30"/>
              <w:jc w:val="right"/>
            </w:pPr>
          </w:p>
        </w:tc>
      </w:tr>
      <w:tr w:rsidR="003F4498" w14:paraId="237D16E5" w14:textId="77777777">
        <w:trPr>
          <w:cantSplit/>
          <w:trHeight w:hRule="exact" w:val="36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0D825EF1" w14:textId="77777777" w:rsidR="003F4498" w:rsidRDefault="00A90788">
            <w:pPr>
              <w:spacing w:before="75" w:after="30"/>
            </w:pPr>
            <w:r>
              <w:rPr>
                <w:color w:val="000000"/>
                <w:sz w:val="20"/>
              </w:rPr>
              <w:t>TOTAL LIABILITIES AND STOCKHOLDERS’ EQUITY</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D810629" w14:textId="77777777" w:rsidR="003F4498" w:rsidRDefault="00A90788">
            <w:pPr>
              <w:spacing w:before="55" w:after="30"/>
            </w:pPr>
            <w:r>
              <w:rPr>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9D63F17" w14:textId="77777777" w:rsidR="003F4498" w:rsidRDefault="00A90788">
            <w:pPr>
              <w:spacing w:before="55" w:after="30"/>
              <w:jc w:val="right"/>
            </w:pPr>
            <w:r>
              <w:rPr>
                <w:color w:val="000000"/>
                <w:sz w:val="20"/>
              </w:rPr>
              <w:t>4,044.5 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B3F3A48"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3ABCFB1" w14:textId="77777777" w:rsidR="003F4498" w:rsidRDefault="003F4498"/>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14BBD1A" w14:textId="77777777" w:rsidR="003F4498" w:rsidRDefault="00A90788">
            <w:pPr>
              <w:spacing w:before="55" w:after="30"/>
            </w:pPr>
            <w:r>
              <w:rPr>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1A25566" w14:textId="77777777" w:rsidR="003F4498" w:rsidRDefault="00A90788">
            <w:pPr>
              <w:spacing w:before="55" w:after="30"/>
              <w:jc w:val="right"/>
            </w:pPr>
            <w:r>
              <w:rPr>
                <w:color w:val="000000"/>
                <w:sz w:val="20"/>
              </w:rPr>
              <w:t>3,879.2 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BB32AC7" w14:textId="77777777" w:rsidR="003F4498" w:rsidRDefault="003F4498">
            <w:pPr>
              <w:spacing w:before="55" w:after="30"/>
              <w:jc w:val="right"/>
            </w:pPr>
          </w:p>
        </w:tc>
      </w:tr>
    </w:tbl>
    <w:p w14:paraId="10E419C0" w14:textId="77777777" w:rsidR="003F4498" w:rsidRDefault="003F4498">
      <w:pPr>
        <w:spacing w:line="288" w:lineRule="auto"/>
        <w:rPr>
          <w:sz w:val="20"/>
        </w:rPr>
      </w:pPr>
    </w:p>
    <w:p w14:paraId="19BC83F7" w14:textId="77777777" w:rsidR="003F4498" w:rsidRDefault="00A90788">
      <w:pPr>
        <w:spacing w:line="288" w:lineRule="auto"/>
        <w:rPr>
          <w:rFonts w:ascii="Calibri" w:eastAsia="Calibri" w:hAnsi="Calibri" w:cs="Calibri"/>
          <w:b/>
          <w:sz w:val="22"/>
          <w:vertAlign w:val="superscript"/>
        </w:rPr>
      </w:pPr>
      <w:r>
        <w:rPr>
          <w:b/>
          <w:sz w:val="20"/>
          <w:vertAlign w:val="superscript"/>
        </w:rPr>
        <w:t>1</w:t>
      </w:r>
      <w:r>
        <w:rPr>
          <w:sz w:val="20"/>
        </w:rPr>
        <w:t xml:space="preserve"> Fortinet identified an immaterial error related to the commencement of revenue recognition for certain FortiCare support service contracts, which resulted in an immaterial correction to revenue for prior year reported amounts for the six months ended June 30, 2020. All financial information contained herein has been revised to reflect the correction of this error.</w:t>
      </w:r>
    </w:p>
    <w:p w14:paraId="701F4A75" w14:textId="77777777" w:rsidR="003F4498" w:rsidRDefault="003F4498">
      <w:pPr>
        <w:spacing w:line="288" w:lineRule="auto"/>
        <w:sectPr w:rsidR="003F4498">
          <w:pgSz w:w="12240" w:h="15840"/>
          <w:pgMar w:top="855" w:right="990" w:bottom="855" w:left="990" w:header="270" w:footer="270" w:gutter="0"/>
          <w:cols w:space="708"/>
        </w:sectPr>
      </w:pPr>
    </w:p>
    <w:p w14:paraId="7B785F64" w14:textId="77777777" w:rsidR="003F4498" w:rsidRDefault="003F4498">
      <w:pPr>
        <w:spacing w:line="288" w:lineRule="auto"/>
        <w:rPr>
          <w:sz w:val="20"/>
        </w:rPr>
      </w:pPr>
      <w:bookmarkStart w:id="2" w:name="Section3"/>
      <w:bookmarkEnd w:id="2"/>
    </w:p>
    <w:p w14:paraId="53F066F4" w14:textId="77777777" w:rsidR="003F4498" w:rsidRDefault="00A90788">
      <w:pPr>
        <w:spacing w:line="288" w:lineRule="auto"/>
        <w:jc w:val="center"/>
        <w:outlineLvl w:val="0"/>
        <w:rPr>
          <w:b/>
          <w:sz w:val="20"/>
        </w:rPr>
      </w:pPr>
      <w:r>
        <w:rPr>
          <w:b/>
          <w:sz w:val="20"/>
        </w:rPr>
        <w:t>FORTINET, INC.</w:t>
      </w:r>
    </w:p>
    <w:p w14:paraId="48AA8092" w14:textId="77777777" w:rsidR="003F4498" w:rsidRDefault="00A90788">
      <w:pPr>
        <w:spacing w:before="60" w:line="288" w:lineRule="auto"/>
        <w:jc w:val="center"/>
        <w:rPr>
          <w:b/>
          <w:sz w:val="20"/>
        </w:rPr>
      </w:pPr>
      <w:r>
        <w:rPr>
          <w:b/>
          <w:sz w:val="20"/>
        </w:rPr>
        <w:t>CONDENSED CONSOLIDATED STATEMENTS OF INCOME</w:t>
      </w:r>
      <w:r>
        <w:rPr>
          <w:b/>
          <w:sz w:val="20"/>
          <w:vertAlign w:val="superscript"/>
        </w:rPr>
        <w:t>1</w:t>
      </w:r>
    </w:p>
    <w:p w14:paraId="50134A63" w14:textId="77777777" w:rsidR="003F4498" w:rsidRDefault="00A90788">
      <w:pPr>
        <w:spacing w:after="100" w:line="288" w:lineRule="auto"/>
        <w:jc w:val="center"/>
        <w:rPr>
          <w:b/>
          <w:sz w:val="20"/>
        </w:rPr>
      </w:pPr>
      <w:r>
        <w:rPr>
          <w:b/>
          <w:sz w:val="20"/>
        </w:rPr>
        <w:t>(Unaudited, in millions, except per share amounts)</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163"/>
        <w:gridCol w:w="1066"/>
        <w:gridCol w:w="102"/>
        <w:gridCol w:w="76"/>
        <w:gridCol w:w="163"/>
        <w:gridCol w:w="1066"/>
        <w:gridCol w:w="102"/>
        <w:gridCol w:w="76"/>
        <w:gridCol w:w="163"/>
        <w:gridCol w:w="1005"/>
        <w:gridCol w:w="102"/>
        <w:gridCol w:w="76"/>
        <w:gridCol w:w="163"/>
        <w:gridCol w:w="1005"/>
        <w:gridCol w:w="102"/>
      </w:tblGrid>
      <w:tr w:rsidR="003F4498" w14:paraId="4F04CCF0" w14:textId="77777777">
        <w:trPr>
          <w:cantSplit/>
          <w:trHeight w:hRule="exact" w:val="255"/>
          <w:jc w:val="center"/>
        </w:trPr>
        <w:tc>
          <w:tcPr>
            <w:tcW w:w="4935" w:type="dxa"/>
            <w:tcBorders>
              <w:top w:val="nil"/>
              <w:left w:val="nil"/>
              <w:bottom w:val="nil"/>
              <w:right w:val="nil"/>
            </w:tcBorders>
            <w:tcMar>
              <w:top w:w="0" w:type="dxa"/>
              <w:left w:w="53" w:type="dxa"/>
              <w:bottom w:w="0" w:type="dxa"/>
              <w:right w:w="53" w:type="dxa"/>
            </w:tcMar>
            <w:vAlign w:val="bottom"/>
          </w:tcPr>
          <w:p w14:paraId="0F19A0A5" w14:textId="77777777" w:rsidR="003F4498" w:rsidRDefault="00A90788">
            <w:pPr>
              <w:keepNext/>
              <w:spacing w:before="75" w:after="30"/>
            </w:pPr>
            <w:r>
              <w:rPr>
                <w:color w:val="000000"/>
                <w:sz w:val="18"/>
              </w:rPr>
              <w:t> </w:t>
            </w:r>
          </w:p>
        </w:tc>
        <w:tc>
          <w:tcPr>
            <w:tcW w:w="2685" w:type="dxa"/>
            <w:gridSpan w:val="7"/>
            <w:tcBorders>
              <w:top w:val="nil"/>
              <w:left w:val="nil"/>
              <w:bottom w:val="nil"/>
              <w:right w:val="nil"/>
            </w:tcBorders>
            <w:tcMar>
              <w:top w:w="0" w:type="dxa"/>
              <w:left w:w="53" w:type="dxa"/>
              <w:bottom w:w="0" w:type="dxa"/>
              <w:right w:w="53" w:type="dxa"/>
            </w:tcMar>
            <w:vAlign w:val="bottom"/>
          </w:tcPr>
          <w:p w14:paraId="653483E6" w14:textId="77777777" w:rsidR="003F4498" w:rsidRDefault="00A90788">
            <w:pPr>
              <w:keepNext/>
              <w:spacing w:before="75" w:after="30"/>
              <w:jc w:val="center"/>
            </w:pPr>
            <w:r>
              <w:rPr>
                <w:b/>
                <w:color w:val="000000"/>
                <w:sz w:val="18"/>
              </w:rPr>
              <w:t>Three Months Ended</w:t>
            </w:r>
          </w:p>
        </w:tc>
        <w:tc>
          <w:tcPr>
            <w:tcW w:w="75" w:type="dxa"/>
            <w:tcBorders>
              <w:top w:val="nil"/>
              <w:left w:val="nil"/>
              <w:bottom w:val="nil"/>
              <w:right w:val="nil"/>
            </w:tcBorders>
            <w:tcMar>
              <w:top w:w="0" w:type="dxa"/>
              <w:left w:w="0" w:type="dxa"/>
              <w:bottom w:w="0" w:type="dxa"/>
              <w:right w:w="0" w:type="dxa"/>
            </w:tcMar>
            <w:vAlign w:val="bottom"/>
          </w:tcPr>
          <w:p w14:paraId="2AB503F8" w14:textId="77777777" w:rsidR="003F4498" w:rsidRDefault="003F4498">
            <w:pPr>
              <w:keepNext/>
            </w:pPr>
          </w:p>
        </w:tc>
        <w:tc>
          <w:tcPr>
            <w:tcW w:w="2565" w:type="dxa"/>
            <w:gridSpan w:val="7"/>
            <w:tcBorders>
              <w:top w:val="nil"/>
              <w:left w:val="nil"/>
              <w:bottom w:val="nil"/>
              <w:right w:val="nil"/>
            </w:tcBorders>
            <w:tcMar>
              <w:top w:w="0" w:type="dxa"/>
              <w:left w:w="53" w:type="dxa"/>
              <w:bottom w:w="0" w:type="dxa"/>
              <w:right w:w="53" w:type="dxa"/>
            </w:tcMar>
            <w:vAlign w:val="bottom"/>
          </w:tcPr>
          <w:p w14:paraId="7D660CC5" w14:textId="77777777" w:rsidR="003F4498" w:rsidRDefault="00A90788">
            <w:pPr>
              <w:keepNext/>
              <w:spacing w:before="75" w:after="30"/>
              <w:jc w:val="center"/>
            </w:pPr>
            <w:proofErr w:type="gramStart"/>
            <w:r>
              <w:rPr>
                <w:b/>
                <w:color w:val="000000"/>
                <w:sz w:val="18"/>
              </w:rPr>
              <w:t>Year  Ended</w:t>
            </w:r>
            <w:proofErr w:type="gramEnd"/>
          </w:p>
        </w:tc>
      </w:tr>
      <w:tr w:rsidR="003F4498" w14:paraId="27041D99" w14:textId="77777777">
        <w:trPr>
          <w:cantSplit/>
          <w:trHeight w:hRule="exact" w:val="645"/>
          <w:jc w:val="center"/>
        </w:trPr>
        <w:tc>
          <w:tcPr>
            <w:tcW w:w="4935" w:type="dxa"/>
            <w:tcBorders>
              <w:top w:val="nil"/>
              <w:left w:val="nil"/>
              <w:bottom w:val="nil"/>
              <w:right w:val="nil"/>
            </w:tcBorders>
            <w:tcMar>
              <w:top w:w="0" w:type="dxa"/>
              <w:left w:w="53" w:type="dxa"/>
              <w:bottom w:w="0" w:type="dxa"/>
              <w:right w:w="53" w:type="dxa"/>
            </w:tcMar>
            <w:vAlign w:val="bottom"/>
          </w:tcPr>
          <w:p w14:paraId="0636F845" w14:textId="77777777" w:rsidR="003F4498" w:rsidRDefault="00A90788">
            <w:pPr>
              <w:keepNext/>
              <w:spacing w:before="75" w:after="30"/>
              <w:jc w:val="center"/>
            </w:pPr>
            <w:r>
              <w:rPr>
                <w:b/>
                <w:color w:val="000000"/>
                <w:sz w:val="18"/>
              </w:rPr>
              <w:t> </w:t>
            </w: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5DF23D2" w14:textId="77777777" w:rsidR="003F4498" w:rsidRDefault="00A90788">
            <w:pPr>
              <w:keepNext/>
              <w:spacing w:before="55" w:after="30"/>
              <w:jc w:val="center"/>
            </w:pPr>
            <w:r>
              <w:rPr>
                <w:b/>
                <w:color w:val="000000"/>
                <w:sz w:val="18"/>
              </w:rPr>
              <w:t>December 31,</w:t>
            </w:r>
            <w:r>
              <w:br/>
            </w:r>
            <w:r>
              <w:rPr>
                <w:b/>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C6DDDF8" w14:textId="77777777" w:rsidR="003F4498" w:rsidRDefault="003F4498">
            <w:pPr>
              <w:keepNext/>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7DE95326" w14:textId="77777777" w:rsidR="003F4498" w:rsidRDefault="00A90788">
            <w:pPr>
              <w:keepNext/>
              <w:spacing w:before="55" w:after="30"/>
              <w:jc w:val="center"/>
            </w:pPr>
            <w:r>
              <w:rPr>
                <w:b/>
                <w:color w:val="000000"/>
                <w:sz w:val="18"/>
              </w:rPr>
              <w:t>December 31,</w:t>
            </w:r>
            <w:r>
              <w:br/>
            </w:r>
            <w:r>
              <w:rPr>
                <w:b/>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14:paraId="7B27D3C2" w14:textId="77777777" w:rsidR="003F4498" w:rsidRDefault="003F4498">
            <w:pPr>
              <w:keepNext/>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41F3BC87" w14:textId="77777777" w:rsidR="003F4498" w:rsidRDefault="00A90788">
            <w:pPr>
              <w:keepNext/>
              <w:spacing w:before="55" w:after="30"/>
              <w:jc w:val="center"/>
            </w:pPr>
            <w:r>
              <w:rPr>
                <w:b/>
                <w:color w:val="000000"/>
                <w:sz w:val="18"/>
              </w:rPr>
              <w:t>December 31,</w:t>
            </w:r>
            <w:r>
              <w:br/>
            </w:r>
            <w:r>
              <w:rPr>
                <w:b/>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E94550B" w14:textId="77777777" w:rsidR="003F4498" w:rsidRDefault="003F4498">
            <w:pPr>
              <w:keepNext/>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B8F6435" w14:textId="77777777" w:rsidR="003F4498" w:rsidRDefault="00A90788">
            <w:pPr>
              <w:keepNext/>
              <w:spacing w:before="55" w:after="30"/>
              <w:jc w:val="center"/>
            </w:pPr>
            <w:r>
              <w:rPr>
                <w:b/>
                <w:color w:val="000000"/>
                <w:sz w:val="18"/>
              </w:rPr>
              <w:t>December 31,</w:t>
            </w:r>
            <w:r>
              <w:br/>
            </w:r>
            <w:r>
              <w:rPr>
                <w:b/>
                <w:color w:val="000000"/>
                <w:sz w:val="18"/>
              </w:rPr>
              <w:t>2019</w:t>
            </w:r>
          </w:p>
        </w:tc>
      </w:tr>
      <w:tr w:rsidR="003F4498" w14:paraId="6073C9E2"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63F02FFA" w14:textId="77777777" w:rsidR="003F4498" w:rsidRDefault="00A90788">
            <w:pPr>
              <w:keepNext/>
              <w:spacing w:before="75" w:after="30"/>
            </w:pPr>
            <w:r>
              <w:rPr>
                <w:color w:val="000000"/>
                <w:sz w:val="20"/>
              </w:rPr>
              <w:t>REVENUE:</w:t>
            </w: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06D68E8"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5E5303" w14:textId="77777777" w:rsidR="003F4498" w:rsidRDefault="003F4498">
            <w:pPr>
              <w:keepNext/>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DA385E9"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552419" w14:textId="77777777" w:rsidR="003F4498" w:rsidRDefault="003F4498">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E568E7F"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A59FE9" w14:textId="77777777" w:rsidR="003F4498" w:rsidRDefault="003F4498">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1F49E90" w14:textId="77777777" w:rsidR="003F4498" w:rsidRDefault="003F4498">
            <w:pPr>
              <w:keepNext/>
            </w:pPr>
          </w:p>
        </w:tc>
      </w:tr>
      <w:tr w:rsidR="003F4498" w14:paraId="4890E64F"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5514DF8E" w14:textId="77777777" w:rsidR="003F4498" w:rsidRDefault="00A90788">
            <w:pPr>
              <w:keepNext/>
              <w:spacing w:before="75" w:after="30"/>
              <w:ind w:left="360"/>
            </w:pPr>
            <w:r>
              <w:rPr>
                <w:color w:val="000000"/>
                <w:sz w:val="20"/>
              </w:rPr>
              <w:t>Product</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CD13F7A" w14:textId="77777777" w:rsidR="003F4498" w:rsidRDefault="00A90788">
            <w:pPr>
              <w:keepNext/>
              <w:spacing w:before="75" w:after="30"/>
            </w:pPr>
            <w:r>
              <w:rPr>
                <w:color w:val="000000"/>
                <w:sz w:val="20"/>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14:paraId="227CEC96" w14:textId="77777777" w:rsidR="003F4498" w:rsidRDefault="00A90788">
            <w:pPr>
              <w:keepNext/>
              <w:spacing w:before="75" w:after="30"/>
              <w:jc w:val="right"/>
            </w:pPr>
            <w:r>
              <w:rPr>
                <w:color w:val="000000"/>
                <w:sz w:val="20"/>
              </w:rPr>
              <w:t>288.4 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D8CF1FD"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2C32EE" w14:textId="77777777" w:rsidR="003F4498" w:rsidRDefault="003F4498">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1AA9AE5" w14:textId="77777777" w:rsidR="003F4498" w:rsidRDefault="00A90788">
            <w:pPr>
              <w:keepNext/>
              <w:spacing w:before="75" w:after="30"/>
            </w:pPr>
            <w:r>
              <w:rPr>
                <w:color w:val="000000"/>
                <w:sz w:val="20"/>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14:paraId="29051324" w14:textId="77777777" w:rsidR="003F4498" w:rsidRDefault="00A90788">
            <w:pPr>
              <w:keepNext/>
              <w:spacing w:before="75" w:after="30"/>
              <w:jc w:val="right"/>
            </w:pPr>
            <w:r>
              <w:rPr>
                <w:color w:val="000000"/>
                <w:sz w:val="20"/>
              </w:rPr>
              <w:t>238.8 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2BC1EA6"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F0A696" w14:textId="77777777" w:rsidR="003F4498" w:rsidRDefault="003F4498">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C33B1FE" w14:textId="77777777" w:rsidR="003F4498" w:rsidRDefault="00A90788">
            <w:pPr>
              <w:keepNext/>
              <w:spacing w:before="75" w:after="30"/>
            </w:pPr>
            <w:r>
              <w:rPr>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14:paraId="26402D86" w14:textId="77777777" w:rsidR="003F4498" w:rsidRDefault="00A90788">
            <w:pPr>
              <w:keepNext/>
              <w:spacing w:before="75" w:after="30"/>
              <w:jc w:val="right"/>
            </w:pPr>
            <w:r>
              <w:rPr>
                <w:color w:val="000000"/>
                <w:sz w:val="20"/>
              </w:rPr>
              <w:t>916.4 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71F35C4"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5E49A3" w14:textId="77777777" w:rsidR="003F4498" w:rsidRDefault="003F4498">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633BDD36" w14:textId="77777777" w:rsidR="003F4498" w:rsidRDefault="00A90788">
            <w:pPr>
              <w:keepNext/>
              <w:spacing w:before="75" w:after="30"/>
            </w:pPr>
            <w:r>
              <w:rPr>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14:paraId="0AA24925" w14:textId="77777777" w:rsidR="003F4498" w:rsidRDefault="00A90788">
            <w:pPr>
              <w:keepNext/>
              <w:spacing w:before="75" w:after="30"/>
              <w:jc w:val="right"/>
            </w:pPr>
            <w:r>
              <w:rPr>
                <w:color w:val="000000"/>
                <w:sz w:val="20"/>
              </w:rPr>
              <w:t>788.5 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EDCD2D5" w14:textId="77777777" w:rsidR="003F4498" w:rsidRDefault="003F4498">
            <w:pPr>
              <w:keepNext/>
              <w:spacing w:before="75" w:after="30"/>
              <w:jc w:val="right"/>
            </w:pPr>
          </w:p>
        </w:tc>
      </w:tr>
      <w:tr w:rsidR="003F4498" w14:paraId="30CFA31F"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79E02FA0" w14:textId="77777777" w:rsidR="003F4498" w:rsidRDefault="00A90788">
            <w:pPr>
              <w:keepNext/>
              <w:spacing w:before="75" w:after="30"/>
              <w:ind w:left="360"/>
            </w:pPr>
            <w:r>
              <w:rPr>
                <w:color w:val="000000"/>
                <w:sz w:val="20"/>
              </w:rPr>
              <w:t>Service</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88FFF8B" w14:textId="77777777" w:rsidR="003F4498" w:rsidRDefault="00A90788">
            <w:pPr>
              <w:keepNext/>
              <w:spacing w:before="75" w:after="30"/>
              <w:jc w:val="right"/>
            </w:pPr>
            <w:r>
              <w:rPr>
                <w:color w:val="000000"/>
                <w:sz w:val="20"/>
              </w:rPr>
              <w:t>459.6 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74B390F"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D8CBD0" w14:textId="77777777" w:rsidR="003F4498" w:rsidRDefault="003F4498">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70FE2D3" w14:textId="77777777" w:rsidR="003F4498" w:rsidRDefault="00A90788">
            <w:pPr>
              <w:keepNext/>
              <w:spacing w:before="75" w:after="30"/>
              <w:jc w:val="right"/>
            </w:pPr>
            <w:r>
              <w:rPr>
                <w:color w:val="000000"/>
                <w:sz w:val="20"/>
              </w:rPr>
              <w:t>379.3 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77D8096"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BABC5B"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AD8BBEF" w14:textId="77777777" w:rsidR="003F4498" w:rsidRDefault="00A90788">
            <w:pPr>
              <w:keepNext/>
              <w:spacing w:before="75" w:after="30"/>
              <w:jc w:val="right"/>
            </w:pPr>
            <w:r>
              <w:rPr>
                <w:color w:val="000000"/>
                <w:sz w:val="20"/>
              </w:rPr>
              <w:t>1,678.0 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AEA79A"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608861"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C5CA504" w14:textId="77777777" w:rsidR="003F4498" w:rsidRDefault="00A90788">
            <w:pPr>
              <w:keepNext/>
              <w:spacing w:before="75" w:after="30"/>
              <w:jc w:val="right"/>
            </w:pPr>
            <w:r>
              <w:rPr>
                <w:color w:val="000000"/>
                <w:sz w:val="20"/>
              </w:rPr>
              <w:t>1,374.5 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93351A3" w14:textId="77777777" w:rsidR="003F4498" w:rsidRDefault="003F4498">
            <w:pPr>
              <w:keepNext/>
              <w:spacing w:before="75" w:after="30"/>
              <w:jc w:val="right"/>
            </w:pPr>
          </w:p>
        </w:tc>
      </w:tr>
      <w:tr w:rsidR="003F4498" w14:paraId="5D72412D"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28B1ABFD" w14:textId="77777777" w:rsidR="003F4498" w:rsidRDefault="00A90788">
            <w:pPr>
              <w:keepNext/>
              <w:spacing w:before="75" w:after="30"/>
              <w:ind w:left="585"/>
            </w:pPr>
            <w:r>
              <w:rPr>
                <w:color w:val="000000"/>
                <w:sz w:val="20"/>
              </w:rPr>
              <w:t>Total revenue</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31FC694" w14:textId="77777777" w:rsidR="003F4498" w:rsidRDefault="00A90788">
            <w:pPr>
              <w:keepNext/>
              <w:spacing w:before="55" w:after="30"/>
              <w:jc w:val="right"/>
            </w:pPr>
            <w:r>
              <w:rPr>
                <w:color w:val="000000"/>
                <w:sz w:val="20"/>
              </w:rPr>
              <w:t>748.0 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511E20D"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19CEBD" w14:textId="77777777" w:rsidR="003F4498" w:rsidRDefault="003F4498">
            <w:pPr>
              <w:keepNext/>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1B1CDD1D" w14:textId="77777777" w:rsidR="003F4498" w:rsidRDefault="00A90788">
            <w:pPr>
              <w:keepNext/>
              <w:spacing w:before="55" w:after="30"/>
              <w:jc w:val="right"/>
            </w:pPr>
            <w:r>
              <w:rPr>
                <w:color w:val="000000"/>
                <w:sz w:val="20"/>
              </w:rPr>
              <w:t>618.1 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D5B5AB5"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B39BEE" w14:textId="77777777" w:rsidR="003F4498" w:rsidRDefault="003F4498">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971F2EC" w14:textId="77777777" w:rsidR="003F4498" w:rsidRDefault="00A90788">
            <w:pPr>
              <w:keepNext/>
              <w:spacing w:before="55" w:after="30"/>
              <w:jc w:val="right"/>
            </w:pPr>
            <w:r>
              <w:rPr>
                <w:color w:val="000000"/>
                <w:sz w:val="20"/>
              </w:rPr>
              <w:t>2,594.4 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3810C26"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BBBB0F" w14:textId="77777777" w:rsidR="003F4498" w:rsidRDefault="003F4498">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5042390" w14:textId="77777777" w:rsidR="003F4498" w:rsidRDefault="00A90788">
            <w:pPr>
              <w:keepNext/>
              <w:spacing w:before="55" w:after="30"/>
              <w:jc w:val="right"/>
            </w:pPr>
            <w:r>
              <w:rPr>
                <w:color w:val="000000"/>
                <w:sz w:val="20"/>
              </w:rPr>
              <w:t>2,163.0 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AD5217A" w14:textId="77777777" w:rsidR="003F4498" w:rsidRDefault="003F4498">
            <w:pPr>
              <w:keepNext/>
              <w:spacing w:before="55" w:after="30"/>
              <w:jc w:val="right"/>
            </w:pPr>
          </w:p>
        </w:tc>
      </w:tr>
      <w:tr w:rsidR="003F4498" w14:paraId="6AA6A5AE"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033B3EEE" w14:textId="77777777" w:rsidR="003F4498" w:rsidRDefault="00A90788">
            <w:pPr>
              <w:keepNext/>
              <w:spacing w:before="75" w:after="30"/>
            </w:pPr>
            <w:r>
              <w:rPr>
                <w:color w:val="000000"/>
                <w:sz w:val="20"/>
              </w:rPr>
              <w:t>COST OF REVENUE:</w:t>
            </w: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2E9F34D"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27855A" w14:textId="77777777" w:rsidR="003F4498" w:rsidRDefault="003F4498">
            <w:pPr>
              <w:keepNext/>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6B3396E6"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30E127" w14:textId="77777777" w:rsidR="003F4498" w:rsidRDefault="003F4498">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F3A68B7"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ECFFC42" w14:textId="77777777" w:rsidR="003F4498" w:rsidRDefault="003F4498">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C0D70A1" w14:textId="77777777" w:rsidR="003F4498" w:rsidRDefault="003F4498">
            <w:pPr>
              <w:keepNext/>
            </w:pPr>
          </w:p>
        </w:tc>
      </w:tr>
      <w:tr w:rsidR="003F4498" w14:paraId="4D43D1F3"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162EF235" w14:textId="77777777" w:rsidR="003F4498" w:rsidRDefault="00A90788">
            <w:pPr>
              <w:keepNext/>
              <w:spacing w:before="75" w:after="30"/>
              <w:ind w:left="360"/>
            </w:pPr>
            <w:r>
              <w:rPr>
                <w:color w:val="000000"/>
                <w:sz w:val="20"/>
              </w:rPr>
              <w:t>Product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220EA79C" w14:textId="77777777" w:rsidR="003F4498" w:rsidRDefault="00A90788">
            <w:pPr>
              <w:keepNext/>
              <w:spacing w:before="75" w:after="30"/>
              <w:jc w:val="right"/>
            </w:pPr>
            <w:r>
              <w:rPr>
                <w:color w:val="000000"/>
                <w:sz w:val="20"/>
              </w:rPr>
              <w:t>107.4 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740C2AC"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790065" w14:textId="77777777" w:rsidR="003F4498" w:rsidRDefault="003F4498">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0F112093" w14:textId="77777777" w:rsidR="003F4498" w:rsidRDefault="00A90788">
            <w:pPr>
              <w:keepNext/>
              <w:spacing w:before="75" w:after="30"/>
              <w:jc w:val="right"/>
            </w:pPr>
            <w:r>
              <w:rPr>
                <w:color w:val="000000"/>
                <w:sz w:val="20"/>
              </w:rPr>
              <w:t>92.7 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F1B60E0"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603110" w14:textId="77777777" w:rsidR="003F4498" w:rsidRDefault="003F4498">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1D471BCA" w14:textId="77777777" w:rsidR="003F4498" w:rsidRDefault="00A90788">
            <w:pPr>
              <w:keepNext/>
              <w:spacing w:before="75" w:after="30"/>
              <w:jc w:val="right"/>
            </w:pPr>
            <w:r>
              <w:rPr>
                <w:color w:val="000000"/>
                <w:sz w:val="20"/>
              </w:rPr>
              <w:t>352.4 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C01DA4A"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2034C7" w14:textId="77777777" w:rsidR="003F4498" w:rsidRDefault="003F4498">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495A5B6" w14:textId="77777777" w:rsidR="003F4498" w:rsidRDefault="00A90788">
            <w:pPr>
              <w:keepNext/>
              <w:spacing w:before="75" w:after="30"/>
              <w:jc w:val="right"/>
            </w:pPr>
            <w:r>
              <w:rPr>
                <w:color w:val="000000"/>
                <w:sz w:val="20"/>
              </w:rPr>
              <w:t>324.6 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C0314DA" w14:textId="77777777" w:rsidR="003F4498" w:rsidRDefault="003F4498">
            <w:pPr>
              <w:keepNext/>
              <w:spacing w:before="75" w:after="30"/>
              <w:jc w:val="right"/>
            </w:pPr>
          </w:p>
        </w:tc>
      </w:tr>
      <w:tr w:rsidR="003F4498" w14:paraId="2DC87C9C"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3DDA40B4" w14:textId="77777777" w:rsidR="003F4498" w:rsidRDefault="00A90788">
            <w:pPr>
              <w:keepNext/>
              <w:spacing w:before="75" w:after="30"/>
              <w:ind w:left="360"/>
            </w:pPr>
            <w:r>
              <w:rPr>
                <w:color w:val="000000"/>
                <w:sz w:val="20"/>
              </w:rPr>
              <w:t>Service</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8F102AB" w14:textId="77777777" w:rsidR="003F4498" w:rsidRDefault="00A90788">
            <w:pPr>
              <w:keepNext/>
              <w:spacing w:before="75" w:after="30"/>
              <w:jc w:val="right"/>
            </w:pPr>
            <w:r>
              <w:rPr>
                <w:color w:val="000000"/>
                <w:sz w:val="20"/>
              </w:rPr>
              <w:t>59.6 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1004CB0"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8ACB71" w14:textId="77777777" w:rsidR="003F4498" w:rsidRDefault="003F4498">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EAB56D0" w14:textId="77777777" w:rsidR="003F4498" w:rsidRDefault="00A90788">
            <w:pPr>
              <w:keepNext/>
              <w:spacing w:before="75" w:after="30"/>
              <w:jc w:val="right"/>
            </w:pPr>
            <w:r>
              <w:rPr>
                <w:color w:val="000000"/>
                <w:sz w:val="20"/>
              </w:rPr>
              <w:t>47.8 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E2E3C36"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EC8A481"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25BCE3E" w14:textId="77777777" w:rsidR="003F4498" w:rsidRDefault="00A90788">
            <w:pPr>
              <w:keepNext/>
              <w:spacing w:before="75" w:after="30"/>
              <w:jc w:val="right"/>
            </w:pPr>
            <w:r>
              <w:rPr>
                <w:color w:val="000000"/>
                <w:sz w:val="20"/>
              </w:rPr>
              <w:t>217.6 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703F139"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49E33C"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69F523C" w14:textId="77777777" w:rsidR="003F4498" w:rsidRDefault="00A90788">
            <w:pPr>
              <w:keepNext/>
              <w:spacing w:before="75" w:after="30"/>
              <w:jc w:val="right"/>
            </w:pPr>
            <w:r>
              <w:rPr>
                <w:color w:val="000000"/>
                <w:sz w:val="20"/>
              </w:rPr>
              <w:t>181.3 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9228EAE" w14:textId="77777777" w:rsidR="003F4498" w:rsidRDefault="003F4498">
            <w:pPr>
              <w:keepNext/>
              <w:spacing w:before="75" w:after="30"/>
              <w:jc w:val="right"/>
            </w:pPr>
          </w:p>
        </w:tc>
      </w:tr>
      <w:tr w:rsidR="003F4498" w14:paraId="29C48E80"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7F612683" w14:textId="77777777" w:rsidR="003F4498" w:rsidRDefault="00A90788">
            <w:pPr>
              <w:keepNext/>
              <w:spacing w:before="75" w:after="30"/>
              <w:ind w:left="585"/>
            </w:pPr>
            <w:r>
              <w:rPr>
                <w:color w:val="000000"/>
                <w:sz w:val="20"/>
              </w:rPr>
              <w:t>Total cost of revenue</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D0F787C" w14:textId="77777777" w:rsidR="003F4498" w:rsidRDefault="00A90788">
            <w:pPr>
              <w:keepNext/>
              <w:spacing w:before="55" w:after="30"/>
              <w:jc w:val="right"/>
            </w:pPr>
            <w:r>
              <w:rPr>
                <w:color w:val="000000"/>
                <w:sz w:val="20"/>
              </w:rPr>
              <w:t>167.0 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58E017D"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DC0D73" w14:textId="77777777" w:rsidR="003F4498" w:rsidRDefault="003F4498">
            <w:pPr>
              <w:keepNext/>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7BFCC3F9" w14:textId="77777777" w:rsidR="003F4498" w:rsidRDefault="00A90788">
            <w:pPr>
              <w:keepNext/>
              <w:spacing w:before="55" w:after="30"/>
              <w:jc w:val="right"/>
            </w:pPr>
            <w:r>
              <w:rPr>
                <w:color w:val="000000"/>
                <w:sz w:val="20"/>
              </w:rPr>
              <w:t>140.5 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AF72770"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B0B074" w14:textId="77777777" w:rsidR="003F4498" w:rsidRDefault="003F4498">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36E37E5" w14:textId="77777777" w:rsidR="003F4498" w:rsidRDefault="00A90788">
            <w:pPr>
              <w:keepNext/>
              <w:spacing w:before="55" w:after="30"/>
              <w:jc w:val="right"/>
            </w:pPr>
            <w:r>
              <w:rPr>
                <w:color w:val="000000"/>
                <w:sz w:val="20"/>
              </w:rPr>
              <w:t>570.0 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663194B"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CE2891" w14:textId="77777777" w:rsidR="003F4498" w:rsidRDefault="003F4498">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9F6FFBE" w14:textId="77777777" w:rsidR="003F4498" w:rsidRDefault="00A90788">
            <w:pPr>
              <w:keepNext/>
              <w:spacing w:before="55" w:after="30"/>
              <w:jc w:val="right"/>
            </w:pPr>
            <w:r>
              <w:rPr>
                <w:color w:val="000000"/>
                <w:sz w:val="20"/>
              </w:rPr>
              <w:t>505.9 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3BDF74A" w14:textId="77777777" w:rsidR="003F4498" w:rsidRDefault="003F4498">
            <w:pPr>
              <w:keepNext/>
              <w:spacing w:before="55" w:after="30"/>
              <w:jc w:val="right"/>
            </w:pPr>
          </w:p>
        </w:tc>
      </w:tr>
      <w:tr w:rsidR="003F4498" w14:paraId="209843C5"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749B9C50" w14:textId="77777777" w:rsidR="003F4498" w:rsidRDefault="00A90788">
            <w:pPr>
              <w:keepNext/>
              <w:spacing w:before="75" w:after="30"/>
            </w:pPr>
            <w:r>
              <w:rPr>
                <w:color w:val="000000"/>
                <w:sz w:val="20"/>
              </w:rPr>
              <w:t>GROSS PROFIT:</w:t>
            </w: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0C8A4C6"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65EF35" w14:textId="77777777" w:rsidR="003F4498" w:rsidRDefault="003F4498">
            <w:pPr>
              <w:keepNext/>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6D96B5B1"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C547CD" w14:textId="77777777" w:rsidR="003F4498" w:rsidRDefault="003F4498">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0607118"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DF7597" w14:textId="77777777" w:rsidR="003F4498" w:rsidRDefault="003F4498">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DAF13D2" w14:textId="77777777" w:rsidR="003F4498" w:rsidRDefault="003F4498">
            <w:pPr>
              <w:keepNext/>
            </w:pPr>
          </w:p>
        </w:tc>
      </w:tr>
      <w:tr w:rsidR="003F4498" w14:paraId="3899D810"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0C6CA64D" w14:textId="77777777" w:rsidR="003F4498" w:rsidRDefault="00A90788">
            <w:pPr>
              <w:keepNext/>
              <w:spacing w:before="75" w:after="30"/>
              <w:ind w:left="360"/>
            </w:pPr>
            <w:r>
              <w:rPr>
                <w:color w:val="000000"/>
                <w:sz w:val="20"/>
              </w:rPr>
              <w:t>Product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3F348142" w14:textId="77777777" w:rsidR="003F4498" w:rsidRDefault="00A90788">
            <w:pPr>
              <w:keepNext/>
              <w:spacing w:before="75" w:after="30"/>
              <w:jc w:val="right"/>
            </w:pPr>
            <w:r>
              <w:rPr>
                <w:color w:val="000000"/>
                <w:sz w:val="20"/>
              </w:rPr>
              <w:t>181.0 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C4F9E09"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6EB009" w14:textId="77777777" w:rsidR="003F4498" w:rsidRDefault="003F4498">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32643145" w14:textId="77777777" w:rsidR="003F4498" w:rsidRDefault="00A90788">
            <w:pPr>
              <w:keepNext/>
              <w:spacing w:before="75" w:after="30"/>
              <w:jc w:val="right"/>
            </w:pPr>
            <w:r>
              <w:rPr>
                <w:color w:val="000000"/>
                <w:sz w:val="20"/>
              </w:rPr>
              <w:t>146.1 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8C30267"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C3FF731" w14:textId="77777777" w:rsidR="003F4498" w:rsidRDefault="003F4498">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CFB0178" w14:textId="77777777" w:rsidR="003F4498" w:rsidRDefault="00A90788">
            <w:pPr>
              <w:keepNext/>
              <w:spacing w:before="75" w:after="30"/>
              <w:jc w:val="right"/>
            </w:pPr>
            <w:r>
              <w:rPr>
                <w:color w:val="000000"/>
                <w:sz w:val="20"/>
              </w:rPr>
              <w:t>564.0 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4743D60"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634B1C" w14:textId="77777777" w:rsidR="003F4498" w:rsidRDefault="003F4498">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4E457D10" w14:textId="77777777" w:rsidR="003F4498" w:rsidRDefault="00A90788">
            <w:pPr>
              <w:keepNext/>
              <w:spacing w:before="75" w:after="30"/>
              <w:jc w:val="right"/>
            </w:pPr>
            <w:r>
              <w:rPr>
                <w:color w:val="000000"/>
                <w:sz w:val="20"/>
              </w:rPr>
              <w:t>463.9 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ADBAD72" w14:textId="77777777" w:rsidR="003F4498" w:rsidRDefault="003F4498">
            <w:pPr>
              <w:keepNext/>
              <w:spacing w:before="75" w:after="30"/>
              <w:jc w:val="right"/>
            </w:pPr>
          </w:p>
        </w:tc>
      </w:tr>
      <w:tr w:rsidR="003F4498" w14:paraId="74CC2611"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0102BC00" w14:textId="77777777" w:rsidR="003F4498" w:rsidRDefault="00A90788">
            <w:pPr>
              <w:keepNext/>
              <w:spacing w:before="75" w:after="30"/>
              <w:ind w:left="360"/>
            </w:pPr>
            <w:r>
              <w:rPr>
                <w:color w:val="000000"/>
                <w:sz w:val="20"/>
              </w:rPr>
              <w:t>Service</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0F30BD6" w14:textId="77777777" w:rsidR="003F4498" w:rsidRDefault="00A90788">
            <w:pPr>
              <w:keepNext/>
              <w:spacing w:before="75" w:after="30"/>
              <w:jc w:val="right"/>
            </w:pPr>
            <w:r>
              <w:rPr>
                <w:color w:val="000000"/>
                <w:sz w:val="20"/>
              </w:rPr>
              <w:t>400.0 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71A07A7"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A48115" w14:textId="77777777" w:rsidR="003F4498" w:rsidRDefault="003F4498">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DF906A6" w14:textId="77777777" w:rsidR="003F4498" w:rsidRDefault="00A90788">
            <w:pPr>
              <w:keepNext/>
              <w:spacing w:before="75" w:after="30"/>
              <w:jc w:val="right"/>
            </w:pPr>
            <w:r>
              <w:rPr>
                <w:color w:val="000000"/>
                <w:sz w:val="20"/>
              </w:rPr>
              <w:t>331.5 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581109B"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66DF5A"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C935FC1" w14:textId="77777777" w:rsidR="003F4498" w:rsidRDefault="00A90788">
            <w:pPr>
              <w:keepNext/>
              <w:spacing w:before="75" w:after="30"/>
              <w:jc w:val="right"/>
            </w:pPr>
            <w:r>
              <w:rPr>
                <w:color w:val="000000"/>
                <w:sz w:val="20"/>
              </w:rPr>
              <w:t>1,460.4 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CCD43B5"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AB535D"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CAA041C" w14:textId="77777777" w:rsidR="003F4498" w:rsidRDefault="00A90788">
            <w:pPr>
              <w:keepNext/>
              <w:spacing w:before="75" w:after="30"/>
              <w:jc w:val="right"/>
            </w:pPr>
            <w:r>
              <w:rPr>
                <w:color w:val="000000"/>
                <w:sz w:val="20"/>
              </w:rPr>
              <w:t>1,193.2 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16C5A2C" w14:textId="77777777" w:rsidR="003F4498" w:rsidRDefault="003F4498">
            <w:pPr>
              <w:keepNext/>
              <w:spacing w:before="75" w:after="30"/>
              <w:jc w:val="right"/>
            </w:pPr>
          </w:p>
        </w:tc>
      </w:tr>
      <w:tr w:rsidR="003F4498" w14:paraId="21B05F8B"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56DD6371" w14:textId="77777777" w:rsidR="003F4498" w:rsidRDefault="00A90788">
            <w:pPr>
              <w:keepNext/>
              <w:spacing w:before="75" w:after="30"/>
              <w:ind w:left="585"/>
            </w:pPr>
            <w:r>
              <w:rPr>
                <w:color w:val="000000"/>
                <w:sz w:val="20"/>
              </w:rPr>
              <w:t>Total gross profit</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063CDD44" w14:textId="77777777" w:rsidR="003F4498" w:rsidRDefault="00A90788">
            <w:pPr>
              <w:keepNext/>
              <w:spacing w:before="55" w:after="30"/>
              <w:jc w:val="right"/>
            </w:pPr>
            <w:r>
              <w:rPr>
                <w:color w:val="000000"/>
                <w:sz w:val="20"/>
              </w:rPr>
              <w:t>581.0 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8012CCD"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20B008" w14:textId="77777777" w:rsidR="003F4498" w:rsidRDefault="003F4498">
            <w:pPr>
              <w:keepNext/>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510DEA89" w14:textId="77777777" w:rsidR="003F4498" w:rsidRDefault="00A90788">
            <w:pPr>
              <w:keepNext/>
              <w:spacing w:before="55" w:after="30"/>
              <w:jc w:val="right"/>
            </w:pPr>
            <w:r>
              <w:rPr>
                <w:color w:val="000000"/>
                <w:sz w:val="20"/>
              </w:rPr>
              <w:t>477.6 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DEB7C7D"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137E68" w14:textId="77777777" w:rsidR="003F4498" w:rsidRDefault="003F4498">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7CE5420E" w14:textId="77777777" w:rsidR="003F4498" w:rsidRDefault="00A90788">
            <w:pPr>
              <w:keepNext/>
              <w:spacing w:before="55" w:after="30"/>
              <w:jc w:val="right"/>
            </w:pPr>
            <w:r>
              <w:rPr>
                <w:color w:val="000000"/>
                <w:sz w:val="20"/>
              </w:rPr>
              <w:t>2,024.4 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224110B"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AE9383" w14:textId="77777777" w:rsidR="003F4498" w:rsidRDefault="003F4498">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105DCB22" w14:textId="77777777" w:rsidR="003F4498" w:rsidRDefault="00A90788">
            <w:pPr>
              <w:keepNext/>
              <w:spacing w:before="55" w:after="30"/>
              <w:jc w:val="right"/>
            </w:pPr>
            <w:r>
              <w:rPr>
                <w:color w:val="000000"/>
                <w:sz w:val="20"/>
              </w:rPr>
              <w:t>1,657.1 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94686DA" w14:textId="77777777" w:rsidR="003F4498" w:rsidRDefault="003F4498">
            <w:pPr>
              <w:keepNext/>
              <w:spacing w:before="55" w:after="30"/>
              <w:jc w:val="right"/>
            </w:pPr>
          </w:p>
        </w:tc>
      </w:tr>
      <w:tr w:rsidR="003F4498" w14:paraId="3BA19D0F"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064E2533" w14:textId="77777777" w:rsidR="003F4498" w:rsidRDefault="00A90788">
            <w:pPr>
              <w:keepNext/>
              <w:spacing w:before="75" w:after="30"/>
            </w:pPr>
            <w:r>
              <w:rPr>
                <w:color w:val="000000"/>
                <w:sz w:val="20"/>
              </w:rPr>
              <w:t>OPERATING EXPENSES:</w:t>
            </w: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EF5D6DC"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40C51C" w14:textId="77777777" w:rsidR="003F4498" w:rsidRDefault="003F4498">
            <w:pPr>
              <w:keepNext/>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7D6A182"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FEC600" w14:textId="77777777" w:rsidR="003F4498" w:rsidRDefault="003F4498">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BFEDCAC"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6470E7" w14:textId="77777777" w:rsidR="003F4498" w:rsidRDefault="003F4498">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74C0D28" w14:textId="77777777" w:rsidR="003F4498" w:rsidRDefault="003F4498">
            <w:pPr>
              <w:keepNext/>
            </w:pPr>
          </w:p>
        </w:tc>
      </w:tr>
      <w:tr w:rsidR="003F4498" w14:paraId="4B7F2730"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42132715" w14:textId="77777777" w:rsidR="003F4498" w:rsidRDefault="00A90788">
            <w:pPr>
              <w:keepNext/>
              <w:spacing w:before="75" w:after="30"/>
              <w:ind w:left="360"/>
            </w:pPr>
            <w:r>
              <w:rPr>
                <w:color w:val="000000"/>
                <w:sz w:val="20"/>
              </w:rPr>
              <w:t>Research and development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73CF3A46" w14:textId="77777777" w:rsidR="003F4498" w:rsidRDefault="00A90788">
            <w:pPr>
              <w:keepNext/>
              <w:spacing w:before="75" w:after="30"/>
              <w:jc w:val="right"/>
            </w:pPr>
            <w:r>
              <w:rPr>
                <w:color w:val="000000"/>
                <w:sz w:val="20"/>
              </w:rPr>
              <w:t>89.0 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FFB93FA"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68C41A" w14:textId="77777777" w:rsidR="003F4498" w:rsidRDefault="003F4498">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4B37CAAC" w14:textId="77777777" w:rsidR="003F4498" w:rsidRDefault="00A90788">
            <w:pPr>
              <w:keepNext/>
              <w:spacing w:before="75" w:after="30"/>
              <w:jc w:val="right"/>
            </w:pPr>
            <w:r>
              <w:rPr>
                <w:color w:val="000000"/>
                <w:sz w:val="20"/>
              </w:rPr>
              <w:t>71.2 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6670F49"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C24574" w14:textId="77777777" w:rsidR="003F4498" w:rsidRDefault="003F4498">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79EF3620" w14:textId="77777777" w:rsidR="003F4498" w:rsidRDefault="00A90788">
            <w:pPr>
              <w:keepNext/>
              <w:spacing w:before="75" w:after="30"/>
              <w:jc w:val="right"/>
            </w:pPr>
            <w:r>
              <w:rPr>
                <w:color w:val="000000"/>
                <w:sz w:val="20"/>
              </w:rPr>
              <w:t>341.4 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8FC524C"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EE245F" w14:textId="77777777" w:rsidR="003F4498" w:rsidRDefault="003F4498">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74F62687" w14:textId="77777777" w:rsidR="003F4498" w:rsidRDefault="00A90788">
            <w:pPr>
              <w:keepNext/>
              <w:spacing w:before="75" w:after="30"/>
              <w:jc w:val="right"/>
            </w:pPr>
            <w:r>
              <w:rPr>
                <w:color w:val="000000"/>
                <w:sz w:val="20"/>
              </w:rPr>
              <w:t>277.1 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230F6F7" w14:textId="77777777" w:rsidR="003F4498" w:rsidRDefault="003F4498">
            <w:pPr>
              <w:keepNext/>
              <w:spacing w:before="75" w:after="30"/>
              <w:jc w:val="right"/>
            </w:pPr>
          </w:p>
        </w:tc>
      </w:tr>
      <w:tr w:rsidR="003F4498" w14:paraId="339B0E41"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680F44E3" w14:textId="77777777" w:rsidR="003F4498" w:rsidRDefault="00A90788">
            <w:pPr>
              <w:keepNext/>
              <w:spacing w:before="75" w:after="30"/>
              <w:ind w:left="360"/>
            </w:pPr>
            <w:r>
              <w:rPr>
                <w:color w:val="000000"/>
                <w:sz w:val="20"/>
              </w:rPr>
              <w:t>Sales and marketing</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2CD29A3F" w14:textId="77777777" w:rsidR="003F4498" w:rsidRDefault="00A90788">
            <w:pPr>
              <w:keepNext/>
              <w:spacing w:before="75" w:after="30"/>
              <w:jc w:val="right"/>
            </w:pPr>
            <w:r>
              <w:rPr>
                <w:color w:val="000000"/>
                <w:sz w:val="20"/>
              </w:rPr>
              <w:t>291.4 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6743E4D"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86DA86" w14:textId="77777777" w:rsidR="003F4498" w:rsidRDefault="003F4498">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547A3C9E" w14:textId="77777777" w:rsidR="003F4498" w:rsidRDefault="00A90788">
            <w:pPr>
              <w:keepNext/>
              <w:spacing w:before="75" w:after="30"/>
              <w:jc w:val="right"/>
            </w:pPr>
            <w:r>
              <w:rPr>
                <w:color w:val="000000"/>
                <w:sz w:val="20"/>
              </w:rPr>
              <w:t>257.1 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0744F7D"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1A634D" w14:textId="77777777" w:rsidR="003F4498" w:rsidRDefault="003F4498">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4460423C" w14:textId="77777777" w:rsidR="003F4498" w:rsidRDefault="00A90788">
            <w:pPr>
              <w:keepNext/>
              <w:spacing w:before="75" w:after="30"/>
              <w:jc w:val="right"/>
            </w:pPr>
            <w:r>
              <w:rPr>
                <w:color w:val="000000"/>
                <w:sz w:val="20"/>
              </w:rPr>
              <w:t>1,071.9 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BD9D9A7"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7FBE0D" w14:textId="77777777" w:rsidR="003F4498" w:rsidRDefault="003F4498">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52AABF28" w14:textId="77777777" w:rsidR="003F4498" w:rsidRDefault="00A90788">
            <w:pPr>
              <w:keepNext/>
              <w:spacing w:before="75" w:after="30"/>
              <w:jc w:val="right"/>
            </w:pPr>
            <w:r>
              <w:rPr>
                <w:color w:val="000000"/>
                <w:sz w:val="20"/>
              </w:rPr>
              <w:t>926.9 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B74317A" w14:textId="77777777" w:rsidR="003F4498" w:rsidRDefault="003F4498">
            <w:pPr>
              <w:keepNext/>
              <w:spacing w:before="75" w:after="30"/>
              <w:jc w:val="right"/>
            </w:pPr>
          </w:p>
        </w:tc>
      </w:tr>
      <w:tr w:rsidR="003F4498" w14:paraId="2D204F62"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5E7EB40B" w14:textId="77777777" w:rsidR="003F4498" w:rsidRDefault="00A90788">
            <w:pPr>
              <w:keepNext/>
              <w:spacing w:before="75" w:after="30"/>
              <w:ind w:left="360"/>
            </w:pPr>
            <w:r>
              <w:rPr>
                <w:color w:val="000000"/>
                <w:sz w:val="20"/>
              </w:rPr>
              <w:t>General and administrative</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3DCE016F" w14:textId="77777777" w:rsidR="003F4498" w:rsidRDefault="00A90788">
            <w:pPr>
              <w:keepNext/>
              <w:spacing w:before="75" w:after="30"/>
              <w:jc w:val="right"/>
            </w:pPr>
            <w:r>
              <w:rPr>
                <w:color w:val="000000"/>
                <w:sz w:val="20"/>
              </w:rPr>
              <w:t>32.4 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319C755"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00D0B6" w14:textId="77777777" w:rsidR="003F4498" w:rsidRDefault="003F4498">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4D539EDF" w14:textId="77777777" w:rsidR="003F4498" w:rsidRDefault="00A90788">
            <w:pPr>
              <w:keepNext/>
              <w:spacing w:before="75" w:after="30"/>
              <w:jc w:val="right"/>
            </w:pPr>
            <w:r>
              <w:rPr>
                <w:color w:val="000000"/>
                <w:sz w:val="20"/>
              </w:rPr>
              <w:t>27.2 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C02B92A"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86462B" w14:textId="77777777" w:rsidR="003F4498" w:rsidRDefault="003F4498">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4D3EA527" w14:textId="77777777" w:rsidR="003F4498" w:rsidRDefault="00A90788">
            <w:pPr>
              <w:keepNext/>
              <w:spacing w:before="75" w:after="30"/>
              <w:jc w:val="right"/>
            </w:pPr>
            <w:r>
              <w:rPr>
                <w:color w:val="000000"/>
                <w:sz w:val="20"/>
              </w:rPr>
              <w:t>119.5 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752B895"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B803027" w14:textId="77777777" w:rsidR="003F4498" w:rsidRDefault="003F4498">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FC4241B" w14:textId="77777777" w:rsidR="003F4498" w:rsidRDefault="00A90788">
            <w:pPr>
              <w:keepNext/>
              <w:spacing w:before="75" w:after="30"/>
              <w:jc w:val="right"/>
            </w:pPr>
            <w:r>
              <w:rPr>
                <w:color w:val="000000"/>
                <w:sz w:val="20"/>
              </w:rPr>
              <w:t>102.1 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2A9F4C7" w14:textId="77777777" w:rsidR="003F4498" w:rsidRDefault="003F4498">
            <w:pPr>
              <w:keepNext/>
              <w:spacing w:before="75" w:after="30"/>
              <w:jc w:val="right"/>
            </w:pPr>
          </w:p>
        </w:tc>
      </w:tr>
      <w:tr w:rsidR="003F4498" w14:paraId="2058020E"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4B923B51" w14:textId="77777777" w:rsidR="003F4498" w:rsidRDefault="00A90788">
            <w:pPr>
              <w:keepNext/>
              <w:spacing w:before="75" w:after="30"/>
              <w:ind w:left="360"/>
            </w:pPr>
            <w:r>
              <w:rPr>
                <w:color w:val="000000"/>
                <w:sz w:val="20"/>
              </w:rPr>
              <w:t>Gain on intellectual property matter</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3FA6EAA" w14:textId="77777777" w:rsidR="003F4498" w:rsidRDefault="00A90788">
            <w:pPr>
              <w:keepNext/>
              <w:spacing w:before="75" w:after="30"/>
              <w:jc w:val="right"/>
            </w:pPr>
            <w:r>
              <w:rPr>
                <w:color w:val="000000"/>
                <w:sz w:val="20"/>
              </w:rPr>
              <w:t>(1.2)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9743A3C"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EAFEC3" w14:textId="77777777" w:rsidR="003F4498" w:rsidRDefault="003F4498">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43C7F7E" w14:textId="77777777" w:rsidR="003F4498" w:rsidRDefault="00A90788">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FF3D9F8"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FDC6BB"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ABD99ED" w14:textId="77777777" w:rsidR="003F4498" w:rsidRDefault="00A90788">
            <w:pPr>
              <w:keepNext/>
              <w:spacing w:before="75" w:after="30"/>
              <w:jc w:val="right"/>
            </w:pPr>
            <w:r>
              <w:rPr>
                <w:color w:val="000000"/>
                <w:sz w:val="20"/>
              </w:rPr>
              <w:t>(40.2)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6C6D019"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2A0EFF"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C8E2427" w14:textId="77777777" w:rsidR="003F4498" w:rsidRDefault="00A90788">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40DCC01" w14:textId="77777777" w:rsidR="003F4498" w:rsidRDefault="003F4498">
            <w:pPr>
              <w:keepNext/>
              <w:spacing w:before="75" w:after="30"/>
              <w:jc w:val="right"/>
            </w:pPr>
          </w:p>
        </w:tc>
      </w:tr>
      <w:tr w:rsidR="003F4498" w14:paraId="2FA38884"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6B5395B2" w14:textId="77777777" w:rsidR="003F4498" w:rsidRDefault="00A90788">
            <w:pPr>
              <w:keepNext/>
              <w:spacing w:before="75" w:after="30"/>
              <w:ind w:left="585"/>
            </w:pPr>
            <w:r>
              <w:rPr>
                <w:color w:val="000000"/>
                <w:sz w:val="20"/>
              </w:rPr>
              <w:t>Total operating expenses</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00A2B9DD" w14:textId="77777777" w:rsidR="003F4498" w:rsidRDefault="00A90788">
            <w:pPr>
              <w:keepNext/>
              <w:spacing w:before="55" w:after="30"/>
              <w:jc w:val="right"/>
            </w:pPr>
            <w:r>
              <w:rPr>
                <w:color w:val="000000"/>
                <w:sz w:val="20"/>
              </w:rPr>
              <w:t>411.6 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DC111D9"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D6A55F" w14:textId="77777777" w:rsidR="003F4498" w:rsidRDefault="003F4498">
            <w:pPr>
              <w:keepNext/>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F931656" w14:textId="77777777" w:rsidR="003F4498" w:rsidRDefault="00A90788">
            <w:pPr>
              <w:keepNext/>
              <w:spacing w:before="55" w:after="30"/>
              <w:jc w:val="right"/>
            </w:pPr>
            <w:r>
              <w:rPr>
                <w:color w:val="000000"/>
                <w:sz w:val="20"/>
              </w:rPr>
              <w:t>355.5 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8CCBF94"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DE5E8B" w14:textId="77777777" w:rsidR="003F4498" w:rsidRDefault="003F4498">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6ADDC2CD" w14:textId="77777777" w:rsidR="003F4498" w:rsidRDefault="00A90788">
            <w:pPr>
              <w:keepNext/>
              <w:spacing w:before="55" w:after="30"/>
              <w:jc w:val="right"/>
            </w:pPr>
            <w:r>
              <w:rPr>
                <w:color w:val="000000"/>
                <w:sz w:val="20"/>
              </w:rPr>
              <w:t>1,492.6 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887172D"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90F7FB" w14:textId="77777777" w:rsidR="003F4498" w:rsidRDefault="003F4498">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18641D5" w14:textId="77777777" w:rsidR="003F4498" w:rsidRDefault="00A90788">
            <w:pPr>
              <w:keepNext/>
              <w:spacing w:before="55" w:after="30"/>
              <w:jc w:val="right"/>
            </w:pPr>
            <w:r>
              <w:rPr>
                <w:color w:val="000000"/>
                <w:sz w:val="20"/>
              </w:rPr>
              <w:t>1,306.1 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6986690" w14:textId="77777777" w:rsidR="003F4498" w:rsidRDefault="003F4498">
            <w:pPr>
              <w:keepNext/>
              <w:spacing w:before="55" w:after="30"/>
              <w:jc w:val="right"/>
            </w:pPr>
          </w:p>
        </w:tc>
      </w:tr>
      <w:tr w:rsidR="003F4498" w14:paraId="56A97F44"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2FB90081" w14:textId="77777777" w:rsidR="003F4498" w:rsidRDefault="00A90788">
            <w:pPr>
              <w:keepNext/>
              <w:spacing w:before="75" w:after="30"/>
            </w:pPr>
            <w:r>
              <w:rPr>
                <w:color w:val="000000"/>
                <w:sz w:val="20"/>
              </w:rPr>
              <w:t xml:space="preserve">OPERATING INCOME </w:t>
            </w: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67551274" w14:textId="77777777" w:rsidR="003F4498" w:rsidRDefault="00A90788">
            <w:pPr>
              <w:keepNext/>
              <w:spacing w:before="55" w:after="30"/>
              <w:jc w:val="right"/>
            </w:pPr>
            <w:r>
              <w:rPr>
                <w:color w:val="000000"/>
                <w:sz w:val="20"/>
              </w:rPr>
              <w:t>169.4 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5B1D1D1"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CB2B6C" w14:textId="77777777" w:rsidR="003F4498" w:rsidRDefault="003F4498">
            <w:pPr>
              <w:keepNext/>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7A4DA8AB" w14:textId="77777777" w:rsidR="003F4498" w:rsidRDefault="00A90788">
            <w:pPr>
              <w:keepNext/>
              <w:spacing w:before="55" w:after="30"/>
              <w:jc w:val="right"/>
            </w:pPr>
            <w:r>
              <w:rPr>
                <w:color w:val="000000"/>
                <w:sz w:val="20"/>
              </w:rPr>
              <w:t>122.1 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04CB18B"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43DA11" w14:textId="77777777" w:rsidR="003F4498" w:rsidRDefault="003F4498">
            <w:pPr>
              <w:keepNext/>
            </w:pP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6B119D55" w14:textId="77777777" w:rsidR="003F4498" w:rsidRDefault="00A90788">
            <w:pPr>
              <w:keepNext/>
              <w:spacing w:before="55" w:after="30"/>
              <w:jc w:val="right"/>
            </w:pPr>
            <w:r>
              <w:rPr>
                <w:color w:val="000000"/>
                <w:sz w:val="20"/>
              </w:rPr>
              <w:t>531.8 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DCDB9F2"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633A53" w14:textId="77777777" w:rsidR="003F4498" w:rsidRDefault="003F4498">
            <w:pPr>
              <w:keepNext/>
            </w:pP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11C171F3" w14:textId="77777777" w:rsidR="003F4498" w:rsidRDefault="00A90788">
            <w:pPr>
              <w:keepNext/>
              <w:spacing w:before="55" w:after="30"/>
              <w:jc w:val="right"/>
            </w:pPr>
            <w:r>
              <w:rPr>
                <w:color w:val="000000"/>
                <w:sz w:val="20"/>
              </w:rPr>
              <w:t>351.0 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53D2B0E" w14:textId="77777777" w:rsidR="003F4498" w:rsidRDefault="003F4498">
            <w:pPr>
              <w:keepNext/>
              <w:spacing w:before="55" w:after="30"/>
              <w:jc w:val="right"/>
            </w:pPr>
          </w:p>
        </w:tc>
      </w:tr>
      <w:tr w:rsidR="003F4498" w14:paraId="3B5F5481"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3F8442F9" w14:textId="77777777" w:rsidR="003F4498" w:rsidRDefault="00A90788">
            <w:pPr>
              <w:keepNext/>
              <w:spacing w:before="75" w:after="30"/>
            </w:pPr>
            <w:r>
              <w:rPr>
                <w:color w:val="000000"/>
                <w:sz w:val="20"/>
              </w:rPr>
              <w:t>INTEREST INCOME—NET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500A1A2E" w14:textId="77777777" w:rsidR="003F4498" w:rsidRDefault="00A90788">
            <w:pPr>
              <w:keepNext/>
              <w:spacing w:before="75" w:after="30"/>
              <w:jc w:val="right"/>
            </w:pPr>
            <w:r>
              <w:rPr>
                <w:color w:val="000000"/>
                <w:sz w:val="20"/>
              </w:rPr>
              <w:t>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E9B3ABE"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29514F" w14:textId="77777777" w:rsidR="003F4498" w:rsidRDefault="003F4498">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102105B7" w14:textId="77777777" w:rsidR="003F4498" w:rsidRDefault="00A90788">
            <w:pPr>
              <w:keepNext/>
              <w:spacing w:before="75" w:after="30"/>
              <w:jc w:val="right"/>
            </w:pPr>
            <w:r>
              <w:rPr>
                <w:color w:val="000000"/>
                <w:sz w:val="20"/>
              </w:rPr>
              <w:t>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DE4F1EE"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2216FF" w14:textId="77777777" w:rsidR="003F4498" w:rsidRDefault="003F4498">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DD8FED1" w14:textId="77777777" w:rsidR="003F4498" w:rsidRDefault="00A90788">
            <w:pPr>
              <w:keepNext/>
              <w:spacing w:before="75" w:after="30"/>
              <w:jc w:val="right"/>
            </w:pPr>
            <w:r>
              <w:rPr>
                <w:color w:val="000000"/>
                <w:sz w:val="20"/>
              </w:rPr>
              <w:t>17.7 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8B46B05"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7A8984" w14:textId="77777777" w:rsidR="003F4498" w:rsidRDefault="003F4498">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13FA599C" w14:textId="77777777" w:rsidR="003F4498" w:rsidRDefault="00A90788">
            <w:pPr>
              <w:keepNext/>
              <w:spacing w:before="75" w:after="30"/>
              <w:jc w:val="right"/>
            </w:pPr>
            <w:r>
              <w:rPr>
                <w:color w:val="000000"/>
                <w:sz w:val="20"/>
              </w:rPr>
              <w:t>42.5 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64C622F" w14:textId="77777777" w:rsidR="003F4498" w:rsidRDefault="003F4498">
            <w:pPr>
              <w:keepNext/>
              <w:spacing w:before="75" w:after="30"/>
              <w:jc w:val="right"/>
            </w:pPr>
          </w:p>
        </w:tc>
      </w:tr>
      <w:tr w:rsidR="003F4498" w14:paraId="3CD26C7A"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5339B1E1" w14:textId="77777777" w:rsidR="003F4498" w:rsidRDefault="00A90788">
            <w:pPr>
              <w:keepNext/>
              <w:spacing w:before="75" w:after="30"/>
            </w:pPr>
            <w:r>
              <w:rPr>
                <w:color w:val="000000"/>
                <w:sz w:val="20"/>
              </w:rPr>
              <w:t>OTHER INCOME (EXPENSE)—NET</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769D67C" w14:textId="77777777" w:rsidR="003F4498" w:rsidRDefault="00A90788">
            <w:pPr>
              <w:keepNext/>
              <w:spacing w:before="75" w:after="30"/>
              <w:jc w:val="right"/>
            </w:pPr>
            <w:r>
              <w:rPr>
                <w:color w:val="000000"/>
                <w:sz w:val="20"/>
              </w:rPr>
              <w:t>0.3 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2563367"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FEE6E3" w14:textId="77777777" w:rsidR="003F4498" w:rsidRDefault="003F4498">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0EC5E98" w14:textId="77777777" w:rsidR="003F4498" w:rsidRDefault="00A90788">
            <w:pPr>
              <w:keepNext/>
              <w:spacing w:before="75" w:after="30"/>
              <w:jc w:val="right"/>
            </w:pPr>
            <w:r>
              <w:rPr>
                <w:color w:val="000000"/>
                <w:sz w:val="20"/>
              </w:rPr>
              <w:t>(0.6)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6F5B5AC"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477A20"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024F404" w14:textId="77777777" w:rsidR="003F4498" w:rsidRDefault="00A90788">
            <w:pPr>
              <w:keepNext/>
              <w:spacing w:before="75" w:after="30"/>
              <w:jc w:val="right"/>
            </w:pPr>
            <w:r>
              <w:rPr>
                <w:color w:val="000000"/>
                <w:sz w:val="20"/>
              </w:rPr>
              <w:t>(7.8)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4B227DA"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AFAD56"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B999F99" w14:textId="77777777" w:rsidR="003F4498" w:rsidRDefault="00A90788">
            <w:pPr>
              <w:keepNext/>
              <w:spacing w:before="75" w:after="30"/>
              <w:jc w:val="right"/>
            </w:pPr>
            <w:r>
              <w:rPr>
                <w:color w:val="000000"/>
                <w:sz w:val="20"/>
              </w:rPr>
              <w:t>(7.5)</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F8C84E1" w14:textId="77777777" w:rsidR="003F4498" w:rsidRDefault="003F4498">
            <w:pPr>
              <w:keepNext/>
              <w:spacing w:before="75" w:after="30"/>
              <w:jc w:val="right"/>
            </w:pPr>
          </w:p>
        </w:tc>
      </w:tr>
      <w:tr w:rsidR="003F4498" w14:paraId="5D264F4B"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6F985BC2" w14:textId="77777777" w:rsidR="003F4498" w:rsidRDefault="00A90788">
            <w:pPr>
              <w:keepNext/>
              <w:spacing w:before="75" w:after="30"/>
            </w:pPr>
            <w:r>
              <w:rPr>
                <w:color w:val="000000"/>
                <w:sz w:val="20"/>
              </w:rPr>
              <w:t>INCOME BEFORE INCOME TAXES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430520B4" w14:textId="77777777" w:rsidR="003F4498" w:rsidRDefault="00A90788">
            <w:pPr>
              <w:keepNext/>
              <w:spacing w:before="55" w:after="30"/>
              <w:jc w:val="right"/>
            </w:pPr>
            <w:r>
              <w:rPr>
                <w:color w:val="000000"/>
                <w:sz w:val="20"/>
              </w:rPr>
              <w:t>171.7 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6C483B7"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FDD3A8" w14:textId="77777777" w:rsidR="003F4498" w:rsidRDefault="003F4498">
            <w:pPr>
              <w:keepNext/>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43AD9525" w14:textId="77777777" w:rsidR="003F4498" w:rsidRDefault="00A90788">
            <w:pPr>
              <w:keepNext/>
              <w:spacing w:before="55" w:after="30"/>
              <w:jc w:val="right"/>
            </w:pPr>
            <w:r>
              <w:rPr>
                <w:color w:val="000000"/>
                <w:sz w:val="20"/>
              </w:rPr>
              <w:t>131.4 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53F805C"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2C340C" w14:textId="77777777" w:rsidR="003F4498" w:rsidRDefault="003F4498">
            <w:pPr>
              <w:keepNext/>
            </w:pPr>
          </w:p>
        </w:tc>
        <w:tc>
          <w:tcPr>
            <w:tcW w:w="11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5AD5761E" w14:textId="77777777" w:rsidR="003F4498" w:rsidRDefault="00A90788">
            <w:pPr>
              <w:keepNext/>
              <w:spacing w:before="55" w:after="30"/>
              <w:jc w:val="right"/>
            </w:pPr>
            <w:r>
              <w:rPr>
                <w:color w:val="000000"/>
                <w:sz w:val="20"/>
              </w:rPr>
              <w:t>541.7 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A213ADC"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DBDB37" w14:textId="77777777" w:rsidR="003F4498" w:rsidRDefault="003F4498">
            <w:pPr>
              <w:keepNext/>
            </w:pPr>
          </w:p>
        </w:tc>
        <w:tc>
          <w:tcPr>
            <w:tcW w:w="11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4875D041" w14:textId="77777777" w:rsidR="003F4498" w:rsidRDefault="00A90788">
            <w:pPr>
              <w:keepNext/>
              <w:spacing w:before="55" w:after="30"/>
              <w:jc w:val="right"/>
            </w:pPr>
            <w:r>
              <w:rPr>
                <w:color w:val="000000"/>
                <w:sz w:val="20"/>
              </w:rPr>
              <w:t>386.0 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AC33071" w14:textId="77777777" w:rsidR="003F4498" w:rsidRDefault="003F4498">
            <w:pPr>
              <w:keepNext/>
              <w:spacing w:before="55" w:after="30"/>
              <w:jc w:val="right"/>
            </w:pPr>
          </w:p>
        </w:tc>
      </w:tr>
      <w:tr w:rsidR="003F4498" w14:paraId="5F031CA7" w14:textId="77777777">
        <w:trPr>
          <w:cantSplit/>
          <w:trHeight w:hRule="exact" w:val="300"/>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21BCCDD5" w14:textId="77777777" w:rsidR="003F4498" w:rsidRDefault="00A90788">
            <w:pPr>
              <w:keepNext/>
              <w:spacing w:before="75" w:after="30"/>
            </w:pPr>
            <w:r>
              <w:rPr>
                <w:color w:val="000000"/>
                <w:sz w:val="20"/>
              </w:rPr>
              <w:t>PROVISION FOR INCOME TAXES</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3313932" w14:textId="77777777" w:rsidR="003F4498" w:rsidRDefault="00A90788">
            <w:pPr>
              <w:keepNext/>
              <w:spacing w:before="75" w:after="30"/>
              <w:jc w:val="right"/>
            </w:pPr>
            <w:r>
              <w:rPr>
                <w:color w:val="000000"/>
                <w:sz w:val="20"/>
              </w:rPr>
              <w:t>25.0 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26C24AD"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C8082B" w14:textId="77777777" w:rsidR="003F4498" w:rsidRDefault="003F4498">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9EE3542" w14:textId="77777777" w:rsidR="003F4498" w:rsidRDefault="00A90788">
            <w:pPr>
              <w:keepNext/>
              <w:spacing w:before="75" w:after="30"/>
              <w:jc w:val="right"/>
            </w:pPr>
            <w:r>
              <w:rPr>
                <w:color w:val="000000"/>
                <w:sz w:val="20"/>
              </w:rPr>
              <w:t>13.2 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27E046F"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7CFFE6"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171F1C6" w14:textId="77777777" w:rsidR="003F4498" w:rsidRDefault="00A90788">
            <w:pPr>
              <w:keepNext/>
              <w:spacing w:before="75" w:after="30"/>
              <w:jc w:val="right"/>
            </w:pPr>
            <w:r>
              <w:rPr>
                <w:color w:val="000000"/>
                <w:sz w:val="20"/>
              </w:rPr>
              <w:t>53.2 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B54FCE4"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768700" w14:textId="77777777" w:rsidR="003F4498" w:rsidRDefault="003F4498">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C25F27A" w14:textId="77777777" w:rsidR="003F4498" w:rsidRDefault="00A90788">
            <w:pPr>
              <w:keepNext/>
              <w:spacing w:before="75" w:after="30"/>
              <w:jc w:val="right"/>
            </w:pPr>
            <w:r>
              <w:rPr>
                <w:color w:val="000000"/>
                <w:sz w:val="20"/>
              </w:rPr>
              <w:t>54.3 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6D40651" w14:textId="77777777" w:rsidR="003F4498" w:rsidRDefault="003F4498">
            <w:pPr>
              <w:keepNext/>
              <w:spacing w:before="75" w:after="30"/>
              <w:jc w:val="right"/>
            </w:pPr>
          </w:p>
        </w:tc>
      </w:tr>
      <w:tr w:rsidR="003F4498" w14:paraId="6A7AB812"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156F1A99" w14:textId="77777777" w:rsidR="003F4498" w:rsidRDefault="00A90788">
            <w:pPr>
              <w:keepNext/>
              <w:spacing w:before="75" w:after="30"/>
            </w:pPr>
            <w:r>
              <w:rPr>
                <w:color w:val="000000"/>
                <w:sz w:val="20"/>
              </w:rPr>
              <w:t>NET INCOME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25C1095" w14:textId="77777777" w:rsidR="003F4498" w:rsidRDefault="00A90788">
            <w:pPr>
              <w:keepNext/>
              <w:spacing w:before="55" w:after="30"/>
            </w:pPr>
            <w:r>
              <w:rPr>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0F51C65" w14:textId="77777777" w:rsidR="003F4498" w:rsidRDefault="00A90788">
            <w:pPr>
              <w:keepNext/>
              <w:spacing w:before="55" w:after="30"/>
              <w:jc w:val="right"/>
            </w:pPr>
            <w:r>
              <w:rPr>
                <w:color w:val="000000"/>
                <w:sz w:val="20"/>
              </w:rPr>
              <w:t>146.7 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64EF042"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63FC34"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FCF2F3A" w14:textId="77777777" w:rsidR="003F4498" w:rsidRDefault="00A90788">
            <w:pPr>
              <w:keepNext/>
              <w:spacing w:before="55" w:after="30"/>
            </w:pPr>
            <w:r>
              <w:rPr>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A53CA30" w14:textId="77777777" w:rsidR="003F4498" w:rsidRDefault="00A90788">
            <w:pPr>
              <w:keepNext/>
              <w:spacing w:before="55" w:after="30"/>
              <w:jc w:val="right"/>
            </w:pPr>
            <w:r>
              <w:rPr>
                <w:color w:val="000000"/>
                <w:sz w:val="20"/>
              </w:rPr>
              <w:t>118.2 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B809908"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7BC304"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9F534B7" w14:textId="77777777" w:rsidR="003F4498" w:rsidRDefault="00A90788">
            <w:pPr>
              <w:keepNext/>
              <w:spacing w:before="55" w:after="30"/>
            </w:pPr>
            <w:r>
              <w:rPr>
                <w:color w:val="000000"/>
                <w:sz w:val="20"/>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EF41629" w14:textId="77777777" w:rsidR="003F4498" w:rsidRDefault="00A90788">
            <w:pPr>
              <w:keepNext/>
              <w:spacing w:before="55" w:after="30"/>
              <w:jc w:val="right"/>
            </w:pPr>
            <w:r>
              <w:rPr>
                <w:color w:val="000000"/>
                <w:sz w:val="20"/>
              </w:rPr>
              <w:t>488.5 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5032040"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F90CBF"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046AB888" w14:textId="77777777" w:rsidR="003F4498" w:rsidRDefault="00A90788">
            <w:pPr>
              <w:keepNext/>
              <w:spacing w:before="55" w:after="30"/>
            </w:pPr>
            <w:r>
              <w:rPr>
                <w:color w:val="000000"/>
                <w:sz w:val="20"/>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D35F547" w14:textId="77777777" w:rsidR="003F4498" w:rsidRDefault="00A90788">
            <w:pPr>
              <w:keepNext/>
              <w:spacing w:before="55" w:after="30"/>
              <w:jc w:val="right"/>
            </w:pPr>
            <w:r>
              <w:rPr>
                <w:color w:val="000000"/>
                <w:sz w:val="20"/>
              </w:rPr>
              <w:t>331.7 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A0F5D49" w14:textId="77777777" w:rsidR="003F4498" w:rsidRDefault="003F4498">
            <w:pPr>
              <w:keepNext/>
              <w:spacing w:before="55" w:after="30"/>
              <w:jc w:val="right"/>
            </w:pPr>
          </w:p>
        </w:tc>
      </w:tr>
      <w:tr w:rsidR="003F4498" w14:paraId="313E4663" w14:textId="77777777">
        <w:trPr>
          <w:cantSplit/>
          <w:trHeight w:hRule="exact" w:val="300"/>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00F482BA" w14:textId="77777777" w:rsidR="003F4498" w:rsidRDefault="00A90788">
            <w:pPr>
              <w:keepNext/>
              <w:spacing w:before="75" w:after="30"/>
            </w:pPr>
            <w:r>
              <w:rPr>
                <w:color w:val="000000"/>
                <w:sz w:val="20"/>
              </w:rPr>
              <w:t>Net income per share:</w:t>
            </w: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3F47DA89"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977FC1" w14:textId="77777777" w:rsidR="003F4498" w:rsidRDefault="003F4498">
            <w:pPr>
              <w:keepNext/>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490CE714"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09CD8D" w14:textId="77777777" w:rsidR="003F4498" w:rsidRDefault="003F4498">
            <w:pPr>
              <w:keepNext/>
            </w:pPr>
          </w:p>
        </w:tc>
        <w:tc>
          <w:tcPr>
            <w:tcW w:w="12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061F4130"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14934B" w14:textId="77777777" w:rsidR="003F4498" w:rsidRDefault="003F4498">
            <w:pPr>
              <w:keepNext/>
            </w:pPr>
          </w:p>
        </w:tc>
        <w:tc>
          <w:tcPr>
            <w:tcW w:w="12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4863A1AD" w14:textId="77777777" w:rsidR="003F4498" w:rsidRDefault="003F4498">
            <w:pPr>
              <w:keepNext/>
            </w:pPr>
          </w:p>
        </w:tc>
      </w:tr>
      <w:tr w:rsidR="003F4498" w14:paraId="22988698" w14:textId="77777777">
        <w:trPr>
          <w:cantSplit/>
          <w:trHeight w:hRule="exact" w:val="300"/>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3D1F03F4" w14:textId="77777777" w:rsidR="003F4498" w:rsidRDefault="00A90788">
            <w:pPr>
              <w:keepNext/>
              <w:spacing w:before="75" w:after="30"/>
              <w:ind w:left="360"/>
            </w:pPr>
            <w:r>
              <w:rPr>
                <w:color w:val="000000"/>
                <w:sz w:val="20"/>
              </w:rPr>
              <w:t>Basic</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69E7861F" w14:textId="77777777" w:rsidR="003F4498" w:rsidRDefault="00A90788">
            <w:pPr>
              <w:keepNext/>
              <w:spacing w:before="75" w:after="30"/>
            </w:pPr>
            <w:r>
              <w:rPr>
                <w:color w:val="000000"/>
                <w:sz w:val="20"/>
              </w:rPr>
              <w:t>$</w:t>
            </w:r>
          </w:p>
        </w:tc>
        <w:tc>
          <w:tcPr>
            <w:tcW w:w="10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72115556" w14:textId="77777777" w:rsidR="003F4498" w:rsidRDefault="00A90788">
            <w:pPr>
              <w:keepNext/>
              <w:spacing w:before="75" w:after="30"/>
              <w:jc w:val="right"/>
            </w:pPr>
            <w:r>
              <w:rPr>
                <w:color w:val="000000"/>
                <w:sz w:val="20"/>
              </w:rPr>
              <w:t>0.90 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1E03AAAC"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DB747A7" w14:textId="77777777" w:rsidR="003F4498" w:rsidRDefault="003F4498">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4B4489DD" w14:textId="77777777" w:rsidR="003F4498" w:rsidRDefault="00A90788">
            <w:pPr>
              <w:keepNext/>
              <w:spacing w:before="75" w:after="30"/>
            </w:pPr>
            <w:r>
              <w:rPr>
                <w:color w:val="000000"/>
                <w:sz w:val="20"/>
              </w:rPr>
              <w:t>$</w:t>
            </w:r>
          </w:p>
        </w:tc>
        <w:tc>
          <w:tcPr>
            <w:tcW w:w="10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1F69C5F8" w14:textId="77777777" w:rsidR="003F4498" w:rsidRDefault="00A90788">
            <w:pPr>
              <w:keepNext/>
              <w:spacing w:before="75" w:after="30"/>
              <w:jc w:val="right"/>
            </w:pPr>
            <w:r>
              <w:rPr>
                <w:color w:val="000000"/>
                <w:sz w:val="20"/>
              </w:rPr>
              <w:t>0.69 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37DC770A"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CF7A19" w14:textId="77777777" w:rsidR="003F4498" w:rsidRDefault="003F4498">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758BE526" w14:textId="77777777" w:rsidR="003F4498" w:rsidRDefault="00A90788">
            <w:pPr>
              <w:keepNext/>
              <w:spacing w:before="75" w:after="30"/>
            </w:pPr>
            <w:r>
              <w:rPr>
                <w:color w:val="000000"/>
                <w:sz w:val="20"/>
              </w:rPr>
              <w:t>$</w:t>
            </w:r>
          </w:p>
        </w:tc>
        <w:tc>
          <w:tcPr>
            <w:tcW w:w="98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12E2DB5E" w14:textId="77777777" w:rsidR="003F4498" w:rsidRDefault="00A90788">
            <w:pPr>
              <w:keepNext/>
              <w:spacing w:before="75" w:after="30"/>
              <w:jc w:val="right"/>
            </w:pPr>
            <w:r>
              <w:rPr>
                <w:color w:val="000000"/>
                <w:sz w:val="20"/>
              </w:rPr>
              <w:t>2.98 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240662AB"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03F278" w14:textId="77777777" w:rsidR="003F4498" w:rsidRDefault="003F4498">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4679AFD9" w14:textId="77777777" w:rsidR="003F4498" w:rsidRDefault="00A90788">
            <w:pPr>
              <w:keepNext/>
              <w:spacing w:before="75" w:after="30"/>
            </w:pPr>
            <w:r>
              <w:rPr>
                <w:color w:val="000000"/>
                <w:sz w:val="20"/>
              </w:rPr>
              <w:t>$</w:t>
            </w:r>
          </w:p>
        </w:tc>
        <w:tc>
          <w:tcPr>
            <w:tcW w:w="98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455BF1E5" w14:textId="77777777" w:rsidR="003F4498" w:rsidRDefault="00A90788">
            <w:pPr>
              <w:keepNext/>
              <w:spacing w:before="75" w:after="30"/>
              <w:jc w:val="right"/>
            </w:pPr>
            <w:r>
              <w:rPr>
                <w:color w:val="000000"/>
                <w:sz w:val="20"/>
              </w:rPr>
              <w:t>1.94 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35BC4C4" w14:textId="77777777" w:rsidR="003F4498" w:rsidRDefault="003F4498">
            <w:pPr>
              <w:keepNext/>
              <w:spacing w:before="75" w:after="30"/>
              <w:jc w:val="right"/>
            </w:pPr>
          </w:p>
        </w:tc>
      </w:tr>
      <w:tr w:rsidR="003F4498" w14:paraId="5E404CD4" w14:textId="77777777" w:rsidTr="00A90788">
        <w:trPr>
          <w:cantSplit/>
          <w:trHeight w:hRule="exact" w:val="438"/>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50704491" w14:textId="77777777" w:rsidR="003F4498" w:rsidRDefault="00A90788">
            <w:pPr>
              <w:keepNext/>
              <w:spacing w:before="75" w:after="30"/>
              <w:ind w:left="360"/>
            </w:pPr>
            <w:r>
              <w:rPr>
                <w:color w:val="000000"/>
                <w:sz w:val="20"/>
              </w:rPr>
              <w:t>Diluted</w:t>
            </w: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E035639" w14:textId="77777777" w:rsidR="003F4498" w:rsidRDefault="00A90788">
            <w:pPr>
              <w:keepNext/>
              <w:spacing w:before="55" w:after="30"/>
            </w:pPr>
            <w:r>
              <w:rPr>
                <w:color w:val="000000"/>
                <w:sz w:val="20"/>
              </w:rPr>
              <w:t>$</w:t>
            </w:r>
          </w:p>
        </w:tc>
        <w:tc>
          <w:tcPr>
            <w:tcW w:w="104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10FC9F5" w14:textId="77777777" w:rsidR="003F4498" w:rsidRDefault="00A90788">
            <w:pPr>
              <w:keepNext/>
              <w:spacing w:before="55" w:after="30"/>
              <w:jc w:val="right"/>
            </w:pPr>
            <w:r>
              <w:rPr>
                <w:color w:val="000000"/>
                <w:sz w:val="20"/>
              </w:rPr>
              <w:t>0.89 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5C3A295"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40FB28" w14:textId="77777777" w:rsidR="003F4498" w:rsidRDefault="003F4498">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0EFFCE2" w14:textId="77777777" w:rsidR="003F4498" w:rsidRDefault="00A90788">
            <w:pPr>
              <w:keepNext/>
              <w:spacing w:before="55" w:after="30"/>
            </w:pPr>
            <w:r>
              <w:rPr>
                <w:color w:val="000000"/>
                <w:sz w:val="20"/>
              </w:rPr>
              <w:t>$</w:t>
            </w:r>
          </w:p>
        </w:tc>
        <w:tc>
          <w:tcPr>
            <w:tcW w:w="104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1C52B4B" w14:textId="77777777" w:rsidR="003F4498" w:rsidRDefault="00A90788">
            <w:pPr>
              <w:keepNext/>
              <w:spacing w:before="55" w:after="30"/>
              <w:jc w:val="right"/>
            </w:pPr>
            <w:r>
              <w:rPr>
                <w:color w:val="000000"/>
                <w:sz w:val="20"/>
              </w:rPr>
              <w:t>0.67 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41A90C6"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30BC13" w14:textId="77777777" w:rsidR="003F4498" w:rsidRDefault="003F4498">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AABDB98" w14:textId="77777777" w:rsidR="003F4498" w:rsidRDefault="00A90788">
            <w:pPr>
              <w:keepNext/>
              <w:spacing w:before="55" w:after="30"/>
            </w:pPr>
            <w:r>
              <w:rPr>
                <w:color w:val="000000"/>
                <w:sz w:val="20"/>
              </w:rPr>
              <w:t>$</w:t>
            </w:r>
          </w:p>
        </w:tc>
        <w:tc>
          <w:tcPr>
            <w:tcW w:w="98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E14115D" w14:textId="77777777" w:rsidR="003F4498" w:rsidRDefault="00A90788">
            <w:pPr>
              <w:keepNext/>
              <w:spacing w:before="55" w:after="30"/>
              <w:jc w:val="right"/>
            </w:pPr>
            <w:r>
              <w:rPr>
                <w:color w:val="000000"/>
                <w:sz w:val="20"/>
              </w:rPr>
              <w:t>2.91 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2EB0A18"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EF2C3C" w14:textId="77777777" w:rsidR="003F4498" w:rsidRDefault="003F4498">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B80DAC2" w14:textId="77777777" w:rsidR="003F4498" w:rsidRDefault="00A90788">
            <w:pPr>
              <w:keepNext/>
              <w:spacing w:before="55" w:after="30"/>
            </w:pPr>
            <w:r>
              <w:rPr>
                <w:color w:val="000000"/>
                <w:sz w:val="20"/>
              </w:rPr>
              <w:t>$</w:t>
            </w:r>
          </w:p>
        </w:tc>
        <w:tc>
          <w:tcPr>
            <w:tcW w:w="98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954F9C0" w14:textId="77777777" w:rsidR="003F4498" w:rsidRDefault="00A90788">
            <w:pPr>
              <w:keepNext/>
              <w:spacing w:before="55" w:after="30"/>
              <w:jc w:val="right"/>
            </w:pPr>
            <w:r>
              <w:rPr>
                <w:color w:val="000000"/>
                <w:sz w:val="20"/>
              </w:rPr>
              <w:t>1.90 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BFE1A35" w14:textId="77777777" w:rsidR="003F4498" w:rsidRDefault="003F4498">
            <w:pPr>
              <w:keepNext/>
              <w:spacing w:before="55" w:after="30"/>
              <w:jc w:val="right"/>
            </w:pPr>
          </w:p>
        </w:tc>
      </w:tr>
      <w:tr w:rsidR="003F4498" w14:paraId="31B6B9C5" w14:textId="77777777" w:rsidTr="00A90788">
        <w:trPr>
          <w:cantSplit/>
          <w:trHeight w:hRule="exact" w:val="447"/>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63D0384E" w14:textId="77777777" w:rsidR="003F4498" w:rsidRDefault="00A90788">
            <w:pPr>
              <w:keepNext/>
              <w:spacing w:before="75" w:after="30"/>
            </w:pPr>
            <w:r>
              <w:rPr>
                <w:color w:val="000000"/>
                <w:sz w:val="20"/>
              </w:rPr>
              <w:t>Weighted-average shares outstanding:</w:t>
            </w: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60CF9A1"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D1618A" w14:textId="77777777" w:rsidR="003F4498" w:rsidRDefault="003F4498">
            <w:pPr>
              <w:keepNext/>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D97D2FC"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85DE18" w14:textId="77777777" w:rsidR="003F4498" w:rsidRDefault="003F4498">
            <w:pPr>
              <w:keepNext/>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2EA622AD"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8D062A" w14:textId="77777777" w:rsidR="003F4498" w:rsidRDefault="003F4498">
            <w:pPr>
              <w:keepNext/>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B323F64" w14:textId="77777777" w:rsidR="003F4498" w:rsidRDefault="003F4498">
            <w:pPr>
              <w:keepNext/>
            </w:pPr>
          </w:p>
        </w:tc>
      </w:tr>
      <w:tr w:rsidR="003F4498" w14:paraId="34A91D64" w14:textId="77777777">
        <w:trPr>
          <w:cantSplit/>
          <w:trHeight w:hRule="exact" w:val="300"/>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4A017742" w14:textId="77777777" w:rsidR="003F4498" w:rsidRDefault="00A90788">
            <w:pPr>
              <w:keepNext/>
              <w:spacing w:before="75" w:after="30"/>
              <w:ind w:left="360"/>
            </w:pPr>
            <w:r>
              <w:rPr>
                <w:color w:val="000000"/>
                <w:sz w:val="20"/>
              </w:rPr>
              <w:t>Basic</w:t>
            </w:r>
          </w:p>
        </w:tc>
        <w:tc>
          <w:tcPr>
            <w:tcW w:w="1205" w:type="dxa"/>
            <w:gridSpan w:val="2"/>
            <w:tcBorders>
              <w:top w:val="nil"/>
              <w:left w:val="nil"/>
              <w:bottom w:val="double" w:sz="8" w:space="0" w:color="000000"/>
              <w:right w:val="nil"/>
            </w:tcBorders>
            <w:shd w:val="clear" w:color="auto" w:fill="CCEEFF"/>
            <w:tcMar>
              <w:top w:w="0" w:type="dxa"/>
              <w:left w:w="53" w:type="dxa"/>
              <w:bottom w:w="0" w:type="dxa"/>
              <w:right w:w="0" w:type="dxa"/>
            </w:tcMar>
            <w:vAlign w:val="bottom"/>
          </w:tcPr>
          <w:p w14:paraId="3548FDC3" w14:textId="77777777" w:rsidR="003F4498" w:rsidRDefault="00A90788">
            <w:pPr>
              <w:keepNext/>
              <w:spacing w:before="75" w:after="30"/>
              <w:jc w:val="right"/>
            </w:pPr>
            <w:r>
              <w:rPr>
                <w:color w:val="000000"/>
                <w:sz w:val="20"/>
              </w:rPr>
              <w:t>162.5 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C3BF310"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E882C2" w14:textId="77777777" w:rsidR="003F4498" w:rsidRDefault="003F4498">
            <w:pPr>
              <w:keepNext/>
            </w:pPr>
          </w:p>
        </w:tc>
        <w:tc>
          <w:tcPr>
            <w:tcW w:w="1205" w:type="dxa"/>
            <w:gridSpan w:val="2"/>
            <w:tcBorders>
              <w:top w:val="nil"/>
              <w:left w:val="nil"/>
              <w:bottom w:val="double" w:sz="8" w:space="0" w:color="000000"/>
              <w:right w:val="nil"/>
            </w:tcBorders>
            <w:shd w:val="clear" w:color="auto" w:fill="CCEEFF"/>
            <w:tcMar>
              <w:top w:w="0" w:type="dxa"/>
              <w:left w:w="53" w:type="dxa"/>
              <w:bottom w:w="0" w:type="dxa"/>
              <w:right w:w="0" w:type="dxa"/>
            </w:tcMar>
            <w:vAlign w:val="bottom"/>
          </w:tcPr>
          <w:p w14:paraId="1CED0D11" w14:textId="77777777" w:rsidR="003F4498" w:rsidRDefault="00A90788">
            <w:pPr>
              <w:keepNext/>
              <w:spacing w:before="75" w:after="30"/>
              <w:jc w:val="right"/>
            </w:pPr>
            <w:r>
              <w:rPr>
                <w:color w:val="000000"/>
                <w:sz w:val="20"/>
              </w:rPr>
              <w:t>171.5 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D1B0EAE"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0F0A52" w14:textId="77777777" w:rsidR="003F4498" w:rsidRDefault="003F4498">
            <w:pPr>
              <w:keepNext/>
            </w:pPr>
          </w:p>
        </w:tc>
        <w:tc>
          <w:tcPr>
            <w:tcW w:w="1145" w:type="dxa"/>
            <w:gridSpan w:val="2"/>
            <w:tcBorders>
              <w:top w:val="nil"/>
              <w:left w:val="nil"/>
              <w:bottom w:val="double" w:sz="8" w:space="0" w:color="000000"/>
              <w:right w:val="nil"/>
            </w:tcBorders>
            <w:shd w:val="clear" w:color="auto" w:fill="CCEEFF"/>
            <w:tcMar>
              <w:top w:w="0" w:type="dxa"/>
              <w:left w:w="53" w:type="dxa"/>
              <w:bottom w:w="0" w:type="dxa"/>
              <w:right w:w="0" w:type="dxa"/>
            </w:tcMar>
            <w:vAlign w:val="bottom"/>
          </w:tcPr>
          <w:p w14:paraId="360BAEDA" w14:textId="77777777" w:rsidR="003F4498" w:rsidRDefault="00A90788">
            <w:pPr>
              <w:keepNext/>
              <w:spacing w:before="75" w:after="30"/>
              <w:jc w:val="right"/>
            </w:pPr>
            <w:r>
              <w:rPr>
                <w:color w:val="000000"/>
                <w:sz w:val="20"/>
              </w:rPr>
              <w:t>164.2 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793FAA79"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A7BD686" w14:textId="77777777" w:rsidR="003F4498" w:rsidRDefault="003F4498">
            <w:pPr>
              <w:keepNext/>
            </w:pPr>
          </w:p>
        </w:tc>
        <w:tc>
          <w:tcPr>
            <w:tcW w:w="1145" w:type="dxa"/>
            <w:gridSpan w:val="2"/>
            <w:tcBorders>
              <w:top w:val="nil"/>
              <w:left w:val="nil"/>
              <w:bottom w:val="double" w:sz="8" w:space="0" w:color="000000"/>
              <w:right w:val="nil"/>
            </w:tcBorders>
            <w:shd w:val="clear" w:color="auto" w:fill="CCEEFF"/>
            <w:tcMar>
              <w:top w:w="0" w:type="dxa"/>
              <w:left w:w="53" w:type="dxa"/>
              <w:bottom w:w="0" w:type="dxa"/>
              <w:right w:w="0" w:type="dxa"/>
            </w:tcMar>
            <w:vAlign w:val="bottom"/>
          </w:tcPr>
          <w:p w14:paraId="1BE1A22E" w14:textId="77777777" w:rsidR="003F4498" w:rsidRDefault="00A90788">
            <w:pPr>
              <w:keepNext/>
              <w:spacing w:before="75" w:after="30"/>
              <w:jc w:val="right"/>
            </w:pPr>
            <w:r>
              <w:rPr>
                <w:color w:val="000000"/>
                <w:sz w:val="20"/>
              </w:rPr>
              <w:t>171.0 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A178DD6" w14:textId="77777777" w:rsidR="003F4498" w:rsidRDefault="003F4498">
            <w:pPr>
              <w:keepNext/>
              <w:spacing w:before="75" w:after="30"/>
              <w:jc w:val="right"/>
            </w:pPr>
          </w:p>
        </w:tc>
      </w:tr>
      <w:tr w:rsidR="003F4498" w14:paraId="62500B8F" w14:textId="77777777" w:rsidTr="00A90788">
        <w:trPr>
          <w:cantSplit/>
          <w:trHeight w:hRule="exact" w:val="501"/>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56D94637" w14:textId="77777777" w:rsidR="003F4498" w:rsidRDefault="00A90788">
            <w:pPr>
              <w:spacing w:before="75" w:after="30"/>
              <w:ind w:left="360"/>
            </w:pPr>
            <w:r>
              <w:rPr>
                <w:color w:val="000000"/>
                <w:sz w:val="20"/>
              </w:rPr>
              <w:t>Diluted</w:t>
            </w:r>
          </w:p>
        </w:tc>
        <w:tc>
          <w:tcPr>
            <w:tcW w:w="1205"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867915B" w14:textId="77777777" w:rsidR="003F4498" w:rsidRDefault="00A90788">
            <w:pPr>
              <w:spacing w:before="55" w:after="30"/>
              <w:jc w:val="right"/>
            </w:pPr>
            <w:r>
              <w:rPr>
                <w:color w:val="000000"/>
                <w:sz w:val="20"/>
              </w:rPr>
              <w:t>165.5 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840470B"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F25BEC" w14:textId="77777777" w:rsidR="003F4498" w:rsidRDefault="003F4498"/>
        </w:tc>
        <w:tc>
          <w:tcPr>
            <w:tcW w:w="1205"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0BD27ED" w14:textId="77777777" w:rsidR="003F4498" w:rsidRDefault="00A90788">
            <w:pPr>
              <w:spacing w:before="55" w:after="30"/>
              <w:jc w:val="right"/>
            </w:pPr>
            <w:r>
              <w:rPr>
                <w:color w:val="000000"/>
                <w:sz w:val="20"/>
              </w:rPr>
              <w:t>175.2 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3B19BF8"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FB95002" w14:textId="77777777" w:rsidR="003F4498" w:rsidRDefault="003F4498"/>
        </w:tc>
        <w:tc>
          <w:tcPr>
            <w:tcW w:w="1145"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33F518A" w14:textId="77777777" w:rsidR="003F4498" w:rsidRDefault="00A90788">
            <w:pPr>
              <w:spacing w:before="55" w:after="30"/>
              <w:jc w:val="right"/>
            </w:pPr>
            <w:r>
              <w:rPr>
                <w:color w:val="000000"/>
                <w:sz w:val="20"/>
              </w:rPr>
              <w:t>167.7 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F27FBCB"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F35A5D" w14:textId="77777777" w:rsidR="003F4498" w:rsidRDefault="003F4498"/>
        </w:tc>
        <w:tc>
          <w:tcPr>
            <w:tcW w:w="1145"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1DE5D6E" w14:textId="77777777" w:rsidR="003F4498" w:rsidRDefault="00A90788">
            <w:pPr>
              <w:spacing w:before="55" w:after="30"/>
              <w:jc w:val="right"/>
            </w:pPr>
            <w:r>
              <w:rPr>
                <w:color w:val="000000"/>
                <w:sz w:val="20"/>
              </w:rPr>
              <w:t>175.0 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AB30EEB" w14:textId="77777777" w:rsidR="003F4498" w:rsidRDefault="003F4498">
            <w:pPr>
              <w:spacing w:before="55" w:after="30"/>
              <w:jc w:val="right"/>
            </w:pPr>
          </w:p>
        </w:tc>
      </w:tr>
    </w:tbl>
    <w:p w14:paraId="33D86403" w14:textId="77777777" w:rsidR="003F4498" w:rsidRDefault="003F4498" w:rsidP="00A90788">
      <w:pPr>
        <w:spacing w:line="288" w:lineRule="auto"/>
        <w:rPr>
          <w:sz w:val="20"/>
        </w:rPr>
      </w:pPr>
    </w:p>
    <w:p w14:paraId="0F81929F" w14:textId="77777777" w:rsidR="003F4498" w:rsidRDefault="00A90788">
      <w:pPr>
        <w:spacing w:line="288" w:lineRule="auto"/>
        <w:rPr>
          <w:rFonts w:ascii="Calibri" w:eastAsia="Calibri" w:hAnsi="Calibri" w:cs="Calibri"/>
          <w:b/>
          <w:sz w:val="22"/>
          <w:vertAlign w:val="superscript"/>
        </w:rPr>
      </w:pPr>
      <w:r>
        <w:rPr>
          <w:b/>
          <w:sz w:val="20"/>
          <w:vertAlign w:val="superscript"/>
        </w:rPr>
        <w:t>1</w:t>
      </w:r>
      <w:r>
        <w:rPr>
          <w:sz w:val="20"/>
        </w:rPr>
        <w:t xml:space="preserve"> Fortinet identified an immaterial error related to the commencement of revenue recognition for certain FortiCare support service contracts, which resulted in an immaterial correction to revenue for prior year reported amounts for the six months ended June 30, 2020. All financial information contained herein has been revised to reflect the correction of this error.</w:t>
      </w:r>
    </w:p>
    <w:p w14:paraId="78E294D5" w14:textId="77777777" w:rsidR="003F4498" w:rsidRDefault="003F4498">
      <w:pPr>
        <w:spacing w:line="288" w:lineRule="auto"/>
        <w:sectPr w:rsidR="003F4498">
          <w:pgSz w:w="12240" w:h="15840"/>
          <w:pgMar w:top="855" w:right="990" w:bottom="855" w:left="990" w:header="270" w:footer="270" w:gutter="0"/>
          <w:cols w:space="708"/>
        </w:sectPr>
      </w:pPr>
    </w:p>
    <w:p w14:paraId="27749CA0" w14:textId="77777777" w:rsidR="003F4498" w:rsidRDefault="00A90788">
      <w:pPr>
        <w:spacing w:line="288" w:lineRule="auto"/>
        <w:jc w:val="center"/>
        <w:outlineLvl w:val="0"/>
        <w:rPr>
          <w:b/>
          <w:sz w:val="20"/>
        </w:rPr>
      </w:pPr>
      <w:bookmarkStart w:id="3" w:name="Section4"/>
      <w:bookmarkEnd w:id="3"/>
      <w:r>
        <w:rPr>
          <w:b/>
          <w:sz w:val="20"/>
        </w:rPr>
        <w:t>FORTINET, INC.</w:t>
      </w:r>
    </w:p>
    <w:p w14:paraId="3FA979AC" w14:textId="77777777" w:rsidR="003F4498" w:rsidRDefault="00A90788">
      <w:pPr>
        <w:spacing w:before="60" w:line="288" w:lineRule="auto"/>
        <w:jc w:val="center"/>
        <w:rPr>
          <w:b/>
          <w:sz w:val="20"/>
        </w:rPr>
      </w:pPr>
      <w:r>
        <w:rPr>
          <w:b/>
          <w:sz w:val="20"/>
        </w:rPr>
        <w:t>CONDENSED CONSOLIDATED STATEMENTS OF CASH FLOWS</w:t>
      </w:r>
      <w:r>
        <w:rPr>
          <w:b/>
          <w:sz w:val="20"/>
          <w:vertAlign w:val="superscript"/>
        </w:rPr>
        <w:t>1</w:t>
      </w:r>
    </w:p>
    <w:p w14:paraId="63AD8344" w14:textId="77777777" w:rsidR="003F4498" w:rsidRDefault="00A90788">
      <w:pPr>
        <w:spacing w:after="100" w:line="288" w:lineRule="auto"/>
        <w:jc w:val="center"/>
        <w:rPr>
          <w:b/>
          <w:sz w:val="20"/>
        </w:rPr>
      </w:pPr>
      <w:r>
        <w:rPr>
          <w:b/>
          <w:sz w:val="20"/>
        </w:rPr>
        <w:t>(Unaudited, in millions)</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4"/>
        <w:gridCol w:w="163"/>
        <w:gridCol w:w="1001"/>
        <w:gridCol w:w="102"/>
        <w:gridCol w:w="114"/>
        <w:gridCol w:w="163"/>
        <w:gridCol w:w="1001"/>
        <w:gridCol w:w="102"/>
      </w:tblGrid>
      <w:tr w:rsidR="003F4498" w14:paraId="41CB7D5B" w14:textId="77777777">
        <w:trPr>
          <w:cantSplit/>
          <w:trHeight w:hRule="exact" w:val="255"/>
        </w:trPr>
        <w:tc>
          <w:tcPr>
            <w:tcW w:w="7680" w:type="dxa"/>
            <w:tcBorders>
              <w:top w:val="nil"/>
              <w:left w:val="nil"/>
              <w:bottom w:val="nil"/>
              <w:right w:val="nil"/>
            </w:tcBorders>
            <w:tcMar>
              <w:top w:w="0" w:type="dxa"/>
              <w:left w:w="53" w:type="dxa"/>
              <w:bottom w:w="0" w:type="dxa"/>
              <w:right w:w="53" w:type="dxa"/>
            </w:tcMar>
            <w:vAlign w:val="bottom"/>
          </w:tcPr>
          <w:p w14:paraId="1291A1FF" w14:textId="77777777" w:rsidR="003F4498" w:rsidRDefault="00A90788">
            <w:pPr>
              <w:keepNext/>
              <w:spacing w:before="75" w:after="30"/>
            </w:pPr>
            <w:r>
              <w:rPr>
                <w:color w:val="000000"/>
                <w:sz w:val="18"/>
              </w:rPr>
              <w:t> </w:t>
            </w:r>
          </w:p>
        </w:tc>
        <w:tc>
          <w:tcPr>
            <w:tcW w:w="2565" w:type="dxa"/>
            <w:gridSpan w:val="7"/>
            <w:tcBorders>
              <w:top w:val="nil"/>
              <w:left w:val="nil"/>
              <w:bottom w:val="nil"/>
              <w:right w:val="nil"/>
            </w:tcBorders>
            <w:tcMar>
              <w:top w:w="0" w:type="dxa"/>
              <w:left w:w="53" w:type="dxa"/>
              <w:bottom w:w="0" w:type="dxa"/>
              <w:right w:w="53" w:type="dxa"/>
            </w:tcMar>
            <w:vAlign w:val="bottom"/>
          </w:tcPr>
          <w:p w14:paraId="78006264" w14:textId="77777777" w:rsidR="003F4498" w:rsidRDefault="00A90788">
            <w:pPr>
              <w:keepNext/>
              <w:spacing w:before="75" w:after="30"/>
              <w:jc w:val="center"/>
            </w:pPr>
            <w:proofErr w:type="gramStart"/>
            <w:r>
              <w:rPr>
                <w:b/>
                <w:color w:val="000000"/>
                <w:sz w:val="18"/>
              </w:rPr>
              <w:t>Year  Ended</w:t>
            </w:r>
            <w:proofErr w:type="gramEnd"/>
          </w:p>
        </w:tc>
      </w:tr>
      <w:tr w:rsidR="003F4498" w14:paraId="223B37B8" w14:textId="77777777">
        <w:trPr>
          <w:cantSplit/>
          <w:trHeight w:hRule="exact" w:val="465"/>
        </w:trPr>
        <w:tc>
          <w:tcPr>
            <w:tcW w:w="7680" w:type="dxa"/>
            <w:tcBorders>
              <w:top w:val="nil"/>
              <w:left w:val="nil"/>
              <w:bottom w:val="nil"/>
              <w:right w:val="nil"/>
            </w:tcBorders>
            <w:tcMar>
              <w:top w:w="0" w:type="dxa"/>
              <w:left w:w="53" w:type="dxa"/>
              <w:bottom w:w="0" w:type="dxa"/>
              <w:right w:w="53" w:type="dxa"/>
            </w:tcMar>
            <w:vAlign w:val="bottom"/>
          </w:tcPr>
          <w:p w14:paraId="3694DC9B" w14:textId="77777777" w:rsidR="003F4498" w:rsidRDefault="00A90788">
            <w:pPr>
              <w:keepNext/>
              <w:spacing w:before="75" w:after="30"/>
              <w:jc w:val="center"/>
            </w:pPr>
            <w:r>
              <w:rPr>
                <w:b/>
                <w:color w:val="000000"/>
                <w:sz w:val="18"/>
              </w:rPr>
              <w:t> </w:t>
            </w: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7E00A44" w14:textId="77777777" w:rsidR="003F4498" w:rsidRDefault="00A90788">
            <w:pPr>
              <w:keepNext/>
              <w:spacing w:before="55" w:after="30"/>
              <w:jc w:val="center"/>
            </w:pPr>
            <w:r>
              <w:rPr>
                <w:b/>
                <w:color w:val="000000"/>
                <w:sz w:val="18"/>
              </w:rPr>
              <w:t>December 31,</w:t>
            </w:r>
            <w:r>
              <w:br/>
            </w:r>
            <w:r>
              <w:rPr>
                <w:b/>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8F69205" w14:textId="77777777" w:rsidR="003F4498" w:rsidRDefault="003F4498">
            <w:pPr>
              <w:keepNext/>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64C8FF3" w14:textId="77777777" w:rsidR="003F4498" w:rsidRDefault="00A90788">
            <w:pPr>
              <w:keepNext/>
              <w:spacing w:before="55" w:after="30"/>
              <w:jc w:val="center"/>
            </w:pPr>
            <w:r>
              <w:rPr>
                <w:b/>
                <w:color w:val="000000"/>
                <w:sz w:val="18"/>
              </w:rPr>
              <w:t>December 31,</w:t>
            </w:r>
            <w:r>
              <w:br/>
            </w:r>
            <w:r>
              <w:rPr>
                <w:b/>
                <w:color w:val="000000"/>
                <w:sz w:val="18"/>
              </w:rPr>
              <w:t>2019</w:t>
            </w:r>
          </w:p>
        </w:tc>
      </w:tr>
      <w:tr w:rsidR="003F4498" w14:paraId="623E1B07" w14:textId="77777777">
        <w:trPr>
          <w:cantSplit/>
          <w:trHeight w:hRule="exact" w:val="300"/>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54D54A89" w14:textId="77777777" w:rsidR="003F4498" w:rsidRDefault="00A90788">
            <w:pPr>
              <w:keepNext/>
              <w:spacing w:before="75" w:after="30"/>
            </w:pPr>
            <w:r>
              <w:rPr>
                <w:color w:val="000000"/>
                <w:sz w:val="20"/>
              </w:rPr>
              <w:t>CASH FLOWS FROM OPERATING ACTIVITIES:</w:t>
            </w: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599488F"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8140CF" w14:textId="77777777" w:rsidR="003F4498" w:rsidRDefault="003F4498">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DA01B24" w14:textId="77777777" w:rsidR="003F4498" w:rsidRDefault="003F4498">
            <w:pPr>
              <w:keepNext/>
            </w:pPr>
          </w:p>
        </w:tc>
      </w:tr>
      <w:tr w:rsidR="003F4498" w14:paraId="6D41EA91"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039FCB6A" w14:textId="77777777" w:rsidR="003F4498" w:rsidRDefault="00A90788">
            <w:pPr>
              <w:keepNext/>
              <w:spacing w:before="75" w:after="30"/>
              <w:ind w:left="360"/>
            </w:pPr>
            <w:r>
              <w:rPr>
                <w:color w:val="000000"/>
                <w:sz w:val="20"/>
              </w:rPr>
              <w:t>Net income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44B5C41" w14:textId="77777777" w:rsidR="003F4498" w:rsidRDefault="00A90788">
            <w:pPr>
              <w:keepNext/>
              <w:spacing w:before="75" w:after="30"/>
            </w:pPr>
            <w:r>
              <w:rPr>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14:paraId="7A1EECAC" w14:textId="77777777" w:rsidR="003F4498" w:rsidRDefault="00A90788">
            <w:pPr>
              <w:keepNext/>
              <w:spacing w:before="75" w:after="30"/>
              <w:jc w:val="right"/>
            </w:pPr>
            <w:r>
              <w:rPr>
                <w:color w:val="000000"/>
                <w:sz w:val="20"/>
              </w:rPr>
              <w:t>488.5 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F6A7221"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1A92858" w14:textId="77777777" w:rsidR="003F4498" w:rsidRDefault="003F4498">
            <w:pPr>
              <w:keepNext/>
              <w:spacing w:before="75"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17D6EF7" w14:textId="77777777" w:rsidR="003F4498" w:rsidRDefault="00A90788">
            <w:pPr>
              <w:keepNext/>
              <w:spacing w:before="75" w:after="30"/>
            </w:pPr>
            <w:r>
              <w:rPr>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14:paraId="5416E002" w14:textId="77777777" w:rsidR="003F4498" w:rsidRDefault="00A90788">
            <w:pPr>
              <w:keepNext/>
              <w:spacing w:before="75" w:after="30"/>
              <w:jc w:val="right"/>
            </w:pPr>
            <w:r>
              <w:rPr>
                <w:color w:val="000000"/>
                <w:sz w:val="20"/>
              </w:rPr>
              <w:t>331.7 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C9C8FB6" w14:textId="77777777" w:rsidR="003F4498" w:rsidRDefault="003F4498">
            <w:pPr>
              <w:keepNext/>
              <w:spacing w:before="75" w:after="30"/>
              <w:jc w:val="right"/>
            </w:pPr>
          </w:p>
        </w:tc>
      </w:tr>
      <w:tr w:rsidR="003F4498" w14:paraId="34F6DF74"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14D0B863" w14:textId="77777777" w:rsidR="003F4498" w:rsidRDefault="00A90788">
            <w:pPr>
              <w:keepNext/>
              <w:spacing w:before="75" w:after="30"/>
              <w:ind w:left="360"/>
            </w:pPr>
            <w:r>
              <w:rPr>
                <w:color w:val="000000"/>
                <w:sz w:val="20"/>
              </w:rPr>
              <w:t>Adjustments to reconcile net income to net cash provided by operating activities:</w:t>
            </w: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14:paraId="263E5D3F"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8C04F7" w14:textId="77777777" w:rsidR="003F4498" w:rsidRDefault="003F4498">
            <w:pPr>
              <w:keepNext/>
            </w:pP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14:paraId="33A751B8" w14:textId="77777777" w:rsidR="003F4498" w:rsidRDefault="003F4498">
            <w:pPr>
              <w:keepNext/>
            </w:pPr>
          </w:p>
        </w:tc>
      </w:tr>
      <w:tr w:rsidR="003F4498" w14:paraId="5ED5BB94"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7DE73649" w14:textId="77777777" w:rsidR="003F4498" w:rsidRDefault="00A90788">
            <w:pPr>
              <w:keepNext/>
              <w:spacing w:before="75" w:after="30"/>
              <w:ind w:left="855"/>
            </w:pPr>
            <w:r>
              <w:rPr>
                <w:color w:val="000000"/>
                <w:sz w:val="20"/>
              </w:rPr>
              <w:t>Stock-based compensation</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2A1A83DC" w14:textId="77777777" w:rsidR="003F4498" w:rsidRDefault="00A90788">
            <w:pPr>
              <w:keepNext/>
              <w:spacing w:before="75" w:after="30"/>
              <w:jc w:val="right"/>
            </w:pPr>
            <w:r>
              <w:rPr>
                <w:color w:val="000000"/>
                <w:sz w:val="20"/>
              </w:rPr>
              <w:t>191.7 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64153C8"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337F6BA"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500F398" w14:textId="77777777" w:rsidR="003F4498" w:rsidRDefault="00A90788">
            <w:pPr>
              <w:keepNext/>
              <w:spacing w:before="75" w:after="30"/>
              <w:jc w:val="right"/>
            </w:pPr>
            <w:r>
              <w:rPr>
                <w:color w:val="000000"/>
                <w:sz w:val="20"/>
              </w:rPr>
              <w:t>174.1 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08DE6A3" w14:textId="77777777" w:rsidR="003F4498" w:rsidRDefault="003F4498">
            <w:pPr>
              <w:keepNext/>
              <w:spacing w:before="75" w:after="30"/>
              <w:jc w:val="right"/>
            </w:pPr>
          </w:p>
        </w:tc>
      </w:tr>
      <w:tr w:rsidR="003F4498" w14:paraId="7AD29C96"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4889F7BB" w14:textId="77777777" w:rsidR="003F4498" w:rsidRDefault="00A90788">
            <w:pPr>
              <w:keepNext/>
              <w:spacing w:before="75" w:after="30"/>
              <w:ind w:left="855"/>
            </w:pPr>
            <w:r>
              <w:rPr>
                <w:color w:val="000000"/>
                <w:sz w:val="20"/>
              </w:rPr>
              <w:t>Amortization of deferred contract costs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6FF19381" w14:textId="77777777" w:rsidR="003F4498" w:rsidRDefault="00A90788">
            <w:pPr>
              <w:keepNext/>
              <w:spacing w:before="75" w:after="30"/>
              <w:jc w:val="right"/>
            </w:pPr>
            <w:r>
              <w:rPr>
                <w:color w:val="000000"/>
                <w:sz w:val="20"/>
              </w:rPr>
              <w:t>137.4 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1B49C26"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8D72104"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601A6DAB" w14:textId="77777777" w:rsidR="003F4498" w:rsidRDefault="00A90788">
            <w:pPr>
              <w:keepNext/>
              <w:spacing w:before="75" w:after="30"/>
              <w:jc w:val="right"/>
            </w:pPr>
            <w:r>
              <w:rPr>
                <w:color w:val="000000"/>
                <w:sz w:val="20"/>
              </w:rPr>
              <w:t>107.9 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0EE2371" w14:textId="77777777" w:rsidR="003F4498" w:rsidRDefault="003F4498">
            <w:pPr>
              <w:keepNext/>
              <w:spacing w:before="75" w:after="30"/>
              <w:jc w:val="right"/>
            </w:pPr>
          </w:p>
        </w:tc>
      </w:tr>
      <w:tr w:rsidR="003F4498" w14:paraId="6A50573D"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7CCE0E1D" w14:textId="77777777" w:rsidR="003F4498" w:rsidRDefault="00A90788">
            <w:pPr>
              <w:keepNext/>
              <w:spacing w:before="75" w:after="30"/>
              <w:ind w:left="855"/>
            </w:pPr>
            <w:r>
              <w:rPr>
                <w:color w:val="000000"/>
                <w:sz w:val="20"/>
              </w:rPr>
              <w:t>Depreciation and amortization</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080076D5" w14:textId="77777777" w:rsidR="003F4498" w:rsidRDefault="00A90788">
            <w:pPr>
              <w:keepNext/>
              <w:spacing w:before="75" w:after="30"/>
              <w:jc w:val="right"/>
            </w:pPr>
            <w:r>
              <w:rPr>
                <w:color w:val="000000"/>
                <w:sz w:val="20"/>
              </w:rPr>
              <w:t>68.8 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DB8C71"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5A79455"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48F24D15" w14:textId="77777777" w:rsidR="003F4498" w:rsidRDefault="00A90788">
            <w:pPr>
              <w:keepNext/>
              <w:spacing w:before="75" w:after="30"/>
              <w:jc w:val="right"/>
            </w:pPr>
            <w:r>
              <w:rPr>
                <w:color w:val="000000"/>
                <w:sz w:val="20"/>
              </w:rPr>
              <w:t>61.6 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283EE0E" w14:textId="77777777" w:rsidR="003F4498" w:rsidRDefault="003F4498">
            <w:pPr>
              <w:keepNext/>
              <w:spacing w:before="75" w:after="30"/>
              <w:jc w:val="right"/>
            </w:pPr>
          </w:p>
        </w:tc>
      </w:tr>
      <w:tr w:rsidR="003F4498" w14:paraId="1BFC41BD"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272FBC4B" w14:textId="77777777" w:rsidR="003F4498" w:rsidRDefault="00A90788">
            <w:pPr>
              <w:keepNext/>
              <w:spacing w:before="75" w:after="30"/>
              <w:ind w:left="855"/>
            </w:pPr>
            <w:r>
              <w:rPr>
                <w:color w:val="000000"/>
                <w:sz w:val="20"/>
              </w:rPr>
              <w:t>Amortization of investment premium (discounts)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6D5749C2" w14:textId="77777777" w:rsidR="003F4498" w:rsidRDefault="00A90788">
            <w:pPr>
              <w:keepNext/>
              <w:spacing w:before="75" w:after="30"/>
              <w:jc w:val="right"/>
            </w:pPr>
            <w:r>
              <w:rPr>
                <w:color w:val="000000"/>
                <w:sz w:val="20"/>
              </w:rPr>
              <w:t>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8B58060"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60AC81A"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16AB767F" w14:textId="77777777" w:rsidR="003F4498" w:rsidRDefault="00A90788">
            <w:pPr>
              <w:keepNext/>
              <w:spacing w:before="75" w:after="30"/>
              <w:jc w:val="right"/>
            </w:pPr>
            <w:r>
              <w:rPr>
                <w:color w:val="000000"/>
                <w:sz w:val="20"/>
              </w:rPr>
              <w:t>(6.0)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AEDB316" w14:textId="77777777" w:rsidR="003F4498" w:rsidRDefault="003F4498">
            <w:pPr>
              <w:keepNext/>
              <w:spacing w:before="75" w:after="30"/>
              <w:jc w:val="right"/>
            </w:pPr>
          </w:p>
        </w:tc>
      </w:tr>
      <w:tr w:rsidR="003F4498" w14:paraId="2997DF5B"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3772B4F8" w14:textId="77777777" w:rsidR="003F4498" w:rsidRDefault="00A90788">
            <w:pPr>
              <w:keepNext/>
              <w:spacing w:before="75" w:after="30"/>
              <w:ind w:left="855"/>
            </w:pPr>
            <w:r>
              <w:rPr>
                <w:color w:val="000000"/>
                <w:sz w:val="20"/>
              </w:rPr>
              <w:t>Other</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4695689B" w14:textId="77777777" w:rsidR="003F4498" w:rsidRDefault="00A90788">
            <w:pPr>
              <w:keepNext/>
              <w:spacing w:before="75" w:after="30"/>
              <w:jc w:val="right"/>
            </w:pPr>
            <w:r>
              <w:rPr>
                <w:color w:val="000000"/>
                <w:sz w:val="20"/>
              </w:rPr>
              <w:t>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CDAEC54"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5A9538B"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6BF6CD3E" w14:textId="77777777" w:rsidR="003F4498" w:rsidRDefault="00A90788">
            <w:pPr>
              <w:keepNext/>
              <w:spacing w:before="75" w:after="30"/>
              <w:jc w:val="right"/>
            </w:pPr>
            <w:r>
              <w:rPr>
                <w:color w:val="000000"/>
                <w:sz w:val="20"/>
              </w:rPr>
              <w:t>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62CA3E1" w14:textId="77777777" w:rsidR="003F4498" w:rsidRDefault="003F4498">
            <w:pPr>
              <w:keepNext/>
              <w:spacing w:before="75" w:after="30"/>
              <w:jc w:val="right"/>
            </w:pPr>
          </w:p>
        </w:tc>
      </w:tr>
      <w:tr w:rsidR="003F4498" w14:paraId="3ED5A0F3" w14:textId="77777777">
        <w:trPr>
          <w:cantSplit/>
          <w:trHeight w:hRule="exact" w:val="300"/>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42608033" w14:textId="77777777" w:rsidR="003F4498" w:rsidRDefault="00A90788">
            <w:pPr>
              <w:keepNext/>
              <w:spacing w:before="75" w:after="30"/>
              <w:ind w:left="855"/>
            </w:pPr>
            <w:r>
              <w:rPr>
                <w:color w:val="000000"/>
                <w:sz w:val="20"/>
              </w:rPr>
              <w:t>Changes in operating assets and liabilities:</w:t>
            </w: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14:paraId="0B22EBB6"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B96E05" w14:textId="77777777" w:rsidR="003F4498" w:rsidRDefault="003F4498">
            <w:pPr>
              <w:keepNext/>
            </w:pP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14:paraId="45BEABE7" w14:textId="77777777" w:rsidR="003F4498" w:rsidRDefault="003F4498">
            <w:pPr>
              <w:keepNext/>
            </w:pPr>
          </w:p>
        </w:tc>
      </w:tr>
      <w:tr w:rsidR="003F4498" w14:paraId="3E4F46DD"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248C5090" w14:textId="77777777" w:rsidR="003F4498" w:rsidRDefault="00A90788">
            <w:pPr>
              <w:keepNext/>
              <w:spacing w:before="75" w:after="30"/>
              <w:ind w:left="1215"/>
            </w:pPr>
            <w:r>
              <w:rPr>
                <w:color w:val="000000"/>
                <w:sz w:val="20"/>
              </w:rPr>
              <w:t xml:space="preserve">Accounts </w:t>
            </w:r>
            <w:proofErr w:type="gramStart"/>
            <w:r>
              <w:rPr>
                <w:color w:val="000000"/>
                <w:sz w:val="20"/>
              </w:rPr>
              <w:t>receivable—net</w:t>
            </w:r>
            <w:proofErr w:type="gramEnd"/>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5FB6653" w14:textId="77777777" w:rsidR="003F4498" w:rsidRDefault="00A90788">
            <w:pPr>
              <w:keepNext/>
              <w:spacing w:before="75" w:after="30"/>
              <w:jc w:val="right"/>
            </w:pPr>
            <w:r>
              <w:rPr>
                <w:color w:val="000000"/>
                <w:sz w:val="20"/>
              </w:rPr>
              <w:t>(176.4)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89158F8"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B0EDB44"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13FE89E3" w14:textId="77777777" w:rsidR="003F4498" w:rsidRDefault="00A90788">
            <w:pPr>
              <w:keepNext/>
              <w:spacing w:before="75" w:after="30"/>
              <w:jc w:val="right"/>
            </w:pPr>
            <w:r>
              <w:rPr>
                <w:color w:val="000000"/>
                <w:sz w:val="20"/>
              </w:rPr>
              <w:t>(96.7)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6FC7633" w14:textId="77777777" w:rsidR="003F4498" w:rsidRDefault="003F4498">
            <w:pPr>
              <w:keepNext/>
              <w:spacing w:before="75" w:after="30"/>
              <w:jc w:val="right"/>
            </w:pPr>
          </w:p>
        </w:tc>
      </w:tr>
      <w:tr w:rsidR="003F4498" w14:paraId="7EE5146F"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025E58F1" w14:textId="77777777" w:rsidR="003F4498" w:rsidRDefault="00A90788">
            <w:pPr>
              <w:keepNext/>
              <w:spacing w:before="75" w:after="30"/>
              <w:ind w:left="1215"/>
            </w:pPr>
            <w:r>
              <w:rPr>
                <w:color w:val="000000"/>
                <w:sz w:val="20"/>
              </w:rPr>
              <w:t>Inventory</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7886C20E" w14:textId="77777777" w:rsidR="003F4498" w:rsidRDefault="00A90788">
            <w:pPr>
              <w:keepNext/>
              <w:spacing w:before="75" w:after="30"/>
              <w:jc w:val="right"/>
            </w:pPr>
            <w:r>
              <w:rPr>
                <w:color w:val="000000"/>
                <w:sz w:val="20"/>
              </w:rPr>
              <w:t>(42.2)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4CF8F3E"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9B72D8B"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535AF62D" w14:textId="77777777" w:rsidR="003F4498" w:rsidRDefault="00A90788">
            <w:pPr>
              <w:keepNext/>
              <w:spacing w:before="75" w:after="30"/>
              <w:jc w:val="right"/>
            </w:pPr>
            <w:r>
              <w:rPr>
                <w:color w:val="000000"/>
                <w:sz w:val="20"/>
              </w:rPr>
              <w:t>(48.5)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3A2FD87" w14:textId="77777777" w:rsidR="003F4498" w:rsidRDefault="003F4498">
            <w:pPr>
              <w:keepNext/>
              <w:spacing w:before="75" w:after="30"/>
              <w:jc w:val="right"/>
            </w:pPr>
          </w:p>
        </w:tc>
      </w:tr>
      <w:tr w:rsidR="003F4498" w14:paraId="082F9D78"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354DD1D9" w14:textId="77777777" w:rsidR="003F4498" w:rsidRDefault="00A90788">
            <w:pPr>
              <w:keepNext/>
              <w:spacing w:before="75" w:after="30"/>
              <w:ind w:left="1215"/>
            </w:pPr>
            <w:r>
              <w:rPr>
                <w:color w:val="000000"/>
                <w:sz w:val="20"/>
              </w:rPr>
              <w:t>Prepaid expenses and other current assets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05783E7D" w14:textId="77777777" w:rsidR="003F4498" w:rsidRDefault="00A90788">
            <w:pPr>
              <w:keepNext/>
              <w:spacing w:before="75" w:after="30"/>
              <w:jc w:val="right"/>
            </w:pPr>
            <w:r>
              <w:rPr>
                <w:color w:val="000000"/>
                <w:sz w:val="20"/>
              </w:rPr>
              <w:t>(2.8)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101EDEA"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2112629"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16F1F25A" w14:textId="77777777" w:rsidR="003F4498" w:rsidRDefault="00A90788">
            <w:pPr>
              <w:keepNext/>
              <w:spacing w:before="75" w:after="30"/>
              <w:jc w:val="right"/>
            </w:pPr>
            <w:r>
              <w:rPr>
                <w:color w:val="000000"/>
                <w:sz w:val="20"/>
              </w:rPr>
              <w:t>(2.1)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AEB191F" w14:textId="77777777" w:rsidR="003F4498" w:rsidRDefault="003F4498">
            <w:pPr>
              <w:keepNext/>
              <w:spacing w:before="75" w:after="30"/>
              <w:jc w:val="right"/>
            </w:pPr>
          </w:p>
        </w:tc>
      </w:tr>
      <w:tr w:rsidR="003F4498" w14:paraId="1232C914"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25B8CAF4" w14:textId="77777777" w:rsidR="003F4498" w:rsidRDefault="00A90788">
            <w:pPr>
              <w:keepNext/>
              <w:spacing w:before="75" w:after="30"/>
              <w:ind w:left="1215"/>
            </w:pPr>
            <w:r>
              <w:rPr>
                <w:color w:val="000000"/>
                <w:sz w:val="20"/>
              </w:rPr>
              <w:t>Deferred contract costs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3D4EBB9F" w14:textId="77777777" w:rsidR="003F4498" w:rsidRDefault="00A90788">
            <w:pPr>
              <w:keepNext/>
              <w:spacing w:before="75" w:after="30"/>
              <w:jc w:val="right"/>
            </w:pPr>
            <w:r>
              <w:rPr>
                <w:color w:val="000000"/>
                <w:sz w:val="20"/>
              </w:rPr>
              <w:t>(205.1)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0809975"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08BD70D"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7FC5D460" w14:textId="77777777" w:rsidR="003F4498" w:rsidRDefault="00A90788">
            <w:pPr>
              <w:keepNext/>
              <w:spacing w:before="75" w:after="30"/>
              <w:jc w:val="right"/>
            </w:pPr>
            <w:r>
              <w:rPr>
                <w:color w:val="000000"/>
                <w:sz w:val="20"/>
              </w:rPr>
              <w:t>(162.3)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3717217" w14:textId="77777777" w:rsidR="003F4498" w:rsidRDefault="003F4498">
            <w:pPr>
              <w:keepNext/>
              <w:spacing w:before="75" w:after="30"/>
              <w:jc w:val="right"/>
            </w:pPr>
          </w:p>
        </w:tc>
      </w:tr>
      <w:tr w:rsidR="003F4498" w14:paraId="7CC685DE"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4158CD3F" w14:textId="77777777" w:rsidR="003F4498" w:rsidRDefault="00A90788">
            <w:pPr>
              <w:keepNext/>
              <w:spacing w:before="75" w:after="30"/>
              <w:ind w:left="1215"/>
            </w:pPr>
            <w:r>
              <w:rPr>
                <w:color w:val="000000"/>
                <w:sz w:val="20"/>
              </w:rPr>
              <w:t>Deferred tax assets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06C6C095" w14:textId="77777777" w:rsidR="003F4498" w:rsidRDefault="00A90788">
            <w:pPr>
              <w:keepNext/>
              <w:spacing w:before="75" w:after="30"/>
              <w:jc w:val="right"/>
            </w:pPr>
            <w:r>
              <w:rPr>
                <w:color w:val="000000"/>
                <w:sz w:val="20"/>
              </w:rPr>
              <w:t>(10.5)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1D6CDAD"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89D2C80"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40C135B8" w14:textId="77777777" w:rsidR="003F4498" w:rsidRDefault="00A90788">
            <w:pPr>
              <w:keepNext/>
              <w:spacing w:before="75" w:after="30"/>
              <w:jc w:val="right"/>
            </w:pPr>
            <w:r>
              <w:rPr>
                <w:color w:val="000000"/>
                <w:sz w:val="20"/>
              </w:rPr>
              <w:t>19.4 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F369A33" w14:textId="77777777" w:rsidR="003F4498" w:rsidRDefault="003F4498">
            <w:pPr>
              <w:keepNext/>
              <w:spacing w:before="75" w:after="30"/>
              <w:jc w:val="right"/>
            </w:pPr>
          </w:p>
        </w:tc>
      </w:tr>
      <w:tr w:rsidR="003F4498" w14:paraId="7EDD86F3"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670A92B4" w14:textId="77777777" w:rsidR="003F4498" w:rsidRDefault="00A90788">
            <w:pPr>
              <w:keepNext/>
              <w:spacing w:before="75" w:after="30"/>
              <w:ind w:left="1215"/>
            </w:pPr>
            <w:r>
              <w:rPr>
                <w:color w:val="000000"/>
                <w:sz w:val="20"/>
              </w:rPr>
              <w:t>Other assets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1BAAE360" w14:textId="77777777" w:rsidR="003F4498" w:rsidRDefault="00A90788">
            <w:pPr>
              <w:keepNext/>
              <w:spacing w:before="75" w:after="30"/>
              <w:jc w:val="right"/>
            </w:pPr>
            <w:r>
              <w:rPr>
                <w:color w:val="000000"/>
                <w:sz w:val="20"/>
              </w:rPr>
              <w:t>(4.6)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5E1A781"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CE3BA3C"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076C5662" w14:textId="77777777" w:rsidR="003F4498" w:rsidRDefault="00A90788">
            <w:pPr>
              <w:keepNext/>
              <w:spacing w:before="75" w:after="30"/>
              <w:jc w:val="right"/>
            </w:pPr>
            <w:r>
              <w:rPr>
                <w:color w:val="000000"/>
                <w:sz w:val="20"/>
              </w:rPr>
              <w:t>(1.3)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23AA51F" w14:textId="77777777" w:rsidR="003F4498" w:rsidRDefault="003F4498">
            <w:pPr>
              <w:keepNext/>
              <w:spacing w:before="75" w:after="30"/>
              <w:jc w:val="right"/>
            </w:pPr>
          </w:p>
        </w:tc>
      </w:tr>
      <w:tr w:rsidR="003F4498" w14:paraId="0B5E4E7A"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138F1FAD" w14:textId="77777777" w:rsidR="003F4498" w:rsidRDefault="00A90788">
            <w:pPr>
              <w:keepNext/>
              <w:spacing w:before="75" w:after="30"/>
              <w:ind w:left="1215"/>
            </w:pPr>
            <w:r>
              <w:rPr>
                <w:color w:val="000000"/>
                <w:sz w:val="20"/>
              </w:rPr>
              <w:t>Accounts payable</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74BEEC03" w14:textId="77777777" w:rsidR="003F4498" w:rsidRDefault="00A90788">
            <w:pPr>
              <w:keepNext/>
              <w:spacing w:before="75" w:after="30"/>
              <w:jc w:val="right"/>
            </w:pPr>
            <w:r>
              <w:rPr>
                <w:color w:val="000000"/>
                <w:sz w:val="20"/>
              </w:rPr>
              <w:t>37.4 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B7129D2"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F5E4B83"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7F839B7B" w14:textId="77777777" w:rsidR="003F4498" w:rsidRDefault="00A90788">
            <w:pPr>
              <w:keepNext/>
              <w:spacing w:before="75" w:after="30"/>
              <w:jc w:val="right"/>
            </w:pPr>
            <w:r>
              <w:rPr>
                <w:color w:val="000000"/>
                <w:sz w:val="20"/>
              </w:rPr>
              <w:t>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6F0B50B" w14:textId="77777777" w:rsidR="003F4498" w:rsidRDefault="003F4498">
            <w:pPr>
              <w:keepNext/>
              <w:spacing w:before="75" w:after="30"/>
              <w:jc w:val="right"/>
            </w:pPr>
          </w:p>
        </w:tc>
      </w:tr>
      <w:tr w:rsidR="003F4498" w14:paraId="44740CE7"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3BF54BF4" w14:textId="77777777" w:rsidR="003F4498" w:rsidRDefault="00A90788">
            <w:pPr>
              <w:keepNext/>
              <w:spacing w:before="75" w:after="30"/>
              <w:ind w:left="1215"/>
            </w:pPr>
            <w:r>
              <w:rPr>
                <w:color w:val="000000"/>
                <w:sz w:val="20"/>
              </w:rPr>
              <w:t>Accrued liabilities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4C6F9ADE" w14:textId="77777777" w:rsidR="003F4498" w:rsidRDefault="00A90788">
            <w:pPr>
              <w:keepNext/>
              <w:spacing w:before="75" w:after="30"/>
              <w:jc w:val="right"/>
            </w:pPr>
            <w:r>
              <w:rPr>
                <w:color w:val="000000"/>
                <w:sz w:val="20"/>
              </w:rPr>
              <w:t>45.8 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0951E92"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3C2C4C5"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02038B9E" w14:textId="77777777" w:rsidR="003F4498" w:rsidRDefault="00A90788">
            <w:pPr>
              <w:keepNext/>
              <w:spacing w:before="75" w:after="30"/>
              <w:jc w:val="right"/>
            </w:pPr>
            <w:r>
              <w:rPr>
                <w:color w:val="000000"/>
                <w:sz w:val="20"/>
              </w:rPr>
              <w:t>(20.2)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D0FDBE7" w14:textId="77777777" w:rsidR="003F4498" w:rsidRDefault="003F4498">
            <w:pPr>
              <w:keepNext/>
              <w:spacing w:before="75" w:after="30"/>
              <w:jc w:val="right"/>
            </w:pPr>
          </w:p>
        </w:tc>
      </w:tr>
      <w:tr w:rsidR="003F4498" w14:paraId="5D726C95"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331FDE8C" w14:textId="77777777" w:rsidR="003F4498" w:rsidRDefault="00A90788">
            <w:pPr>
              <w:keepNext/>
              <w:spacing w:before="75" w:after="30"/>
              <w:ind w:left="1215"/>
            </w:pPr>
            <w:r>
              <w:rPr>
                <w:color w:val="000000"/>
                <w:sz w:val="20"/>
              </w:rPr>
              <w:t>Accrued payroll and compensation</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68A97886" w14:textId="77777777" w:rsidR="003F4498" w:rsidRDefault="00A90788">
            <w:pPr>
              <w:keepNext/>
              <w:spacing w:before="75" w:after="30"/>
              <w:jc w:val="right"/>
            </w:pPr>
            <w:r>
              <w:rPr>
                <w:color w:val="000000"/>
                <w:sz w:val="20"/>
              </w:rPr>
              <w:t>43.1 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8819A73"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F0F0B97"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6F3C6337" w14:textId="77777777" w:rsidR="003F4498" w:rsidRDefault="00A90788">
            <w:pPr>
              <w:keepNext/>
              <w:spacing w:before="75" w:after="30"/>
              <w:jc w:val="right"/>
            </w:pPr>
            <w:r>
              <w:rPr>
                <w:color w:val="000000"/>
                <w:sz w:val="20"/>
              </w:rPr>
              <w:t>(2.7)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AB71A21" w14:textId="77777777" w:rsidR="003F4498" w:rsidRDefault="003F4498">
            <w:pPr>
              <w:keepNext/>
              <w:spacing w:before="75" w:after="30"/>
              <w:jc w:val="right"/>
            </w:pPr>
          </w:p>
        </w:tc>
      </w:tr>
      <w:tr w:rsidR="003F4498" w14:paraId="14ADEBF8"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09BC6F11" w14:textId="77777777" w:rsidR="003F4498" w:rsidRDefault="00A90788">
            <w:pPr>
              <w:keepNext/>
              <w:spacing w:before="75" w:after="30"/>
              <w:ind w:left="1215"/>
            </w:pPr>
            <w:r>
              <w:rPr>
                <w:color w:val="000000"/>
                <w:sz w:val="20"/>
              </w:rPr>
              <w:t>Other liabilities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1CFD97F9" w14:textId="77777777" w:rsidR="003F4498" w:rsidRDefault="00A90788">
            <w:pPr>
              <w:keepNext/>
              <w:spacing w:before="75" w:after="30"/>
              <w:jc w:val="right"/>
            </w:pPr>
            <w:r>
              <w:rPr>
                <w:color w:val="000000"/>
                <w:sz w:val="20"/>
              </w:rPr>
              <w:t>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7BBF928"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1525B3C"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1F82CF43" w14:textId="77777777" w:rsidR="003F4498" w:rsidRDefault="00A90788">
            <w:pPr>
              <w:keepNext/>
              <w:spacing w:before="75" w:after="30"/>
              <w:jc w:val="right"/>
            </w:pPr>
            <w:r>
              <w:rPr>
                <w:color w:val="000000"/>
                <w:sz w:val="20"/>
              </w:rPr>
              <w:t>(0.2)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855F53C" w14:textId="77777777" w:rsidR="003F4498" w:rsidRDefault="003F4498">
            <w:pPr>
              <w:keepNext/>
              <w:spacing w:before="75" w:after="30"/>
              <w:jc w:val="right"/>
            </w:pPr>
          </w:p>
        </w:tc>
      </w:tr>
      <w:tr w:rsidR="003F4498" w14:paraId="42E0BE64"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6F425598" w14:textId="77777777" w:rsidR="003F4498" w:rsidRDefault="00A90788">
            <w:pPr>
              <w:keepNext/>
              <w:spacing w:before="75" w:after="30"/>
              <w:ind w:left="1215"/>
            </w:pPr>
            <w:r>
              <w:rPr>
                <w:color w:val="000000"/>
                <w:sz w:val="20"/>
              </w:rPr>
              <w:t>Deferred revenue</w:t>
            </w: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EDA9384" w14:textId="77777777" w:rsidR="003F4498" w:rsidRDefault="00A90788">
            <w:pPr>
              <w:keepNext/>
              <w:spacing w:before="75" w:after="30"/>
              <w:jc w:val="right"/>
            </w:pPr>
            <w:r>
              <w:rPr>
                <w:color w:val="000000"/>
                <w:sz w:val="20"/>
              </w:rPr>
              <w:t>495.6 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25A0CFE"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3B11E2D" w14:textId="77777777" w:rsidR="003F4498" w:rsidRDefault="003F4498">
            <w:pPr>
              <w:keepNext/>
              <w:spacing w:before="75" w:after="30"/>
              <w:jc w:val="righ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CDF7D24" w14:textId="77777777" w:rsidR="003F4498" w:rsidRDefault="00A90788">
            <w:pPr>
              <w:keepNext/>
              <w:spacing w:before="75" w:after="30"/>
              <w:jc w:val="right"/>
            </w:pPr>
            <w:r>
              <w:rPr>
                <w:color w:val="000000"/>
                <w:sz w:val="20"/>
              </w:rPr>
              <w:t>439.9 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4D0A1ED" w14:textId="77777777" w:rsidR="003F4498" w:rsidRDefault="003F4498">
            <w:pPr>
              <w:keepNext/>
              <w:spacing w:before="75" w:after="30"/>
              <w:jc w:val="right"/>
            </w:pPr>
          </w:p>
        </w:tc>
      </w:tr>
      <w:tr w:rsidR="003F4498" w14:paraId="6B9DD763" w14:textId="77777777">
        <w:trPr>
          <w:cantSplit/>
          <w:trHeight w:hRule="exact" w:val="28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42F4CC22" w14:textId="77777777" w:rsidR="003F4498" w:rsidRDefault="00A90788">
            <w:pPr>
              <w:keepNext/>
              <w:spacing w:before="75" w:after="30"/>
              <w:ind w:left="1575"/>
            </w:pPr>
            <w:r>
              <w:rPr>
                <w:color w:val="000000"/>
                <w:sz w:val="20"/>
              </w:rPr>
              <w:t>Net cash provided by operating activities</w:t>
            </w:r>
          </w:p>
        </w:tc>
        <w:tc>
          <w:tcPr>
            <w:tcW w:w="11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44480AF8" w14:textId="77777777" w:rsidR="003F4498" w:rsidRDefault="00A90788">
            <w:pPr>
              <w:keepNext/>
              <w:spacing w:before="55" w:after="30"/>
              <w:jc w:val="right"/>
            </w:pPr>
            <w:r>
              <w:rPr>
                <w:color w:val="000000"/>
                <w:sz w:val="20"/>
              </w:rPr>
              <w:t>1,083.7 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AD9A509"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9D150D" w14:textId="77777777" w:rsidR="003F4498" w:rsidRDefault="003F4498">
            <w:pPr>
              <w:keepNext/>
            </w:pPr>
          </w:p>
        </w:tc>
        <w:tc>
          <w:tcPr>
            <w:tcW w:w="11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673D51D6" w14:textId="77777777" w:rsidR="003F4498" w:rsidRDefault="00A90788">
            <w:pPr>
              <w:keepNext/>
              <w:spacing w:before="55" w:after="30"/>
              <w:jc w:val="right"/>
            </w:pPr>
            <w:r>
              <w:rPr>
                <w:color w:val="000000"/>
                <w:sz w:val="20"/>
              </w:rPr>
              <w:t>808.0 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6796ED6" w14:textId="77777777" w:rsidR="003F4498" w:rsidRDefault="003F4498">
            <w:pPr>
              <w:keepNext/>
              <w:spacing w:before="55" w:after="30"/>
              <w:jc w:val="right"/>
            </w:pPr>
          </w:p>
        </w:tc>
      </w:tr>
      <w:tr w:rsidR="003F4498" w14:paraId="28BA4D27" w14:textId="77777777">
        <w:trPr>
          <w:cantSplit/>
          <w:trHeight w:hRule="exact" w:val="300"/>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215CF464" w14:textId="77777777" w:rsidR="003F4498" w:rsidRDefault="00A90788">
            <w:pPr>
              <w:keepNext/>
              <w:spacing w:before="75" w:after="30"/>
            </w:pPr>
            <w:r>
              <w:rPr>
                <w:color w:val="000000"/>
                <w:sz w:val="20"/>
              </w:rPr>
              <w:t>CASH FLOWS FROM INVESTING ACTIVITIES:</w:t>
            </w:r>
          </w:p>
        </w:tc>
        <w:tc>
          <w:tcPr>
            <w:tcW w:w="12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06186AE3"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C92FAC" w14:textId="77777777" w:rsidR="003F4498" w:rsidRDefault="003F4498">
            <w:pPr>
              <w:keepNext/>
            </w:pPr>
          </w:p>
        </w:tc>
        <w:tc>
          <w:tcPr>
            <w:tcW w:w="12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4E36D5F1" w14:textId="77777777" w:rsidR="003F4498" w:rsidRDefault="003F4498">
            <w:pPr>
              <w:keepNext/>
            </w:pPr>
          </w:p>
        </w:tc>
      </w:tr>
      <w:tr w:rsidR="003F4498" w14:paraId="6D50F737"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0E2E9967" w14:textId="77777777" w:rsidR="003F4498" w:rsidRDefault="00A90788">
            <w:pPr>
              <w:keepNext/>
              <w:spacing w:before="75" w:after="30"/>
              <w:ind w:left="360"/>
            </w:pPr>
            <w:r>
              <w:rPr>
                <w:color w:val="000000"/>
                <w:sz w:val="20"/>
              </w:rPr>
              <w:t>Purchases of investments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2CBFBBCB" w14:textId="77777777" w:rsidR="003F4498" w:rsidRDefault="00A90788">
            <w:pPr>
              <w:keepNext/>
              <w:spacing w:before="75" w:after="30"/>
              <w:jc w:val="right"/>
            </w:pPr>
            <w:r>
              <w:rPr>
                <w:color w:val="000000"/>
                <w:sz w:val="20"/>
              </w:rPr>
              <w:t>(1,079.0)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2941723"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64882FE"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76D6059D" w14:textId="77777777" w:rsidR="003F4498" w:rsidRDefault="00A90788">
            <w:pPr>
              <w:keepNext/>
              <w:spacing w:before="75" w:after="30"/>
              <w:jc w:val="right"/>
            </w:pPr>
            <w:r>
              <w:rPr>
                <w:color w:val="000000"/>
                <w:sz w:val="20"/>
              </w:rPr>
              <w:t>(1,332.3)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BA252D9" w14:textId="77777777" w:rsidR="003F4498" w:rsidRDefault="003F4498">
            <w:pPr>
              <w:keepNext/>
              <w:spacing w:before="75" w:after="30"/>
              <w:jc w:val="right"/>
            </w:pPr>
          </w:p>
        </w:tc>
      </w:tr>
      <w:tr w:rsidR="003F4498" w14:paraId="40675660"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5628F583" w14:textId="77777777" w:rsidR="003F4498" w:rsidRDefault="00A90788">
            <w:pPr>
              <w:keepNext/>
              <w:spacing w:before="75" w:after="30"/>
              <w:ind w:left="360"/>
            </w:pPr>
            <w:r>
              <w:rPr>
                <w:color w:val="000000"/>
                <w:sz w:val="20"/>
              </w:rPr>
              <w:t>Sales of investments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7C5F783B" w14:textId="77777777" w:rsidR="003F4498" w:rsidRDefault="00A90788">
            <w:pPr>
              <w:keepNext/>
              <w:spacing w:before="75" w:after="30"/>
              <w:jc w:val="right"/>
            </w:pPr>
            <w:r>
              <w:rPr>
                <w:color w:val="000000"/>
                <w:sz w:val="20"/>
              </w:rPr>
              <w:t>152.2 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59460DF"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8554B83"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5B3ECE35" w14:textId="77777777" w:rsidR="003F4498" w:rsidRDefault="00A90788">
            <w:pPr>
              <w:keepNext/>
              <w:spacing w:before="75" w:after="30"/>
              <w:jc w:val="right"/>
            </w:pPr>
            <w:r>
              <w:rPr>
                <w:color w:val="000000"/>
                <w:sz w:val="20"/>
              </w:rPr>
              <w:t>31.3 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379BD7E" w14:textId="77777777" w:rsidR="003F4498" w:rsidRDefault="003F4498">
            <w:pPr>
              <w:keepNext/>
              <w:spacing w:before="75" w:after="30"/>
              <w:jc w:val="right"/>
            </w:pPr>
          </w:p>
        </w:tc>
      </w:tr>
      <w:tr w:rsidR="003F4498" w14:paraId="485589F8"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57698547" w14:textId="77777777" w:rsidR="003F4498" w:rsidRDefault="00A90788">
            <w:pPr>
              <w:keepNext/>
              <w:spacing w:before="75" w:after="30"/>
              <w:ind w:left="360"/>
            </w:pPr>
            <w:r>
              <w:rPr>
                <w:color w:val="000000"/>
                <w:sz w:val="20"/>
              </w:rPr>
              <w:t>Maturities of investments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062ADDEC" w14:textId="77777777" w:rsidR="003F4498" w:rsidRDefault="00A90788">
            <w:pPr>
              <w:keepNext/>
              <w:spacing w:before="75" w:after="30"/>
              <w:jc w:val="right"/>
            </w:pPr>
            <w:r>
              <w:rPr>
                <w:color w:val="000000"/>
                <w:sz w:val="20"/>
              </w:rPr>
              <w:t>1,018.8 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5905424"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CF8C5C3"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6EC7BE20" w14:textId="77777777" w:rsidR="003F4498" w:rsidRDefault="00A90788">
            <w:pPr>
              <w:keepNext/>
              <w:spacing w:before="75" w:after="30"/>
              <w:jc w:val="right"/>
            </w:pPr>
            <w:r>
              <w:rPr>
                <w:color w:val="000000"/>
                <w:sz w:val="20"/>
              </w:rPr>
              <w:t>925.5 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FD5CE3A" w14:textId="77777777" w:rsidR="003F4498" w:rsidRDefault="003F4498">
            <w:pPr>
              <w:keepNext/>
              <w:spacing w:before="75" w:after="30"/>
              <w:jc w:val="right"/>
            </w:pPr>
          </w:p>
        </w:tc>
      </w:tr>
      <w:tr w:rsidR="003F4498" w14:paraId="0FFBF18A"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149AD586" w14:textId="77777777" w:rsidR="003F4498" w:rsidRDefault="00A90788">
            <w:pPr>
              <w:keepNext/>
              <w:spacing w:before="75" w:after="30"/>
              <w:ind w:left="360"/>
            </w:pPr>
            <w:r>
              <w:rPr>
                <w:color w:val="000000"/>
                <w:sz w:val="20"/>
              </w:rPr>
              <w:t>Purchases of property and equipment</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12FE34C6" w14:textId="77777777" w:rsidR="003F4498" w:rsidRDefault="00A90788">
            <w:pPr>
              <w:keepNext/>
              <w:spacing w:before="75" w:after="30"/>
              <w:jc w:val="right"/>
            </w:pPr>
            <w:r>
              <w:rPr>
                <w:color w:val="000000"/>
                <w:sz w:val="20"/>
              </w:rPr>
              <w:t>(125.9)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D3B4128"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53F8256"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1077D8D0" w14:textId="77777777" w:rsidR="003F4498" w:rsidRDefault="00A90788">
            <w:pPr>
              <w:keepNext/>
              <w:spacing w:before="75" w:after="30"/>
              <w:jc w:val="right"/>
            </w:pPr>
            <w:r>
              <w:rPr>
                <w:color w:val="000000"/>
                <w:sz w:val="20"/>
              </w:rPr>
              <w:t>(92.2)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0C5668C" w14:textId="77777777" w:rsidR="003F4498" w:rsidRDefault="003F4498">
            <w:pPr>
              <w:keepNext/>
              <w:spacing w:before="75" w:after="30"/>
              <w:jc w:val="right"/>
            </w:pPr>
          </w:p>
        </w:tc>
      </w:tr>
      <w:tr w:rsidR="003F4498" w14:paraId="772EC1DC"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4F6DE518" w14:textId="77777777" w:rsidR="003F4498" w:rsidRDefault="00A90788">
            <w:pPr>
              <w:keepNext/>
              <w:spacing w:before="75" w:after="30"/>
              <w:ind w:left="360"/>
            </w:pPr>
            <w:r>
              <w:rPr>
                <w:color w:val="000000"/>
                <w:sz w:val="20"/>
              </w:rPr>
              <w:t>Payments made in connection with business combination, net of cash acquired</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45FA98C5" w14:textId="77777777" w:rsidR="003F4498" w:rsidRDefault="00A90788">
            <w:pPr>
              <w:keepNext/>
              <w:spacing w:before="75" w:after="30"/>
              <w:jc w:val="right"/>
            </w:pPr>
            <w:r>
              <w:rPr>
                <w:color w:val="000000"/>
                <w:sz w:val="20"/>
              </w:rPr>
              <w:t>(40.2)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9C3893F"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D74FAE6"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2BCA0832" w14:textId="77777777" w:rsidR="003F4498" w:rsidRDefault="00A90788">
            <w:pPr>
              <w:keepNext/>
              <w:spacing w:before="75" w:after="30"/>
              <w:jc w:val="right"/>
            </w:pPr>
            <w:r>
              <w:rPr>
                <w:color w:val="000000"/>
                <w:sz w:val="20"/>
              </w:rPr>
              <w:t>(34.6)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0A93A50" w14:textId="77777777" w:rsidR="003F4498" w:rsidRDefault="003F4498">
            <w:pPr>
              <w:keepNext/>
              <w:spacing w:before="75" w:after="30"/>
              <w:jc w:val="right"/>
            </w:pPr>
          </w:p>
        </w:tc>
      </w:tr>
      <w:tr w:rsidR="003F4498" w14:paraId="202C26EB"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57D01AF8" w14:textId="77777777" w:rsidR="003F4498" w:rsidRDefault="00A90788">
            <w:pPr>
              <w:keepNext/>
              <w:spacing w:before="75" w:after="30"/>
              <w:ind w:left="360"/>
            </w:pPr>
            <w:r>
              <w:rPr>
                <w:color w:val="000000"/>
                <w:sz w:val="20"/>
              </w:rPr>
              <w:t>Other</w:t>
            </w: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5A77FD2" w14:textId="77777777" w:rsidR="003F4498" w:rsidRDefault="00A90788">
            <w:pPr>
              <w:keepNext/>
              <w:spacing w:before="75" w:after="30"/>
              <w:jc w:val="right"/>
            </w:pPr>
            <w:r>
              <w:rPr>
                <w:color w:val="000000"/>
                <w:sz w:val="20"/>
              </w:rPr>
              <w:t>1.3 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5DF926C"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D013218" w14:textId="77777777" w:rsidR="003F4498" w:rsidRDefault="003F4498">
            <w:pPr>
              <w:keepNext/>
              <w:spacing w:before="75" w:after="30"/>
              <w:jc w:val="righ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1EB9C09" w14:textId="77777777" w:rsidR="003F4498" w:rsidRDefault="00A90788">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6CDCC88" w14:textId="77777777" w:rsidR="003F4498" w:rsidRDefault="003F4498">
            <w:pPr>
              <w:keepNext/>
              <w:spacing w:before="75" w:after="30"/>
              <w:jc w:val="right"/>
            </w:pPr>
          </w:p>
        </w:tc>
      </w:tr>
      <w:tr w:rsidR="003F4498" w14:paraId="4483F70B"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58DDD0F9" w14:textId="77777777" w:rsidR="003F4498" w:rsidRDefault="00A90788">
            <w:pPr>
              <w:keepNext/>
              <w:spacing w:before="75" w:after="30"/>
              <w:ind w:left="1575"/>
            </w:pPr>
            <w:r>
              <w:rPr>
                <w:color w:val="000000"/>
                <w:sz w:val="20"/>
              </w:rPr>
              <w:t>Net cash used in investing activities</w:t>
            </w:r>
          </w:p>
        </w:tc>
        <w:tc>
          <w:tcPr>
            <w:tcW w:w="11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50A6C4DC" w14:textId="77777777" w:rsidR="003F4498" w:rsidRDefault="00A90788">
            <w:pPr>
              <w:keepNext/>
              <w:spacing w:before="55" w:after="30"/>
              <w:jc w:val="right"/>
            </w:pPr>
            <w:r>
              <w:rPr>
                <w:color w:val="000000"/>
                <w:sz w:val="20"/>
              </w:rPr>
              <w:t>(72.8)</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8DB150C"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C34120" w14:textId="77777777" w:rsidR="003F4498" w:rsidRDefault="003F4498">
            <w:pPr>
              <w:keepNext/>
            </w:pPr>
          </w:p>
        </w:tc>
        <w:tc>
          <w:tcPr>
            <w:tcW w:w="11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18A66BAD" w14:textId="77777777" w:rsidR="003F4498" w:rsidRDefault="00A90788">
            <w:pPr>
              <w:keepNext/>
              <w:spacing w:before="55" w:after="30"/>
              <w:jc w:val="right"/>
            </w:pPr>
            <w:r>
              <w:rPr>
                <w:color w:val="000000"/>
                <w:sz w:val="20"/>
              </w:rPr>
              <w:t>(502.3)</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37D99D9" w14:textId="77777777" w:rsidR="003F4498" w:rsidRDefault="003F4498">
            <w:pPr>
              <w:keepNext/>
              <w:spacing w:before="55" w:after="30"/>
              <w:jc w:val="right"/>
            </w:pPr>
          </w:p>
        </w:tc>
      </w:tr>
      <w:tr w:rsidR="003F4498" w14:paraId="37589E08" w14:textId="77777777">
        <w:trPr>
          <w:cantSplit/>
          <w:trHeight w:hRule="exact" w:val="300"/>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15A93957" w14:textId="77777777" w:rsidR="003F4498" w:rsidRDefault="00A90788">
            <w:pPr>
              <w:keepNext/>
              <w:spacing w:before="75" w:after="30"/>
            </w:pPr>
            <w:r>
              <w:rPr>
                <w:color w:val="000000"/>
                <w:sz w:val="20"/>
              </w:rPr>
              <w:t>CASH FLOWS FROM FINANCING ACTIVITIES:</w:t>
            </w:r>
          </w:p>
        </w:tc>
        <w:tc>
          <w:tcPr>
            <w:tcW w:w="12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18097801"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4D7716" w14:textId="77777777" w:rsidR="003F4498" w:rsidRDefault="003F4498">
            <w:pPr>
              <w:keepNext/>
            </w:pPr>
          </w:p>
        </w:tc>
        <w:tc>
          <w:tcPr>
            <w:tcW w:w="12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3CDE4DBA" w14:textId="77777777" w:rsidR="003F4498" w:rsidRDefault="003F4498">
            <w:pPr>
              <w:keepNext/>
            </w:pPr>
          </w:p>
        </w:tc>
      </w:tr>
      <w:tr w:rsidR="003F4498" w14:paraId="081D7BF0"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5DB35AFE" w14:textId="77777777" w:rsidR="003F4498" w:rsidRDefault="00A90788">
            <w:pPr>
              <w:keepNext/>
              <w:spacing w:before="75" w:after="30"/>
              <w:ind w:left="360"/>
            </w:pPr>
            <w:r>
              <w:rPr>
                <w:color w:val="000000"/>
                <w:sz w:val="20"/>
              </w:rPr>
              <w:t>Repurchase and retirement of common stock</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44B6A40E" w14:textId="77777777" w:rsidR="003F4498" w:rsidRDefault="00A90788">
            <w:pPr>
              <w:keepNext/>
              <w:spacing w:before="75" w:after="30"/>
              <w:jc w:val="right"/>
            </w:pPr>
            <w:r>
              <w:rPr>
                <w:color w:val="000000"/>
                <w:sz w:val="20"/>
              </w:rPr>
              <w:t>(1,080.1)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DC08880"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E41610E" w14:textId="77777777" w:rsidR="003F4498" w:rsidRDefault="003F4498">
            <w:pPr>
              <w:keepNext/>
              <w:spacing w:before="75" w:after="3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3D3525A9" w14:textId="77777777" w:rsidR="003F4498" w:rsidRDefault="00A90788">
            <w:pPr>
              <w:keepNext/>
              <w:spacing w:before="75" w:after="30"/>
              <w:jc w:val="right"/>
            </w:pPr>
            <w:r>
              <w:rPr>
                <w:color w:val="000000"/>
                <w:sz w:val="20"/>
              </w:rPr>
              <w:t>(145.1)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AF29A7D" w14:textId="77777777" w:rsidR="003F4498" w:rsidRDefault="003F4498">
            <w:pPr>
              <w:keepNext/>
              <w:spacing w:before="75" w:after="30"/>
              <w:jc w:val="right"/>
            </w:pPr>
          </w:p>
        </w:tc>
      </w:tr>
      <w:tr w:rsidR="003F4498" w14:paraId="481BB501" w14:textId="77777777">
        <w:trPr>
          <w:cantSplit/>
          <w:trHeight w:hRule="exact" w:val="300"/>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6E286773" w14:textId="77777777" w:rsidR="003F4498" w:rsidRDefault="00A90788">
            <w:pPr>
              <w:keepNext/>
              <w:spacing w:before="75" w:after="30"/>
              <w:ind w:left="360"/>
            </w:pPr>
            <w:r>
              <w:rPr>
                <w:color w:val="000000"/>
                <w:sz w:val="20"/>
              </w:rPr>
              <w:t>Proceeds from issuance of common stock</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1F1588A3" w14:textId="77777777" w:rsidR="003F4498" w:rsidRDefault="00A90788">
            <w:pPr>
              <w:keepNext/>
              <w:spacing w:before="75" w:after="30"/>
              <w:jc w:val="right"/>
            </w:pPr>
            <w:r>
              <w:rPr>
                <w:color w:val="000000"/>
                <w:sz w:val="20"/>
              </w:rPr>
              <w:t>22.1 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8279163"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10130F9" w14:textId="77777777" w:rsidR="003F4498" w:rsidRDefault="003F4498">
            <w:pPr>
              <w:keepNext/>
              <w:spacing w:before="75" w:after="30"/>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65C08829" w14:textId="77777777" w:rsidR="003F4498" w:rsidRDefault="00A90788">
            <w:pPr>
              <w:keepNext/>
              <w:spacing w:before="75" w:after="30"/>
              <w:jc w:val="right"/>
            </w:pPr>
            <w:r>
              <w:rPr>
                <w:color w:val="000000"/>
                <w:sz w:val="20"/>
              </w:rPr>
              <w:t>49.5 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6348694" w14:textId="77777777" w:rsidR="003F4498" w:rsidRDefault="003F4498">
            <w:pPr>
              <w:keepNext/>
              <w:spacing w:before="75" w:after="30"/>
              <w:jc w:val="right"/>
            </w:pPr>
          </w:p>
        </w:tc>
      </w:tr>
      <w:tr w:rsidR="003F4498" w14:paraId="1949408E"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69FBCE03" w14:textId="77777777" w:rsidR="003F4498" w:rsidRDefault="00A90788">
            <w:pPr>
              <w:keepNext/>
              <w:spacing w:before="75" w:after="30"/>
              <w:ind w:left="360"/>
            </w:pPr>
            <w:r>
              <w:rPr>
                <w:color w:val="000000"/>
                <w:sz w:val="20"/>
              </w:rPr>
              <w:t>Taxes paid related to net share settlement of equity awards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7C1B4372" w14:textId="77777777" w:rsidR="003F4498" w:rsidRDefault="00A90788">
            <w:pPr>
              <w:keepNext/>
              <w:spacing w:before="75" w:after="30"/>
              <w:jc w:val="right"/>
            </w:pPr>
            <w:r>
              <w:rPr>
                <w:color w:val="000000"/>
                <w:sz w:val="20"/>
              </w:rPr>
              <w:t>(108.2)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CF75E02"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8DE3449" w14:textId="77777777" w:rsidR="003F4498" w:rsidRDefault="003F4498">
            <w:pPr>
              <w:keepNext/>
              <w:spacing w:before="75" w:after="30"/>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7F88D23F" w14:textId="77777777" w:rsidR="003F4498" w:rsidRDefault="00A90788">
            <w:pPr>
              <w:keepNext/>
              <w:spacing w:before="75" w:after="30"/>
              <w:jc w:val="right"/>
            </w:pPr>
            <w:r>
              <w:rPr>
                <w:color w:val="000000"/>
                <w:sz w:val="20"/>
              </w:rPr>
              <w:t>(96.0)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EF6B34C" w14:textId="77777777" w:rsidR="003F4498" w:rsidRDefault="003F4498">
            <w:pPr>
              <w:keepNext/>
              <w:spacing w:before="75" w:after="30"/>
              <w:jc w:val="right"/>
            </w:pPr>
          </w:p>
        </w:tc>
      </w:tr>
      <w:tr w:rsidR="003F4498" w14:paraId="6E68E794"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2A3E482D" w14:textId="77777777" w:rsidR="003F4498" w:rsidRDefault="00A90788">
            <w:pPr>
              <w:keepNext/>
              <w:spacing w:before="75" w:after="30"/>
              <w:ind w:left="360"/>
            </w:pPr>
            <w:r>
              <w:rPr>
                <w:color w:val="000000"/>
                <w:sz w:val="20"/>
              </w:rPr>
              <w:t>Payment of debt assumed in connection with business combination</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263AFDA" w14:textId="77777777" w:rsidR="003F4498" w:rsidRDefault="00A90788">
            <w:pPr>
              <w:keepNext/>
              <w:spacing w:before="75" w:after="30"/>
              <w:jc w:val="right"/>
            </w:pPr>
            <w:r>
              <w:rPr>
                <w:color w:val="000000"/>
                <w:sz w:val="20"/>
              </w:rPr>
              <w:t>(4.1)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55E1F4E"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6E3B665" w14:textId="77777777" w:rsidR="003F4498" w:rsidRDefault="003F4498">
            <w:pPr>
              <w:keepNext/>
              <w:spacing w:before="75" w:after="30"/>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18D93056" w14:textId="77777777" w:rsidR="003F4498" w:rsidRDefault="00A90788">
            <w:pPr>
              <w:keepNext/>
              <w:spacing w:before="75" w:after="30"/>
              <w:jc w:val="right"/>
            </w:pPr>
            <w:r>
              <w:rPr>
                <w:color w:val="000000"/>
                <w:sz w:val="20"/>
              </w:rPr>
              <w:t>(3.7)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F201F98" w14:textId="77777777" w:rsidR="003F4498" w:rsidRDefault="003F4498">
            <w:pPr>
              <w:keepNext/>
              <w:spacing w:before="75" w:after="30"/>
              <w:jc w:val="right"/>
            </w:pPr>
          </w:p>
        </w:tc>
      </w:tr>
      <w:tr w:rsidR="003F4498" w14:paraId="45B285EE"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4988FF0B" w14:textId="77777777" w:rsidR="003F4498" w:rsidRDefault="00A90788">
            <w:pPr>
              <w:keepNext/>
              <w:spacing w:before="75" w:after="30"/>
              <w:ind w:left="360"/>
            </w:pPr>
            <w:r>
              <w:rPr>
                <w:color w:val="000000"/>
                <w:sz w:val="20"/>
              </w:rPr>
              <w:t>Other</w:t>
            </w: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7AD2097" w14:textId="77777777" w:rsidR="003F4498" w:rsidRDefault="00A90788">
            <w:pPr>
              <w:keepNext/>
              <w:spacing w:before="75" w:after="30"/>
              <w:jc w:val="right"/>
            </w:pPr>
            <w:r>
              <w:rPr>
                <w:color w:val="000000"/>
                <w:sz w:val="20"/>
              </w:rPr>
              <w:t>(1.3)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7C8014B"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EE67C2E" w14:textId="77777777" w:rsidR="003F4498" w:rsidRDefault="003F4498">
            <w:pPr>
              <w:keepNext/>
              <w:spacing w:before="75" w:after="30"/>
              <w:jc w:val="righ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B36B3B3" w14:textId="77777777" w:rsidR="003F4498" w:rsidRDefault="00A90788">
            <w:pPr>
              <w:keepNext/>
              <w:spacing w:before="75" w:after="30"/>
              <w:jc w:val="right"/>
            </w:pPr>
            <w:r>
              <w:rPr>
                <w:color w:val="000000"/>
                <w:sz w:val="20"/>
              </w:rPr>
              <w:t>(0.3)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C989C57" w14:textId="77777777" w:rsidR="003F4498" w:rsidRDefault="003F4498">
            <w:pPr>
              <w:keepNext/>
              <w:spacing w:before="75" w:after="30"/>
              <w:jc w:val="right"/>
            </w:pPr>
          </w:p>
        </w:tc>
      </w:tr>
      <w:tr w:rsidR="003F4498" w14:paraId="7AA71534"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6CC8CA82" w14:textId="77777777" w:rsidR="003F4498" w:rsidRDefault="00A90788">
            <w:pPr>
              <w:keepNext/>
              <w:spacing w:before="75" w:after="30"/>
              <w:ind w:left="1575"/>
            </w:pPr>
            <w:r>
              <w:rPr>
                <w:color w:val="000000"/>
                <w:sz w:val="20"/>
              </w:rPr>
              <w:t>Net cash used in financing activities</w:t>
            </w: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6E0DCF44" w14:textId="77777777" w:rsidR="003F4498" w:rsidRDefault="00A90788">
            <w:pPr>
              <w:keepNext/>
              <w:spacing w:before="55" w:after="30"/>
              <w:jc w:val="right"/>
            </w:pPr>
            <w:r>
              <w:rPr>
                <w:color w:val="000000"/>
                <w:sz w:val="20"/>
              </w:rPr>
              <w:t>(1,171.6)</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2D54F3A"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4D30B8" w14:textId="77777777" w:rsidR="003F4498" w:rsidRDefault="003F4498">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6852FC13" w14:textId="77777777" w:rsidR="003F4498" w:rsidRDefault="00A90788">
            <w:pPr>
              <w:keepNext/>
              <w:spacing w:before="55" w:after="30"/>
              <w:jc w:val="right"/>
            </w:pPr>
            <w:r>
              <w:rPr>
                <w:color w:val="000000"/>
                <w:sz w:val="20"/>
              </w:rPr>
              <w:t>(195.6)</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29D6135" w14:textId="77777777" w:rsidR="003F4498" w:rsidRDefault="003F4498">
            <w:pPr>
              <w:keepNext/>
              <w:spacing w:before="55" w:after="30"/>
              <w:jc w:val="right"/>
            </w:pPr>
          </w:p>
        </w:tc>
      </w:tr>
      <w:tr w:rsidR="003F4498" w14:paraId="77E18F31" w14:textId="77777777">
        <w:trPr>
          <w:cantSplit/>
          <w:trHeight w:hRule="exact" w:val="300"/>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76E55BC1" w14:textId="77777777" w:rsidR="003F4498" w:rsidRDefault="00A90788">
            <w:pPr>
              <w:keepNext/>
              <w:spacing w:before="75" w:after="30"/>
            </w:pPr>
            <w:r>
              <w:rPr>
                <w:color w:val="000000"/>
                <w:sz w:val="20"/>
              </w:rPr>
              <w:t>NET INCREASE (DECREASE) IN CASH AND CASH EQUIVALENTS</w:t>
            </w: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57FE02A8" w14:textId="77777777" w:rsidR="003F4498" w:rsidRDefault="00A90788">
            <w:pPr>
              <w:keepNext/>
              <w:spacing w:before="55" w:after="30"/>
              <w:jc w:val="right"/>
            </w:pPr>
            <w:r>
              <w:rPr>
                <w:color w:val="000000"/>
                <w:sz w:val="20"/>
              </w:rPr>
              <w:t>(160.7)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6B8D780"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C3015A1" w14:textId="77777777" w:rsidR="003F4498" w:rsidRDefault="003F4498">
            <w:pPr>
              <w:keepNext/>
            </w:pP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1BBA89F2" w14:textId="77777777" w:rsidR="003F4498" w:rsidRDefault="00A90788">
            <w:pPr>
              <w:keepNext/>
              <w:spacing w:before="55" w:after="30"/>
              <w:jc w:val="right"/>
            </w:pPr>
            <w:r>
              <w:rPr>
                <w:color w:val="000000"/>
                <w:sz w:val="20"/>
              </w:rPr>
              <w:t>110.1 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E4AD531" w14:textId="77777777" w:rsidR="003F4498" w:rsidRDefault="003F4498">
            <w:pPr>
              <w:keepNext/>
              <w:spacing w:before="55" w:after="30"/>
              <w:jc w:val="right"/>
            </w:pPr>
          </w:p>
        </w:tc>
      </w:tr>
      <w:tr w:rsidR="003F4498" w14:paraId="64E0BE65" w14:textId="77777777">
        <w:trPr>
          <w:cantSplit/>
          <w:trHeight w:hRule="exact" w:val="300"/>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233F3533" w14:textId="77777777" w:rsidR="003F4498" w:rsidRDefault="00A90788">
            <w:pPr>
              <w:keepNext/>
              <w:spacing w:before="75" w:after="30"/>
            </w:pPr>
            <w:r>
              <w:rPr>
                <w:color w:val="000000"/>
                <w:sz w:val="20"/>
              </w:rPr>
              <w:t>CASH AND CASH EQUIVALENTS—Beginning of year</w:t>
            </w: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AE8BCAB" w14:textId="77777777" w:rsidR="003F4498" w:rsidRDefault="00A90788">
            <w:pPr>
              <w:keepNext/>
              <w:spacing w:before="75" w:after="30"/>
              <w:jc w:val="right"/>
            </w:pPr>
            <w:r>
              <w:rPr>
                <w:color w:val="000000"/>
                <w:sz w:val="20"/>
              </w:rPr>
              <w:t>1,222.5 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D9ACF79"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7164F9E" w14:textId="77777777" w:rsidR="003F4498" w:rsidRDefault="003F4498">
            <w:pPr>
              <w:keepNext/>
              <w:spacing w:before="75" w:after="30"/>
              <w:jc w:val="righ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DF92123" w14:textId="77777777" w:rsidR="003F4498" w:rsidRDefault="00A90788">
            <w:pPr>
              <w:keepNext/>
              <w:spacing w:before="75" w:after="30"/>
              <w:jc w:val="right"/>
            </w:pPr>
            <w:r>
              <w:rPr>
                <w:color w:val="000000"/>
                <w:sz w:val="20"/>
              </w:rPr>
              <w:t>1,112.4 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9791327" w14:textId="77777777" w:rsidR="003F4498" w:rsidRDefault="003F4498">
            <w:pPr>
              <w:keepNext/>
              <w:spacing w:before="75" w:after="30"/>
              <w:jc w:val="right"/>
            </w:pPr>
          </w:p>
        </w:tc>
      </w:tr>
      <w:tr w:rsidR="003F4498" w14:paraId="6CC89A57" w14:textId="77777777">
        <w:trPr>
          <w:cantSplit/>
          <w:trHeight w:hRule="exact" w:val="300"/>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1CF512DE" w14:textId="77777777" w:rsidR="003F4498" w:rsidRDefault="00A90788">
            <w:pPr>
              <w:spacing w:before="75" w:after="30"/>
            </w:pPr>
            <w:r>
              <w:rPr>
                <w:color w:val="000000"/>
                <w:sz w:val="20"/>
              </w:rPr>
              <w:t>CASH AND CASH EQUIVALENTS—End of year</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0E190E4" w14:textId="77777777" w:rsidR="003F4498" w:rsidRDefault="00A90788">
            <w:pPr>
              <w:spacing w:before="55" w:after="30"/>
            </w:pPr>
            <w:r>
              <w:rPr>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8801DD1" w14:textId="77777777" w:rsidR="003F4498" w:rsidRDefault="00A90788">
            <w:pPr>
              <w:spacing w:before="55" w:after="30"/>
              <w:jc w:val="right"/>
            </w:pPr>
            <w:r>
              <w:rPr>
                <w:color w:val="000000"/>
                <w:sz w:val="20"/>
              </w:rPr>
              <w:t>1,061.8 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604D477" w14:textId="77777777" w:rsidR="003F4498" w:rsidRDefault="003F4498">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5789A2" w14:textId="77777777" w:rsidR="003F4498" w:rsidRDefault="003F4498"/>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347F2BB" w14:textId="77777777" w:rsidR="003F4498" w:rsidRDefault="00A90788">
            <w:pPr>
              <w:spacing w:before="55" w:after="30"/>
            </w:pPr>
            <w:r>
              <w:rPr>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A37B277" w14:textId="77777777" w:rsidR="003F4498" w:rsidRDefault="00A90788">
            <w:pPr>
              <w:spacing w:before="55" w:after="30"/>
              <w:jc w:val="right"/>
            </w:pPr>
            <w:r>
              <w:rPr>
                <w:color w:val="000000"/>
                <w:sz w:val="20"/>
              </w:rPr>
              <w:t>1,222.5 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5C68AD3" w14:textId="77777777" w:rsidR="003F4498" w:rsidRDefault="003F4498">
            <w:pPr>
              <w:spacing w:before="55" w:after="30"/>
              <w:jc w:val="right"/>
            </w:pPr>
          </w:p>
        </w:tc>
      </w:tr>
    </w:tbl>
    <w:p w14:paraId="66D5E5B4" w14:textId="77777777" w:rsidR="003F4498" w:rsidRDefault="003F4498">
      <w:pPr>
        <w:spacing w:line="288" w:lineRule="auto"/>
        <w:rPr>
          <w:sz w:val="20"/>
        </w:rPr>
      </w:pPr>
    </w:p>
    <w:p w14:paraId="36DA0C06" w14:textId="77777777" w:rsidR="003F4498" w:rsidRDefault="00A90788">
      <w:pPr>
        <w:spacing w:line="288" w:lineRule="auto"/>
        <w:rPr>
          <w:rFonts w:ascii="Calibri" w:eastAsia="Calibri" w:hAnsi="Calibri" w:cs="Calibri"/>
          <w:b/>
          <w:sz w:val="22"/>
          <w:vertAlign w:val="superscript"/>
        </w:rPr>
      </w:pPr>
      <w:r>
        <w:rPr>
          <w:b/>
          <w:sz w:val="20"/>
          <w:vertAlign w:val="superscript"/>
        </w:rPr>
        <w:t>1</w:t>
      </w:r>
      <w:r>
        <w:rPr>
          <w:sz w:val="20"/>
        </w:rPr>
        <w:t xml:space="preserve"> Fortinet identified an immaterial error related to the commencement of revenue recognition for certain FortiCare support service contracts, which resulted in an immaterial correction to revenue for prior year reported amounts for the six months ended June 30, 2020. All financial information contained herein has been revised to reflect the correction of this error.</w:t>
      </w:r>
    </w:p>
    <w:p w14:paraId="660C0FA7" w14:textId="77777777" w:rsidR="003F4498" w:rsidRDefault="003F4498">
      <w:pPr>
        <w:spacing w:line="288" w:lineRule="auto"/>
        <w:sectPr w:rsidR="003F4498">
          <w:pgSz w:w="12240" w:h="15840"/>
          <w:pgMar w:top="855" w:right="990" w:bottom="855" w:left="990" w:header="270" w:footer="270" w:gutter="0"/>
          <w:cols w:space="708"/>
        </w:sectPr>
      </w:pPr>
    </w:p>
    <w:p w14:paraId="77C172D3" w14:textId="77777777" w:rsidR="003F4498" w:rsidRDefault="00A90788">
      <w:pPr>
        <w:spacing w:line="288" w:lineRule="auto"/>
        <w:jc w:val="center"/>
        <w:outlineLvl w:val="0"/>
        <w:rPr>
          <w:b/>
          <w:sz w:val="20"/>
        </w:rPr>
      </w:pPr>
      <w:bookmarkStart w:id="4" w:name="Section5"/>
      <w:bookmarkEnd w:id="4"/>
      <w:r>
        <w:rPr>
          <w:b/>
          <w:sz w:val="20"/>
        </w:rPr>
        <w:t xml:space="preserve">Reconciliations of non-GAAP results of operations measures to the nearest comparable GAAP </w:t>
      </w:r>
      <w:proofErr w:type="gramStart"/>
      <w:r>
        <w:rPr>
          <w:b/>
          <w:sz w:val="20"/>
        </w:rPr>
        <w:t>measures</w:t>
      </w:r>
      <w:proofErr w:type="gramEnd"/>
    </w:p>
    <w:p w14:paraId="535EFDD7" w14:textId="77777777" w:rsidR="003F4498" w:rsidRDefault="00A90788">
      <w:pPr>
        <w:spacing w:line="288" w:lineRule="auto"/>
        <w:jc w:val="center"/>
        <w:rPr>
          <w:b/>
          <w:sz w:val="20"/>
        </w:rPr>
      </w:pPr>
      <w:r>
        <w:rPr>
          <w:b/>
          <w:sz w:val="20"/>
        </w:rPr>
        <w:t>(Unaudited, in millions, except per share amounts)</w:t>
      </w:r>
    </w:p>
    <w:p w14:paraId="7E3CFE3D" w14:textId="77777777" w:rsidR="003F4498" w:rsidRDefault="003F4498">
      <w:pPr>
        <w:spacing w:line="288" w:lineRule="auto"/>
        <w:jc w:val="center"/>
        <w:rPr>
          <w:b/>
          <w:sz w:val="20"/>
        </w:rPr>
      </w:pPr>
    </w:p>
    <w:p w14:paraId="04F261E6" w14:textId="77777777" w:rsidR="003F4498" w:rsidRDefault="00A90788">
      <w:pPr>
        <w:spacing w:after="100" w:line="288" w:lineRule="auto"/>
        <w:rPr>
          <w:b/>
          <w:sz w:val="20"/>
        </w:rPr>
      </w:pPr>
      <w:r>
        <w:rPr>
          <w:b/>
          <w:sz w:val="20"/>
        </w:rPr>
        <w:t xml:space="preserve">Reconciliation of net cash provided by operating activities to free cash </w:t>
      </w:r>
      <w:proofErr w:type="gramStart"/>
      <w:r>
        <w:rPr>
          <w:b/>
          <w:sz w:val="20"/>
        </w:rPr>
        <w:t>flow</w:t>
      </w:r>
      <w:r>
        <w:rPr>
          <w:b/>
          <w:sz w:val="20"/>
          <w:vertAlign w:val="superscript"/>
        </w:rPr>
        <w:t>1</w:t>
      </w:r>
      <w:proofErr w:type="gramEnd"/>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163"/>
        <w:gridCol w:w="1089"/>
        <w:gridCol w:w="102"/>
        <w:gridCol w:w="113"/>
        <w:gridCol w:w="162"/>
        <w:gridCol w:w="1088"/>
        <w:gridCol w:w="101"/>
        <w:gridCol w:w="76"/>
        <w:gridCol w:w="162"/>
        <w:gridCol w:w="1088"/>
        <w:gridCol w:w="101"/>
        <w:gridCol w:w="113"/>
        <w:gridCol w:w="162"/>
        <w:gridCol w:w="1088"/>
        <w:gridCol w:w="101"/>
      </w:tblGrid>
      <w:tr w:rsidR="003F4498" w14:paraId="7838DF69" w14:textId="77777777">
        <w:trPr>
          <w:cantSplit/>
          <w:trHeight w:hRule="exact" w:val="285"/>
          <w:jc w:val="center"/>
        </w:trPr>
        <w:tc>
          <w:tcPr>
            <w:tcW w:w="4485" w:type="dxa"/>
            <w:tcBorders>
              <w:top w:val="nil"/>
              <w:left w:val="nil"/>
              <w:bottom w:val="nil"/>
              <w:right w:val="nil"/>
            </w:tcBorders>
            <w:tcMar>
              <w:top w:w="0" w:type="dxa"/>
              <w:left w:w="0" w:type="dxa"/>
              <w:bottom w:w="0" w:type="dxa"/>
              <w:right w:w="0" w:type="dxa"/>
            </w:tcMar>
            <w:vAlign w:val="bottom"/>
          </w:tcPr>
          <w:p w14:paraId="61A27238" w14:textId="77777777" w:rsidR="003F4498" w:rsidRDefault="003F4498">
            <w:pPr>
              <w:keepNext/>
            </w:pPr>
          </w:p>
        </w:tc>
        <w:tc>
          <w:tcPr>
            <w:tcW w:w="2745" w:type="dxa"/>
            <w:gridSpan w:val="7"/>
            <w:tcBorders>
              <w:top w:val="nil"/>
              <w:left w:val="nil"/>
              <w:bottom w:val="nil"/>
              <w:right w:val="nil"/>
            </w:tcBorders>
            <w:tcMar>
              <w:top w:w="0" w:type="dxa"/>
              <w:left w:w="53" w:type="dxa"/>
              <w:bottom w:w="0" w:type="dxa"/>
              <w:right w:w="53" w:type="dxa"/>
            </w:tcMar>
            <w:vAlign w:val="bottom"/>
          </w:tcPr>
          <w:p w14:paraId="3004BAFE" w14:textId="77777777" w:rsidR="003F4498" w:rsidRDefault="00A90788">
            <w:pPr>
              <w:keepNext/>
              <w:spacing w:before="75" w:after="30"/>
              <w:jc w:val="center"/>
            </w:pPr>
            <w:r>
              <w:rPr>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14:paraId="40866449" w14:textId="77777777" w:rsidR="003F4498" w:rsidRDefault="003F4498">
            <w:pPr>
              <w:keepNext/>
            </w:pPr>
          </w:p>
        </w:tc>
        <w:tc>
          <w:tcPr>
            <w:tcW w:w="2745" w:type="dxa"/>
            <w:gridSpan w:val="7"/>
            <w:tcBorders>
              <w:top w:val="nil"/>
              <w:left w:val="nil"/>
              <w:bottom w:val="nil"/>
              <w:right w:val="nil"/>
            </w:tcBorders>
            <w:tcMar>
              <w:top w:w="0" w:type="dxa"/>
              <w:left w:w="53" w:type="dxa"/>
              <w:bottom w:w="0" w:type="dxa"/>
              <w:right w:w="53" w:type="dxa"/>
            </w:tcMar>
            <w:vAlign w:val="bottom"/>
          </w:tcPr>
          <w:p w14:paraId="7EC21F54" w14:textId="77777777" w:rsidR="003F4498" w:rsidRDefault="00A90788">
            <w:pPr>
              <w:keepNext/>
              <w:spacing w:before="75" w:after="30"/>
              <w:jc w:val="center"/>
            </w:pPr>
            <w:proofErr w:type="gramStart"/>
            <w:r>
              <w:rPr>
                <w:b/>
                <w:color w:val="000000"/>
                <w:sz w:val="20"/>
              </w:rPr>
              <w:t>Year  Ended</w:t>
            </w:r>
            <w:proofErr w:type="gramEnd"/>
          </w:p>
        </w:tc>
      </w:tr>
      <w:tr w:rsidR="003F4498" w14:paraId="5987B02F" w14:textId="77777777">
        <w:trPr>
          <w:cantSplit/>
          <w:trHeight w:hRule="exact" w:val="645"/>
          <w:jc w:val="center"/>
        </w:trPr>
        <w:tc>
          <w:tcPr>
            <w:tcW w:w="4485" w:type="dxa"/>
            <w:tcBorders>
              <w:top w:val="nil"/>
              <w:left w:val="nil"/>
              <w:bottom w:val="nil"/>
              <w:right w:val="nil"/>
            </w:tcBorders>
            <w:tcMar>
              <w:top w:w="0" w:type="dxa"/>
              <w:left w:w="0" w:type="dxa"/>
              <w:bottom w:w="0" w:type="dxa"/>
              <w:right w:w="0" w:type="dxa"/>
            </w:tcMar>
            <w:vAlign w:val="bottom"/>
          </w:tcPr>
          <w:p w14:paraId="38DFAFC3" w14:textId="77777777" w:rsidR="003F4498" w:rsidRDefault="003F4498">
            <w:pPr>
              <w:keepNext/>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7866A5FA" w14:textId="77777777" w:rsidR="003F4498" w:rsidRDefault="00A90788">
            <w:pPr>
              <w:keepNext/>
              <w:spacing w:before="55" w:after="30"/>
              <w:jc w:val="center"/>
            </w:pPr>
            <w:r>
              <w:rPr>
                <w:b/>
                <w:color w:val="000000"/>
                <w:sz w:val="20"/>
              </w:rPr>
              <w:t>December 31,</w:t>
            </w:r>
            <w:r>
              <w:br/>
            </w:r>
            <w:r>
              <w:rPr>
                <w:b/>
                <w:color w:val="000000"/>
                <w:sz w:val="20"/>
              </w:rPr>
              <w:t>2020</w:t>
            </w:r>
          </w:p>
        </w:tc>
        <w:tc>
          <w:tcPr>
            <w:tcW w:w="75" w:type="dxa"/>
            <w:tcBorders>
              <w:top w:val="single" w:sz="8" w:space="0" w:color="000000"/>
              <w:left w:val="nil"/>
              <w:bottom w:val="nil"/>
              <w:right w:val="nil"/>
            </w:tcBorders>
            <w:tcMar>
              <w:top w:w="0" w:type="dxa"/>
              <w:left w:w="53" w:type="dxa"/>
              <w:bottom w:w="0" w:type="dxa"/>
              <w:right w:w="53" w:type="dxa"/>
            </w:tcMar>
            <w:vAlign w:val="bottom"/>
          </w:tcPr>
          <w:p w14:paraId="14FA555E" w14:textId="77777777" w:rsidR="003F4498" w:rsidRDefault="003F4498">
            <w:pPr>
              <w:keepNext/>
              <w:spacing w:before="55" w:after="30"/>
              <w:jc w:val="center"/>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2A9C034" w14:textId="77777777" w:rsidR="003F4498" w:rsidRDefault="00A90788">
            <w:pPr>
              <w:keepNext/>
              <w:spacing w:before="55" w:after="30"/>
              <w:jc w:val="center"/>
            </w:pPr>
            <w:r>
              <w:rPr>
                <w:b/>
                <w:color w:val="000000"/>
                <w:sz w:val="20"/>
              </w:rPr>
              <w:t>December 31,</w:t>
            </w:r>
            <w:r>
              <w:br/>
            </w:r>
            <w:r>
              <w:rPr>
                <w:b/>
                <w:color w:val="000000"/>
                <w:sz w:val="20"/>
              </w:rPr>
              <w:t>2019</w:t>
            </w:r>
          </w:p>
        </w:tc>
        <w:tc>
          <w:tcPr>
            <w:tcW w:w="75" w:type="dxa"/>
            <w:tcBorders>
              <w:top w:val="nil"/>
              <w:left w:val="nil"/>
              <w:bottom w:val="nil"/>
              <w:right w:val="nil"/>
            </w:tcBorders>
            <w:tcMar>
              <w:top w:w="0" w:type="dxa"/>
              <w:left w:w="0" w:type="dxa"/>
              <w:bottom w:w="0" w:type="dxa"/>
              <w:right w:w="0" w:type="dxa"/>
            </w:tcMar>
            <w:vAlign w:val="bottom"/>
          </w:tcPr>
          <w:p w14:paraId="253F688E" w14:textId="77777777" w:rsidR="003F4498" w:rsidRDefault="003F4498">
            <w:pPr>
              <w:keepNext/>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C9AC503" w14:textId="77777777" w:rsidR="003F4498" w:rsidRDefault="00A90788">
            <w:pPr>
              <w:keepNext/>
              <w:spacing w:before="55" w:after="30"/>
              <w:jc w:val="center"/>
            </w:pPr>
            <w:r>
              <w:rPr>
                <w:b/>
                <w:color w:val="000000"/>
                <w:sz w:val="20"/>
              </w:rPr>
              <w:t>December 31,</w:t>
            </w:r>
            <w:r>
              <w:br/>
            </w:r>
            <w:r>
              <w:rPr>
                <w:b/>
                <w:color w:val="000000"/>
                <w:sz w:val="20"/>
              </w:rPr>
              <w:t>2020</w:t>
            </w:r>
          </w:p>
        </w:tc>
        <w:tc>
          <w:tcPr>
            <w:tcW w:w="75" w:type="dxa"/>
            <w:tcBorders>
              <w:top w:val="single" w:sz="8" w:space="0" w:color="000000"/>
              <w:left w:val="nil"/>
              <w:bottom w:val="nil"/>
              <w:right w:val="nil"/>
            </w:tcBorders>
            <w:tcMar>
              <w:top w:w="0" w:type="dxa"/>
              <w:left w:w="53" w:type="dxa"/>
              <w:bottom w:w="0" w:type="dxa"/>
              <w:right w:w="53" w:type="dxa"/>
            </w:tcMar>
            <w:vAlign w:val="bottom"/>
          </w:tcPr>
          <w:p w14:paraId="2884CB20" w14:textId="77777777" w:rsidR="003F4498" w:rsidRDefault="003F4498">
            <w:pPr>
              <w:keepNext/>
              <w:spacing w:before="55" w:after="30"/>
              <w:jc w:val="center"/>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9714599" w14:textId="77777777" w:rsidR="003F4498" w:rsidRDefault="00A90788">
            <w:pPr>
              <w:keepNext/>
              <w:spacing w:before="55" w:after="30"/>
              <w:jc w:val="center"/>
            </w:pPr>
            <w:r>
              <w:rPr>
                <w:b/>
                <w:color w:val="000000"/>
                <w:sz w:val="20"/>
              </w:rPr>
              <w:t>December 31,</w:t>
            </w:r>
            <w:r>
              <w:br/>
            </w:r>
            <w:r>
              <w:rPr>
                <w:b/>
                <w:color w:val="000000"/>
                <w:sz w:val="20"/>
              </w:rPr>
              <w:t>2019</w:t>
            </w:r>
          </w:p>
        </w:tc>
      </w:tr>
      <w:tr w:rsidR="003F4498" w14:paraId="4BE0F754" w14:textId="77777777">
        <w:trPr>
          <w:cantSplit/>
          <w:trHeight w:hRule="exact" w:val="300"/>
          <w:jc w:val="center"/>
        </w:trPr>
        <w:tc>
          <w:tcPr>
            <w:tcW w:w="4485" w:type="dxa"/>
            <w:tcBorders>
              <w:top w:val="nil"/>
              <w:left w:val="nil"/>
              <w:bottom w:val="nil"/>
              <w:right w:val="nil"/>
            </w:tcBorders>
            <w:shd w:val="clear" w:color="auto" w:fill="CCEEFF"/>
            <w:tcMar>
              <w:top w:w="0" w:type="dxa"/>
              <w:left w:w="53" w:type="dxa"/>
              <w:bottom w:w="0" w:type="dxa"/>
              <w:right w:w="15" w:type="dxa"/>
            </w:tcMar>
            <w:vAlign w:val="bottom"/>
          </w:tcPr>
          <w:p w14:paraId="457EDE5B" w14:textId="77777777" w:rsidR="003F4498" w:rsidRDefault="00A90788">
            <w:pPr>
              <w:keepNext/>
              <w:spacing w:before="75" w:after="30"/>
            </w:pPr>
            <w:r>
              <w:rPr>
                <w:color w:val="000000"/>
                <w:sz w:val="20"/>
              </w:rPr>
              <w:t>Net cash provided by operating activities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F251663" w14:textId="77777777" w:rsidR="003F4498" w:rsidRDefault="00A90788">
            <w:pPr>
              <w:keepNext/>
              <w:spacing w:before="55" w:after="30"/>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CD898D3" w14:textId="77777777" w:rsidR="003F4498" w:rsidRDefault="00A90788">
            <w:pPr>
              <w:keepNext/>
              <w:spacing w:before="55" w:after="30"/>
              <w:jc w:val="right"/>
            </w:pPr>
            <w:r>
              <w:rPr>
                <w:color w:val="000000"/>
                <w:sz w:val="20"/>
              </w:rPr>
              <w:t>296.5 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C6BADB8"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9F4483B" w14:textId="77777777" w:rsidR="003F4498" w:rsidRDefault="003F4498">
            <w:pPr>
              <w:keepNext/>
              <w:spacing w:before="7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B83D7DA" w14:textId="77777777" w:rsidR="003F4498" w:rsidRDefault="00A90788">
            <w:pPr>
              <w:keepNext/>
              <w:spacing w:before="55" w:after="30"/>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BFC868F" w14:textId="77777777" w:rsidR="003F4498" w:rsidRDefault="00A90788">
            <w:pPr>
              <w:keepNext/>
              <w:spacing w:before="55" w:after="30"/>
              <w:jc w:val="right"/>
            </w:pPr>
            <w:r>
              <w:rPr>
                <w:color w:val="000000"/>
                <w:sz w:val="20"/>
              </w:rPr>
              <w:t>190.4 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1C2F6EA"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87361C" w14:textId="77777777" w:rsidR="003F4498" w:rsidRDefault="003F4498">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133DED7" w14:textId="77777777" w:rsidR="003F4498" w:rsidRDefault="00A90788">
            <w:pPr>
              <w:keepNext/>
              <w:spacing w:before="55" w:after="30"/>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DF88B96" w14:textId="77777777" w:rsidR="003F4498" w:rsidRDefault="00A90788">
            <w:pPr>
              <w:keepNext/>
              <w:spacing w:before="55" w:after="30"/>
              <w:jc w:val="right"/>
            </w:pPr>
            <w:r>
              <w:rPr>
                <w:color w:val="000000"/>
                <w:sz w:val="20"/>
              </w:rPr>
              <w:t>1,083.7 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30FDD27"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2A3D014" w14:textId="77777777" w:rsidR="003F4498" w:rsidRDefault="003F4498">
            <w:pPr>
              <w:keepNext/>
              <w:spacing w:before="7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1723781" w14:textId="77777777" w:rsidR="003F4498" w:rsidRDefault="00A90788">
            <w:pPr>
              <w:keepNext/>
              <w:spacing w:before="55" w:after="30"/>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5C82F1A" w14:textId="77777777" w:rsidR="003F4498" w:rsidRDefault="00A90788">
            <w:pPr>
              <w:keepNext/>
              <w:spacing w:before="55" w:after="30"/>
              <w:jc w:val="right"/>
            </w:pPr>
            <w:r>
              <w:rPr>
                <w:color w:val="000000"/>
                <w:sz w:val="20"/>
              </w:rPr>
              <w:t>808.0 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BC3A6C0" w14:textId="77777777" w:rsidR="003F4498" w:rsidRDefault="003F4498">
            <w:pPr>
              <w:keepNext/>
              <w:spacing w:before="55" w:after="30"/>
              <w:jc w:val="right"/>
            </w:pPr>
          </w:p>
        </w:tc>
      </w:tr>
      <w:tr w:rsidR="003F4498" w14:paraId="2DDD861B" w14:textId="77777777">
        <w:trPr>
          <w:cantSplit/>
          <w:trHeight w:hRule="exact" w:val="300"/>
          <w:jc w:val="center"/>
        </w:trPr>
        <w:tc>
          <w:tcPr>
            <w:tcW w:w="4485" w:type="dxa"/>
            <w:tcBorders>
              <w:top w:val="nil"/>
              <w:left w:val="nil"/>
              <w:bottom w:val="nil"/>
              <w:right w:val="nil"/>
            </w:tcBorders>
            <w:shd w:val="clear" w:color="auto" w:fill="FFFFFF"/>
            <w:tcMar>
              <w:top w:w="0" w:type="dxa"/>
              <w:left w:w="53" w:type="dxa"/>
              <w:bottom w:w="0" w:type="dxa"/>
              <w:right w:w="53" w:type="dxa"/>
            </w:tcMar>
            <w:vAlign w:val="bottom"/>
          </w:tcPr>
          <w:p w14:paraId="107D3ACB" w14:textId="77777777" w:rsidR="003F4498" w:rsidRDefault="00A90788">
            <w:pPr>
              <w:keepNext/>
              <w:spacing w:before="75" w:after="30"/>
              <w:ind w:left="225"/>
            </w:pPr>
            <w:r>
              <w:rPr>
                <w:color w:val="000000"/>
                <w:sz w:val="20"/>
              </w:rPr>
              <w:t>Less: Purchases of property and equipment</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14:paraId="2F453917" w14:textId="77777777" w:rsidR="003F4498" w:rsidRDefault="00A90788">
            <w:pPr>
              <w:keepNext/>
              <w:spacing w:before="75" w:after="30"/>
              <w:jc w:val="right"/>
            </w:pPr>
            <w:r>
              <w:rPr>
                <w:color w:val="000000"/>
                <w:sz w:val="20"/>
              </w:rPr>
              <w:t>(32.3)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DABFBCE"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9E7B626" w14:textId="77777777" w:rsidR="003F4498" w:rsidRDefault="003F4498">
            <w:pPr>
              <w:keepNext/>
              <w:spacing w:before="75" w:after="3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14:paraId="69439F00" w14:textId="77777777" w:rsidR="003F4498" w:rsidRDefault="00A90788">
            <w:pPr>
              <w:keepNext/>
              <w:spacing w:before="75" w:after="30"/>
              <w:jc w:val="right"/>
            </w:pPr>
            <w:r>
              <w:rPr>
                <w:color w:val="000000"/>
                <w:sz w:val="20"/>
              </w:rPr>
              <w:t>(47.2)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237C2FA"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3FD3F4" w14:textId="77777777" w:rsidR="003F4498" w:rsidRDefault="003F4498">
            <w:pPr>
              <w:keepNex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14:paraId="7BB2F707" w14:textId="77777777" w:rsidR="003F4498" w:rsidRDefault="00A90788">
            <w:pPr>
              <w:keepNext/>
              <w:spacing w:before="75" w:after="30"/>
              <w:jc w:val="right"/>
            </w:pPr>
            <w:r>
              <w:rPr>
                <w:color w:val="000000"/>
                <w:sz w:val="20"/>
              </w:rPr>
              <w:t>(125.9)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BBBBB03"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C02121F" w14:textId="77777777" w:rsidR="003F4498" w:rsidRDefault="003F4498">
            <w:pPr>
              <w:keepNext/>
              <w:spacing w:before="75" w:after="3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14:paraId="467DF34C" w14:textId="77777777" w:rsidR="003F4498" w:rsidRDefault="00A90788">
            <w:pPr>
              <w:keepNext/>
              <w:spacing w:before="75" w:after="30"/>
              <w:jc w:val="right"/>
            </w:pPr>
            <w:r>
              <w:rPr>
                <w:color w:val="000000"/>
                <w:sz w:val="20"/>
              </w:rPr>
              <w:t>(92.2)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8EB81C0" w14:textId="77777777" w:rsidR="003F4498" w:rsidRDefault="003F4498">
            <w:pPr>
              <w:keepNext/>
              <w:spacing w:before="75" w:after="30"/>
              <w:jc w:val="right"/>
            </w:pPr>
          </w:p>
        </w:tc>
      </w:tr>
      <w:tr w:rsidR="003F4498" w14:paraId="64D061AF" w14:textId="77777777">
        <w:trPr>
          <w:cantSplit/>
          <w:trHeight w:hRule="exact" w:val="300"/>
          <w:jc w:val="center"/>
        </w:trPr>
        <w:tc>
          <w:tcPr>
            <w:tcW w:w="4485" w:type="dxa"/>
            <w:tcBorders>
              <w:top w:val="nil"/>
              <w:left w:val="nil"/>
              <w:bottom w:val="nil"/>
              <w:right w:val="nil"/>
            </w:tcBorders>
            <w:shd w:val="clear" w:color="auto" w:fill="CCEEFF"/>
            <w:tcMar>
              <w:top w:w="0" w:type="dxa"/>
              <w:left w:w="53" w:type="dxa"/>
              <w:bottom w:w="0" w:type="dxa"/>
              <w:right w:w="15" w:type="dxa"/>
            </w:tcMar>
            <w:vAlign w:val="bottom"/>
          </w:tcPr>
          <w:p w14:paraId="266E8E1B" w14:textId="77777777" w:rsidR="003F4498" w:rsidRDefault="00A90788">
            <w:pPr>
              <w:keepNext/>
              <w:spacing w:before="75" w:after="30"/>
              <w:ind w:left="240"/>
            </w:pPr>
            <w:r>
              <w:rPr>
                <w:color w:val="000000"/>
                <w:sz w:val="20"/>
              </w:rPr>
              <w:t>Less: Proceeds from intellectual property matter</w:t>
            </w: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A4E628B" w14:textId="77777777" w:rsidR="003F4498" w:rsidRDefault="00A90788">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C276C4D"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729EE9" w14:textId="77777777" w:rsidR="003F4498" w:rsidRDefault="003F4498">
            <w:pPr>
              <w:keepNext/>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B4741C9" w14:textId="77777777" w:rsidR="003F4498" w:rsidRDefault="00A90788">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7B3A0A6"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26D80C" w14:textId="77777777" w:rsidR="003F4498" w:rsidRDefault="003F4498">
            <w:pPr>
              <w:keepNext/>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A3B12BC" w14:textId="77777777" w:rsidR="003F4498" w:rsidRDefault="00A90788">
            <w:pPr>
              <w:keepNext/>
              <w:spacing w:before="75" w:after="30"/>
              <w:jc w:val="right"/>
            </w:pPr>
            <w:r>
              <w:rPr>
                <w:color w:val="000000"/>
                <w:sz w:val="20"/>
              </w:rPr>
              <w:t>(50.0)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74A8FFD"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82A0A5" w14:textId="77777777" w:rsidR="003F4498" w:rsidRDefault="003F4498">
            <w:pPr>
              <w:keepNext/>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859BB92" w14:textId="77777777" w:rsidR="003F4498" w:rsidRDefault="00A90788">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57DC3E1" w14:textId="77777777" w:rsidR="003F4498" w:rsidRDefault="003F4498">
            <w:pPr>
              <w:keepNext/>
              <w:spacing w:before="75" w:after="30"/>
              <w:jc w:val="right"/>
            </w:pPr>
          </w:p>
        </w:tc>
      </w:tr>
      <w:tr w:rsidR="003F4498" w14:paraId="2E6AFD2A" w14:textId="77777777">
        <w:trPr>
          <w:cantSplit/>
          <w:trHeight w:hRule="exact" w:val="300"/>
          <w:jc w:val="center"/>
        </w:trPr>
        <w:tc>
          <w:tcPr>
            <w:tcW w:w="4485" w:type="dxa"/>
            <w:tcBorders>
              <w:top w:val="nil"/>
              <w:left w:val="nil"/>
              <w:bottom w:val="nil"/>
              <w:right w:val="nil"/>
            </w:tcBorders>
            <w:shd w:val="clear" w:color="auto" w:fill="FFFFFF"/>
            <w:tcMar>
              <w:top w:w="0" w:type="dxa"/>
              <w:left w:w="53" w:type="dxa"/>
              <w:bottom w:w="0" w:type="dxa"/>
              <w:right w:w="15" w:type="dxa"/>
            </w:tcMar>
            <w:vAlign w:val="bottom"/>
          </w:tcPr>
          <w:p w14:paraId="29405356" w14:textId="77777777" w:rsidR="003F4498" w:rsidRDefault="00A90788">
            <w:pPr>
              <w:keepNext/>
              <w:spacing w:before="75" w:after="30"/>
            </w:pPr>
            <w:r>
              <w:rPr>
                <w:color w:val="000000"/>
                <w:sz w:val="20"/>
              </w:rPr>
              <w:t>Free cash flow</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3C9DF23" w14:textId="77777777" w:rsidR="003F4498" w:rsidRDefault="00A90788">
            <w:pPr>
              <w:keepNext/>
              <w:spacing w:before="55" w:after="30"/>
            </w:pPr>
            <w:r>
              <w:rPr>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28213D7" w14:textId="77777777" w:rsidR="003F4498" w:rsidRDefault="00A90788">
            <w:pPr>
              <w:keepNext/>
              <w:spacing w:before="55" w:after="30"/>
              <w:jc w:val="right"/>
            </w:pPr>
            <w:r>
              <w:rPr>
                <w:color w:val="000000"/>
                <w:sz w:val="20"/>
              </w:rPr>
              <w:t>264.2 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33FD595"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F16AA0"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294707D" w14:textId="77777777" w:rsidR="003F4498" w:rsidRDefault="00A90788">
            <w:pPr>
              <w:keepNext/>
              <w:spacing w:before="55" w:after="30"/>
            </w:pPr>
            <w:r>
              <w:rPr>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3AC489E" w14:textId="77777777" w:rsidR="003F4498" w:rsidRDefault="00A90788">
            <w:pPr>
              <w:keepNext/>
              <w:spacing w:before="55" w:after="30"/>
              <w:jc w:val="right"/>
            </w:pPr>
            <w:r>
              <w:rPr>
                <w:color w:val="000000"/>
                <w:sz w:val="20"/>
              </w:rPr>
              <w:t>143.2 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36AD41A"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57C948"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6D18ED8" w14:textId="77777777" w:rsidR="003F4498" w:rsidRDefault="00A90788">
            <w:pPr>
              <w:keepNext/>
              <w:spacing w:before="55" w:after="30"/>
            </w:pPr>
            <w:r>
              <w:rPr>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061DD72" w14:textId="77777777" w:rsidR="003F4498" w:rsidRDefault="00A90788">
            <w:pPr>
              <w:keepNext/>
              <w:spacing w:before="55" w:after="30"/>
              <w:jc w:val="right"/>
            </w:pPr>
            <w:r>
              <w:rPr>
                <w:color w:val="000000"/>
                <w:sz w:val="20"/>
              </w:rPr>
              <w:t>907.8 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5792440" w14:textId="77777777" w:rsidR="003F4498" w:rsidRDefault="003F4498">
            <w:pPr>
              <w:keepNext/>
              <w:spacing w:before="5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37069D1" w14:textId="77777777" w:rsidR="003F4498" w:rsidRDefault="003F4498">
            <w:pPr>
              <w:keepNext/>
              <w:spacing w:before="75"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A98441A" w14:textId="77777777" w:rsidR="003F4498" w:rsidRDefault="00A90788">
            <w:pPr>
              <w:keepNext/>
              <w:spacing w:before="55" w:after="30"/>
            </w:pPr>
            <w:r>
              <w:rPr>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E7976BC" w14:textId="77777777" w:rsidR="003F4498" w:rsidRDefault="00A90788">
            <w:pPr>
              <w:keepNext/>
              <w:spacing w:before="55" w:after="30"/>
              <w:jc w:val="right"/>
            </w:pPr>
            <w:r>
              <w:rPr>
                <w:color w:val="000000"/>
                <w:sz w:val="20"/>
              </w:rPr>
              <w:t>715.8 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4CCC33E" w14:textId="77777777" w:rsidR="003F4498" w:rsidRDefault="003F4498">
            <w:pPr>
              <w:keepNext/>
              <w:spacing w:before="55" w:after="30"/>
              <w:jc w:val="right"/>
            </w:pPr>
          </w:p>
        </w:tc>
      </w:tr>
      <w:tr w:rsidR="003F4498" w14:paraId="3D6CCF71" w14:textId="77777777" w:rsidTr="006F54BB">
        <w:trPr>
          <w:cantSplit/>
          <w:trHeight w:hRule="exact" w:val="474"/>
          <w:jc w:val="center"/>
        </w:trPr>
        <w:tc>
          <w:tcPr>
            <w:tcW w:w="4485" w:type="dxa"/>
            <w:tcBorders>
              <w:top w:val="nil"/>
              <w:left w:val="nil"/>
              <w:bottom w:val="nil"/>
              <w:right w:val="nil"/>
            </w:tcBorders>
            <w:shd w:val="clear" w:color="auto" w:fill="CCEEFF"/>
            <w:tcMar>
              <w:top w:w="0" w:type="dxa"/>
              <w:left w:w="53" w:type="dxa"/>
              <w:bottom w:w="0" w:type="dxa"/>
              <w:right w:w="15" w:type="dxa"/>
            </w:tcMar>
            <w:vAlign w:val="bottom"/>
          </w:tcPr>
          <w:p w14:paraId="597EED5A" w14:textId="77777777" w:rsidR="003F4498" w:rsidRDefault="00A90788">
            <w:pPr>
              <w:keepNext/>
              <w:spacing w:before="75" w:after="30"/>
            </w:pPr>
            <w:r>
              <w:rPr>
                <w:color w:val="000000"/>
                <w:sz w:val="20"/>
              </w:rPr>
              <w:t>Net cash used in investing activities</w:t>
            </w: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5647F44" w14:textId="77777777" w:rsidR="003F4498" w:rsidRDefault="00A90788">
            <w:pPr>
              <w:keepNext/>
              <w:spacing w:before="55" w:after="30"/>
            </w:pPr>
            <w:r>
              <w:rPr>
                <w:color w:val="000000"/>
                <w:sz w:val="20"/>
              </w:rPr>
              <w:t>$</w:t>
            </w:r>
          </w:p>
        </w:tc>
        <w:tc>
          <w:tcPr>
            <w:tcW w:w="107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B735149" w14:textId="77777777" w:rsidR="003F4498" w:rsidRDefault="00A90788">
            <w:pPr>
              <w:keepNext/>
              <w:spacing w:before="55" w:after="30"/>
              <w:jc w:val="right"/>
            </w:pPr>
            <w:r>
              <w:rPr>
                <w:color w:val="000000"/>
                <w:sz w:val="20"/>
              </w:rPr>
              <w:t>(65.0)</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202217C"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6CB3BDC" w14:textId="77777777" w:rsidR="003F4498" w:rsidRDefault="003F4498">
            <w:pPr>
              <w:keepNext/>
              <w:spacing w:before="75" w:after="30"/>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DC42809" w14:textId="77777777" w:rsidR="003F4498" w:rsidRDefault="00A90788">
            <w:pPr>
              <w:keepNext/>
              <w:spacing w:before="55" w:after="30"/>
            </w:pPr>
            <w:r>
              <w:rPr>
                <w:color w:val="000000"/>
                <w:sz w:val="20"/>
              </w:rPr>
              <w:t>$</w:t>
            </w:r>
          </w:p>
        </w:tc>
        <w:tc>
          <w:tcPr>
            <w:tcW w:w="107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940CC31" w14:textId="77777777" w:rsidR="003F4498" w:rsidRDefault="00A90788">
            <w:pPr>
              <w:keepNext/>
              <w:spacing w:before="55" w:after="30"/>
              <w:jc w:val="right"/>
            </w:pPr>
            <w:r>
              <w:rPr>
                <w:color w:val="000000"/>
                <w:sz w:val="20"/>
              </w:rPr>
              <w:t>(99.6)</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5E6555B"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6570EF" w14:textId="77777777" w:rsidR="003F4498" w:rsidRDefault="003F4498">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EAA3161" w14:textId="77777777" w:rsidR="003F4498" w:rsidRDefault="00A90788">
            <w:pPr>
              <w:keepNext/>
              <w:spacing w:before="55" w:after="30"/>
            </w:pPr>
            <w:r>
              <w:rPr>
                <w:color w:val="000000"/>
                <w:sz w:val="20"/>
              </w:rPr>
              <w:t>$</w:t>
            </w:r>
          </w:p>
        </w:tc>
        <w:tc>
          <w:tcPr>
            <w:tcW w:w="107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23524B0" w14:textId="77777777" w:rsidR="003F4498" w:rsidRDefault="00A90788">
            <w:pPr>
              <w:keepNext/>
              <w:spacing w:before="55" w:after="30"/>
              <w:jc w:val="right"/>
            </w:pPr>
            <w:r>
              <w:rPr>
                <w:color w:val="000000"/>
                <w:sz w:val="20"/>
              </w:rPr>
              <w:t>(72.8)</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BCD62FA"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15B1885" w14:textId="77777777" w:rsidR="003F4498" w:rsidRDefault="003F4498">
            <w:pPr>
              <w:keepNext/>
              <w:spacing w:before="75" w:after="30"/>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EC857FE" w14:textId="77777777" w:rsidR="003F4498" w:rsidRDefault="00A90788">
            <w:pPr>
              <w:keepNext/>
              <w:spacing w:before="55" w:after="30"/>
            </w:pPr>
            <w:r>
              <w:rPr>
                <w:color w:val="000000"/>
                <w:sz w:val="20"/>
              </w:rPr>
              <w:t>$</w:t>
            </w:r>
          </w:p>
        </w:tc>
        <w:tc>
          <w:tcPr>
            <w:tcW w:w="107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6E49586" w14:textId="77777777" w:rsidR="003F4498" w:rsidRDefault="00A90788">
            <w:pPr>
              <w:keepNext/>
              <w:spacing w:before="55" w:after="30"/>
              <w:jc w:val="right"/>
            </w:pPr>
            <w:r>
              <w:rPr>
                <w:color w:val="000000"/>
                <w:sz w:val="20"/>
              </w:rPr>
              <w:t>(502.3)</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A48FF09" w14:textId="77777777" w:rsidR="003F4498" w:rsidRDefault="003F4498">
            <w:pPr>
              <w:keepNext/>
              <w:spacing w:before="55" w:after="30"/>
              <w:jc w:val="right"/>
            </w:pPr>
          </w:p>
        </w:tc>
      </w:tr>
      <w:tr w:rsidR="003F4498" w14:paraId="21827B40" w14:textId="77777777" w:rsidTr="00A90788">
        <w:trPr>
          <w:cantSplit/>
          <w:trHeight w:hRule="exact" w:val="483"/>
          <w:jc w:val="center"/>
        </w:trPr>
        <w:tc>
          <w:tcPr>
            <w:tcW w:w="4485" w:type="dxa"/>
            <w:tcBorders>
              <w:top w:val="nil"/>
              <w:left w:val="nil"/>
              <w:bottom w:val="nil"/>
              <w:right w:val="nil"/>
            </w:tcBorders>
            <w:shd w:val="clear" w:color="auto" w:fill="FFFFFF"/>
            <w:tcMar>
              <w:top w:w="0" w:type="dxa"/>
              <w:left w:w="53" w:type="dxa"/>
              <w:bottom w:w="0" w:type="dxa"/>
              <w:right w:w="15" w:type="dxa"/>
            </w:tcMar>
            <w:vAlign w:val="bottom"/>
          </w:tcPr>
          <w:p w14:paraId="125EED5B" w14:textId="77777777" w:rsidR="003F4498" w:rsidRDefault="00A90788">
            <w:pPr>
              <w:spacing w:before="75" w:after="30"/>
            </w:pPr>
            <w:r>
              <w:rPr>
                <w:color w:val="000000"/>
                <w:sz w:val="20"/>
              </w:rPr>
              <w:t>Net cash used in financing activities</w:t>
            </w: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EC48496" w14:textId="77777777" w:rsidR="003F4498" w:rsidRDefault="00A90788">
            <w:pPr>
              <w:spacing w:before="55" w:after="30"/>
            </w:pPr>
            <w:r>
              <w:rPr>
                <w:color w:val="000000"/>
                <w:sz w:val="20"/>
              </w:rPr>
              <w:t>$</w:t>
            </w:r>
          </w:p>
        </w:tc>
        <w:tc>
          <w:tcPr>
            <w:tcW w:w="107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41F681A" w14:textId="77777777" w:rsidR="003F4498" w:rsidRDefault="00A90788">
            <w:pPr>
              <w:spacing w:before="55" w:after="30"/>
              <w:jc w:val="right"/>
            </w:pPr>
            <w:r>
              <w:rPr>
                <w:color w:val="000000"/>
                <w:sz w:val="20"/>
              </w:rPr>
              <w:t>(52.0)</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3E97FB8"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FD57A41" w14:textId="77777777" w:rsidR="003F4498" w:rsidRDefault="003F4498">
            <w:pPr>
              <w:spacing w:before="75" w:after="30"/>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BBFE33B" w14:textId="77777777" w:rsidR="003F4498" w:rsidRDefault="00A90788">
            <w:pPr>
              <w:spacing w:before="55" w:after="30"/>
            </w:pPr>
            <w:r>
              <w:rPr>
                <w:color w:val="000000"/>
                <w:sz w:val="20"/>
              </w:rPr>
              <w:t>$</w:t>
            </w:r>
          </w:p>
        </w:tc>
        <w:tc>
          <w:tcPr>
            <w:tcW w:w="107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B7D438B" w14:textId="77777777" w:rsidR="003F4498" w:rsidRDefault="00A90788">
            <w:pPr>
              <w:spacing w:before="55" w:after="30"/>
              <w:jc w:val="right"/>
            </w:pPr>
            <w:r>
              <w:rPr>
                <w:color w:val="000000"/>
                <w:sz w:val="20"/>
              </w:rPr>
              <w:t>(43.8)</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F952807"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2D6A2F" w14:textId="77777777" w:rsidR="003F4498" w:rsidRDefault="003F4498"/>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14F7E84" w14:textId="77777777" w:rsidR="003F4498" w:rsidRDefault="00A90788">
            <w:pPr>
              <w:spacing w:before="55" w:after="30"/>
            </w:pPr>
            <w:r>
              <w:rPr>
                <w:color w:val="000000"/>
                <w:sz w:val="20"/>
              </w:rPr>
              <w:t>$</w:t>
            </w:r>
          </w:p>
        </w:tc>
        <w:tc>
          <w:tcPr>
            <w:tcW w:w="107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1B567F1" w14:textId="77777777" w:rsidR="003F4498" w:rsidRDefault="00A90788">
            <w:pPr>
              <w:spacing w:before="55" w:after="30"/>
              <w:jc w:val="right"/>
            </w:pPr>
            <w:r>
              <w:rPr>
                <w:color w:val="000000"/>
                <w:sz w:val="20"/>
              </w:rPr>
              <w:t>(1,171.6)</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7616828"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EE5BE0B" w14:textId="77777777" w:rsidR="003F4498" w:rsidRDefault="003F4498">
            <w:pPr>
              <w:spacing w:before="75" w:after="30"/>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EB87AF8" w14:textId="77777777" w:rsidR="003F4498" w:rsidRDefault="00A90788">
            <w:pPr>
              <w:spacing w:before="55" w:after="30"/>
            </w:pPr>
            <w:r>
              <w:rPr>
                <w:color w:val="000000"/>
                <w:sz w:val="20"/>
              </w:rPr>
              <w:t>$</w:t>
            </w:r>
          </w:p>
        </w:tc>
        <w:tc>
          <w:tcPr>
            <w:tcW w:w="107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652672B" w14:textId="77777777" w:rsidR="003F4498" w:rsidRDefault="00A90788">
            <w:pPr>
              <w:spacing w:before="55" w:after="30"/>
              <w:jc w:val="right"/>
            </w:pPr>
            <w:r>
              <w:rPr>
                <w:color w:val="000000"/>
                <w:sz w:val="20"/>
              </w:rPr>
              <w:t>(195.6)</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24CA5D4" w14:textId="77777777" w:rsidR="003F4498" w:rsidRDefault="003F4498">
            <w:pPr>
              <w:spacing w:before="55" w:after="30"/>
              <w:jc w:val="right"/>
            </w:pPr>
          </w:p>
        </w:tc>
      </w:tr>
    </w:tbl>
    <w:p w14:paraId="25BF19CC" w14:textId="77777777" w:rsidR="003F4498" w:rsidRDefault="003F4498">
      <w:pPr>
        <w:spacing w:before="100" w:line="288" w:lineRule="auto"/>
        <w:jc w:val="center"/>
        <w:rPr>
          <w:b/>
          <w:sz w:val="20"/>
        </w:rPr>
      </w:pPr>
    </w:p>
    <w:p w14:paraId="2F4D6EE4" w14:textId="77777777" w:rsidR="003F4498" w:rsidRDefault="00A90788">
      <w:pPr>
        <w:spacing w:after="100" w:line="288" w:lineRule="auto"/>
        <w:rPr>
          <w:b/>
          <w:sz w:val="20"/>
        </w:rPr>
      </w:pPr>
      <w:r>
        <w:rPr>
          <w:b/>
          <w:sz w:val="20"/>
        </w:rPr>
        <w:t xml:space="preserve">Reconciliation of GAAP operating income to non-GAAP operating income, operating margin, net </w:t>
      </w:r>
      <w:proofErr w:type="gramStart"/>
      <w:r>
        <w:rPr>
          <w:b/>
          <w:sz w:val="20"/>
        </w:rPr>
        <w:t>income</w:t>
      </w:r>
      <w:proofErr w:type="gramEnd"/>
      <w:r>
        <w:rPr>
          <w:b/>
          <w:sz w:val="20"/>
        </w:rPr>
        <w:t xml:space="preserve"> and diluted net income per share</w:t>
      </w:r>
      <w:r>
        <w:rPr>
          <w:b/>
          <w:sz w:val="20"/>
          <w:vertAlign w:val="superscript"/>
        </w:rPr>
        <w:t>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60"/>
        <w:gridCol w:w="864"/>
        <w:gridCol w:w="182"/>
        <w:gridCol w:w="72"/>
        <w:gridCol w:w="160"/>
        <w:gridCol w:w="865"/>
        <w:gridCol w:w="98"/>
        <w:gridCol w:w="343"/>
        <w:gridCol w:w="160"/>
        <w:gridCol w:w="864"/>
        <w:gridCol w:w="182"/>
        <w:gridCol w:w="129"/>
        <w:gridCol w:w="160"/>
        <w:gridCol w:w="864"/>
        <w:gridCol w:w="182"/>
        <w:gridCol w:w="72"/>
        <w:gridCol w:w="160"/>
        <w:gridCol w:w="865"/>
        <w:gridCol w:w="98"/>
        <w:gridCol w:w="343"/>
        <w:gridCol w:w="160"/>
        <w:gridCol w:w="864"/>
        <w:gridCol w:w="182"/>
      </w:tblGrid>
      <w:tr w:rsidR="003F4498" w14:paraId="42B3CD84" w14:textId="77777777">
        <w:trPr>
          <w:cantSplit/>
          <w:trHeight w:hRule="exact" w:val="285"/>
          <w:jc w:val="center"/>
        </w:trPr>
        <w:tc>
          <w:tcPr>
            <w:tcW w:w="2355" w:type="dxa"/>
            <w:tcBorders>
              <w:top w:val="nil"/>
              <w:left w:val="nil"/>
              <w:bottom w:val="nil"/>
              <w:right w:val="nil"/>
            </w:tcBorders>
            <w:tcMar>
              <w:top w:w="0" w:type="dxa"/>
              <w:left w:w="0" w:type="dxa"/>
              <w:bottom w:w="0" w:type="dxa"/>
              <w:right w:w="0" w:type="dxa"/>
            </w:tcMar>
            <w:vAlign w:val="bottom"/>
          </w:tcPr>
          <w:p w14:paraId="48A3FB1E" w14:textId="77777777" w:rsidR="003F4498" w:rsidRDefault="003F4498">
            <w:pPr>
              <w:keepNext/>
            </w:pPr>
          </w:p>
        </w:tc>
        <w:tc>
          <w:tcPr>
            <w:tcW w:w="3825" w:type="dxa"/>
            <w:gridSpan w:val="11"/>
            <w:tcBorders>
              <w:top w:val="nil"/>
              <w:left w:val="nil"/>
              <w:bottom w:val="single" w:sz="8" w:space="0" w:color="000000"/>
              <w:right w:val="nil"/>
            </w:tcBorders>
            <w:tcMar>
              <w:top w:w="0" w:type="dxa"/>
              <w:left w:w="53" w:type="dxa"/>
              <w:bottom w:w="0" w:type="dxa"/>
              <w:right w:w="53" w:type="dxa"/>
            </w:tcMar>
            <w:vAlign w:val="bottom"/>
          </w:tcPr>
          <w:p w14:paraId="55E58304" w14:textId="77777777" w:rsidR="003F4498" w:rsidRDefault="00A90788">
            <w:pPr>
              <w:keepNext/>
              <w:spacing w:before="75" w:after="30"/>
              <w:jc w:val="center"/>
            </w:pPr>
            <w:r>
              <w:rPr>
                <w:b/>
                <w:color w:val="000000"/>
                <w:sz w:val="20"/>
              </w:rPr>
              <w:t>Three Months Ended December 31, 2020</w:t>
            </w:r>
          </w:p>
        </w:tc>
        <w:tc>
          <w:tcPr>
            <w:tcW w:w="135" w:type="dxa"/>
            <w:tcBorders>
              <w:top w:val="nil"/>
              <w:left w:val="nil"/>
              <w:bottom w:val="nil"/>
              <w:right w:val="nil"/>
            </w:tcBorders>
            <w:tcMar>
              <w:top w:w="0" w:type="dxa"/>
              <w:left w:w="0" w:type="dxa"/>
              <w:bottom w:w="0" w:type="dxa"/>
              <w:right w:w="0" w:type="dxa"/>
            </w:tcMar>
            <w:vAlign w:val="bottom"/>
          </w:tcPr>
          <w:p w14:paraId="60E0177A" w14:textId="77777777" w:rsidR="003F4498" w:rsidRDefault="003F4498">
            <w:pPr>
              <w:keepNext/>
            </w:pPr>
          </w:p>
        </w:tc>
        <w:tc>
          <w:tcPr>
            <w:tcW w:w="3825" w:type="dxa"/>
            <w:gridSpan w:val="11"/>
            <w:tcBorders>
              <w:top w:val="nil"/>
              <w:left w:val="nil"/>
              <w:bottom w:val="single" w:sz="8" w:space="0" w:color="000000"/>
              <w:right w:val="nil"/>
            </w:tcBorders>
            <w:tcMar>
              <w:top w:w="0" w:type="dxa"/>
              <w:left w:w="53" w:type="dxa"/>
              <w:bottom w:w="0" w:type="dxa"/>
              <w:right w:w="53" w:type="dxa"/>
            </w:tcMar>
            <w:vAlign w:val="bottom"/>
          </w:tcPr>
          <w:p w14:paraId="0FF19A29" w14:textId="77777777" w:rsidR="003F4498" w:rsidRDefault="00A90788">
            <w:pPr>
              <w:keepNext/>
              <w:spacing w:before="75" w:after="30"/>
              <w:jc w:val="center"/>
            </w:pPr>
            <w:r>
              <w:rPr>
                <w:b/>
                <w:color w:val="000000"/>
                <w:sz w:val="20"/>
              </w:rPr>
              <w:t>Three Months Ended December 31, 2019</w:t>
            </w:r>
          </w:p>
        </w:tc>
      </w:tr>
      <w:tr w:rsidR="003F4498" w14:paraId="08832CE4" w14:textId="77777777">
        <w:trPr>
          <w:cantSplit/>
          <w:trHeight w:hRule="exact" w:val="435"/>
          <w:jc w:val="center"/>
        </w:trPr>
        <w:tc>
          <w:tcPr>
            <w:tcW w:w="2355" w:type="dxa"/>
            <w:tcBorders>
              <w:top w:val="nil"/>
              <w:left w:val="nil"/>
              <w:bottom w:val="nil"/>
              <w:right w:val="nil"/>
            </w:tcBorders>
            <w:tcMar>
              <w:top w:w="0" w:type="dxa"/>
              <w:left w:w="0" w:type="dxa"/>
              <w:bottom w:w="0" w:type="dxa"/>
              <w:right w:w="0" w:type="dxa"/>
            </w:tcMar>
            <w:vAlign w:val="bottom"/>
          </w:tcPr>
          <w:p w14:paraId="06E02AC1" w14:textId="77777777" w:rsidR="003F4498" w:rsidRDefault="003F4498">
            <w:pPr>
              <w:keepNext/>
            </w:pPr>
          </w:p>
        </w:tc>
        <w:tc>
          <w:tcPr>
            <w:tcW w:w="1140" w:type="dxa"/>
            <w:gridSpan w:val="3"/>
            <w:tcBorders>
              <w:top w:val="nil"/>
              <w:left w:val="nil"/>
              <w:bottom w:val="single" w:sz="8" w:space="0" w:color="000000"/>
              <w:right w:val="nil"/>
            </w:tcBorders>
            <w:tcMar>
              <w:top w:w="0" w:type="dxa"/>
              <w:left w:w="53" w:type="dxa"/>
              <w:bottom w:w="0" w:type="dxa"/>
              <w:right w:w="53" w:type="dxa"/>
            </w:tcMar>
            <w:vAlign w:val="bottom"/>
          </w:tcPr>
          <w:p w14:paraId="60D4F3DF" w14:textId="77777777" w:rsidR="003F4498" w:rsidRDefault="00A90788">
            <w:pPr>
              <w:keepNext/>
              <w:spacing w:before="55" w:after="30"/>
              <w:jc w:val="center"/>
            </w:pPr>
            <w:r>
              <w:rPr>
                <w:b/>
                <w:color w:val="000000"/>
                <w:sz w:val="18"/>
              </w:rPr>
              <w:t>GAAP Results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49C8FF8" w14:textId="77777777" w:rsidR="003F4498" w:rsidRDefault="003F4498">
            <w:pPr>
              <w:keepNext/>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54C14C1" w14:textId="77777777" w:rsidR="003F4498" w:rsidRDefault="00A90788">
            <w:pPr>
              <w:keepNext/>
              <w:spacing w:before="55" w:after="30"/>
              <w:jc w:val="center"/>
            </w:pPr>
            <w:r>
              <w:rPr>
                <w:b/>
                <w:color w:val="000000"/>
                <w:sz w:val="18"/>
              </w:rPr>
              <w:t>Adjustments</w:t>
            </w:r>
          </w:p>
        </w:tc>
        <w:tc>
          <w:tcPr>
            <w:tcW w:w="345" w:type="dxa"/>
            <w:tcBorders>
              <w:top w:val="single" w:sz="8" w:space="0" w:color="000000"/>
              <w:left w:val="nil"/>
              <w:bottom w:val="nil"/>
              <w:right w:val="nil"/>
            </w:tcBorders>
            <w:tcMar>
              <w:top w:w="0" w:type="dxa"/>
              <w:left w:w="0" w:type="dxa"/>
              <w:bottom w:w="0" w:type="dxa"/>
              <w:right w:w="0" w:type="dxa"/>
            </w:tcMar>
            <w:vAlign w:val="bottom"/>
          </w:tcPr>
          <w:p w14:paraId="32C50D07" w14:textId="77777777" w:rsidR="003F4498" w:rsidRDefault="003F4498">
            <w:pPr>
              <w:keepNext/>
            </w:pPr>
          </w:p>
        </w:tc>
        <w:tc>
          <w:tcPr>
            <w:tcW w:w="11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4C918202" w14:textId="77777777" w:rsidR="003F4498" w:rsidRDefault="00A90788">
            <w:pPr>
              <w:keepNext/>
              <w:spacing w:before="55" w:after="30"/>
              <w:jc w:val="center"/>
            </w:pPr>
            <w:r>
              <w:rPr>
                <w:b/>
                <w:color w:val="000000"/>
                <w:sz w:val="18"/>
              </w:rPr>
              <w:t>Non-GAAP Results</w:t>
            </w:r>
          </w:p>
        </w:tc>
        <w:tc>
          <w:tcPr>
            <w:tcW w:w="135" w:type="dxa"/>
            <w:tcBorders>
              <w:top w:val="nil"/>
              <w:left w:val="nil"/>
              <w:bottom w:val="nil"/>
              <w:right w:val="nil"/>
            </w:tcBorders>
            <w:tcMar>
              <w:top w:w="0" w:type="dxa"/>
              <w:left w:w="0" w:type="dxa"/>
              <w:bottom w:w="0" w:type="dxa"/>
              <w:right w:w="0" w:type="dxa"/>
            </w:tcMar>
            <w:vAlign w:val="bottom"/>
          </w:tcPr>
          <w:p w14:paraId="053576F9" w14:textId="77777777" w:rsidR="003F4498" w:rsidRDefault="003F4498">
            <w:pPr>
              <w:keepNext/>
            </w:pPr>
          </w:p>
        </w:tc>
        <w:tc>
          <w:tcPr>
            <w:tcW w:w="1140" w:type="dxa"/>
            <w:gridSpan w:val="3"/>
            <w:tcBorders>
              <w:top w:val="nil"/>
              <w:left w:val="nil"/>
              <w:bottom w:val="single" w:sz="8" w:space="0" w:color="000000"/>
              <w:right w:val="nil"/>
            </w:tcBorders>
            <w:tcMar>
              <w:top w:w="0" w:type="dxa"/>
              <w:left w:w="53" w:type="dxa"/>
              <w:bottom w:w="0" w:type="dxa"/>
              <w:right w:w="53" w:type="dxa"/>
            </w:tcMar>
            <w:vAlign w:val="bottom"/>
          </w:tcPr>
          <w:p w14:paraId="6F21E5AD" w14:textId="77777777" w:rsidR="003F4498" w:rsidRDefault="00A90788">
            <w:pPr>
              <w:keepNext/>
              <w:spacing w:before="55" w:after="30"/>
              <w:jc w:val="center"/>
            </w:pPr>
            <w:r>
              <w:rPr>
                <w:b/>
                <w:color w:val="000000"/>
                <w:sz w:val="18"/>
              </w:rPr>
              <w:t>GAAP Results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2751909" w14:textId="77777777" w:rsidR="003F4498" w:rsidRDefault="003F4498">
            <w:pPr>
              <w:keepNext/>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14E130F" w14:textId="77777777" w:rsidR="003F4498" w:rsidRDefault="00A90788">
            <w:pPr>
              <w:keepNext/>
              <w:spacing w:before="55" w:after="30"/>
              <w:jc w:val="center"/>
            </w:pPr>
            <w:r>
              <w:rPr>
                <w:b/>
                <w:color w:val="000000"/>
                <w:sz w:val="18"/>
              </w:rPr>
              <w:t>Adjustments</w:t>
            </w:r>
          </w:p>
        </w:tc>
        <w:tc>
          <w:tcPr>
            <w:tcW w:w="345" w:type="dxa"/>
            <w:tcBorders>
              <w:top w:val="single" w:sz="8" w:space="0" w:color="000000"/>
              <w:left w:val="nil"/>
              <w:bottom w:val="nil"/>
              <w:right w:val="nil"/>
            </w:tcBorders>
            <w:tcMar>
              <w:top w:w="0" w:type="dxa"/>
              <w:left w:w="0" w:type="dxa"/>
              <w:bottom w:w="0" w:type="dxa"/>
              <w:right w:w="0" w:type="dxa"/>
            </w:tcMar>
            <w:vAlign w:val="bottom"/>
          </w:tcPr>
          <w:p w14:paraId="0B3E076A" w14:textId="77777777" w:rsidR="003F4498" w:rsidRDefault="003F4498">
            <w:pPr>
              <w:keepNext/>
            </w:pPr>
          </w:p>
        </w:tc>
        <w:tc>
          <w:tcPr>
            <w:tcW w:w="11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5AF1345" w14:textId="77777777" w:rsidR="003F4498" w:rsidRDefault="00A90788">
            <w:pPr>
              <w:keepNext/>
              <w:spacing w:before="55" w:after="30"/>
              <w:jc w:val="center"/>
            </w:pPr>
            <w:r>
              <w:rPr>
                <w:b/>
                <w:color w:val="000000"/>
                <w:sz w:val="18"/>
              </w:rPr>
              <w:t>Non-GAAP Results</w:t>
            </w:r>
          </w:p>
        </w:tc>
      </w:tr>
      <w:tr w:rsidR="003F4498" w14:paraId="24DCF07B" w14:textId="77777777">
        <w:trPr>
          <w:cantSplit/>
          <w:trHeight w:hRule="exact" w:val="300"/>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2B5DCCBE" w14:textId="77777777" w:rsidR="003F4498" w:rsidRDefault="00A90788">
            <w:pPr>
              <w:keepNext/>
              <w:spacing w:before="75" w:after="30"/>
            </w:pPr>
            <w:r>
              <w:rPr>
                <w:color w:val="000000"/>
                <w:sz w:val="20"/>
              </w:rPr>
              <w:t>Operating income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8846B6A" w14:textId="77777777" w:rsidR="003F4498" w:rsidRDefault="00A90788">
            <w:pPr>
              <w:keepNext/>
              <w:spacing w:before="55" w:after="30"/>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B19ABE9" w14:textId="77777777" w:rsidR="003F4498" w:rsidRDefault="00A90788">
            <w:pPr>
              <w:keepNext/>
              <w:spacing w:before="55" w:after="30"/>
              <w:jc w:val="right"/>
            </w:pPr>
            <w:r>
              <w:rPr>
                <w:color w:val="000000"/>
                <w:sz w:val="20"/>
              </w:rPr>
              <w:t>169.4 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2E4BA6C"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D0A497"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E470926" w14:textId="77777777" w:rsidR="003F4498" w:rsidRDefault="00A90788">
            <w:pPr>
              <w:keepNext/>
              <w:spacing w:before="55" w:after="30"/>
            </w:pPr>
            <w:r>
              <w:rPr>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636DDE8" w14:textId="77777777" w:rsidR="003F4498" w:rsidRDefault="00A90788">
            <w:pPr>
              <w:keepNext/>
              <w:spacing w:before="55" w:after="30"/>
              <w:jc w:val="right"/>
            </w:pPr>
            <w:r>
              <w:rPr>
                <w:color w:val="000000"/>
                <w:sz w:val="20"/>
              </w:rPr>
              <w:t>50.5 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1EBE4B8" w14:textId="77777777" w:rsidR="003F4498" w:rsidRDefault="003F4498">
            <w:pPr>
              <w:keepNext/>
              <w:spacing w:before="55" w:after="30"/>
              <w:jc w:val="right"/>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14:paraId="01B26613" w14:textId="77777777" w:rsidR="003F4498" w:rsidRDefault="00A90788">
            <w:pPr>
              <w:keepNext/>
              <w:spacing w:before="75" w:after="30"/>
              <w:jc w:val="right"/>
            </w:pPr>
            <w:r>
              <w:rPr>
                <w:color w:val="000000"/>
                <w:sz w:val="18"/>
              </w:rPr>
              <w:t>(a)</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402AADD" w14:textId="77777777" w:rsidR="003F4498" w:rsidRDefault="00A90788">
            <w:pPr>
              <w:keepNext/>
              <w:spacing w:before="55" w:after="30"/>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561B075" w14:textId="77777777" w:rsidR="003F4498" w:rsidRDefault="00A90788">
            <w:pPr>
              <w:keepNext/>
              <w:spacing w:before="55" w:after="30"/>
              <w:jc w:val="right"/>
            </w:pPr>
            <w:r>
              <w:rPr>
                <w:color w:val="000000"/>
                <w:sz w:val="20"/>
              </w:rPr>
              <w:t>219.9 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FBB76FB" w14:textId="77777777" w:rsidR="003F4498" w:rsidRDefault="003F4498">
            <w:pPr>
              <w:keepNext/>
              <w:spacing w:before="55" w:after="30"/>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05D06C67"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7DB7094" w14:textId="77777777" w:rsidR="003F4498" w:rsidRDefault="00A90788">
            <w:pPr>
              <w:keepNext/>
              <w:spacing w:before="55" w:after="30"/>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87AAA58" w14:textId="77777777" w:rsidR="003F4498" w:rsidRDefault="00A90788">
            <w:pPr>
              <w:keepNext/>
              <w:spacing w:before="55" w:after="30"/>
              <w:jc w:val="right"/>
            </w:pPr>
            <w:r>
              <w:rPr>
                <w:color w:val="000000"/>
                <w:sz w:val="20"/>
              </w:rPr>
              <w:t>122.1 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4E5BDE0"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B1EDEC"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10175BD" w14:textId="77777777" w:rsidR="003F4498" w:rsidRDefault="00A90788">
            <w:pPr>
              <w:keepNext/>
              <w:spacing w:before="55" w:after="30"/>
            </w:pPr>
            <w:r>
              <w:rPr>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00EA901" w14:textId="77777777" w:rsidR="003F4498" w:rsidRDefault="00A90788">
            <w:pPr>
              <w:keepNext/>
              <w:spacing w:before="55" w:after="30"/>
              <w:jc w:val="right"/>
            </w:pPr>
            <w:r>
              <w:rPr>
                <w:color w:val="000000"/>
                <w:sz w:val="20"/>
              </w:rPr>
              <w:t>46.5 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D7660EF" w14:textId="77777777" w:rsidR="003F4498" w:rsidRDefault="003F4498">
            <w:pPr>
              <w:keepNext/>
              <w:spacing w:before="55" w:after="30"/>
              <w:jc w:val="right"/>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14:paraId="117174F0" w14:textId="77777777" w:rsidR="003F4498" w:rsidRDefault="00A90788">
            <w:pPr>
              <w:keepNext/>
              <w:spacing w:before="75" w:after="30"/>
              <w:jc w:val="center"/>
            </w:pPr>
            <w:r>
              <w:rPr>
                <w:color w:val="000000"/>
                <w:sz w:val="18"/>
              </w:rPr>
              <w:t>(b)</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89FD2EF" w14:textId="77777777" w:rsidR="003F4498" w:rsidRDefault="00A90788">
            <w:pPr>
              <w:keepNext/>
              <w:spacing w:before="55" w:after="30"/>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66BFA0F" w14:textId="77777777" w:rsidR="003F4498" w:rsidRDefault="00A90788">
            <w:pPr>
              <w:keepNext/>
              <w:spacing w:before="55" w:after="30"/>
              <w:jc w:val="right"/>
            </w:pPr>
            <w:r>
              <w:rPr>
                <w:color w:val="000000"/>
                <w:sz w:val="20"/>
              </w:rPr>
              <w:t>168.6 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764E61E" w14:textId="77777777" w:rsidR="003F4498" w:rsidRDefault="003F4498">
            <w:pPr>
              <w:keepNext/>
              <w:spacing w:before="55" w:after="30"/>
              <w:jc w:val="right"/>
            </w:pPr>
          </w:p>
        </w:tc>
      </w:tr>
      <w:tr w:rsidR="003F4498" w14:paraId="70989D88" w14:textId="77777777" w:rsidTr="006F54BB">
        <w:trPr>
          <w:cantSplit/>
          <w:trHeight w:hRule="exact" w:val="573"/>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4B026185" w14:textId="77777777" w:rsidR="003F4498" w:rsidRDefault="00A90788">
            <w:pPr>
              <w:keepNext/>
              <w:spacing w:before="75" w:after="30"/>
            </w:pPr>
            <w:r>
              <w:rPr>
                <w:color w:val="000000"/>
                <w:sz w:val="20"/>
              </w:rPr>
              <w:t>Operating margin</w:t>
            </w: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564060E" w14:textId="77777777" w:rsidR="003F4498" w:rsidRDefault="00A90788">
            <w:pPr>
              <w:keepNext/>
              <w:spacing w:before="55" w:after="30"/>
              <w:jc w:val="right"/>
            </w:pPr>
            <w:r>
              <w:rPr>
                <w:color w:val="000000"/>
                <w:sz w:val="20"/>
              </w:rPr>
              <w:t>22.6 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9491FA6" w14:textId="77777777" w:rsidR="003F4498" w:rsidRDefault="00A90788">
            <w:pPr>
              <w:keepNext/>
              <w:spacing w:before="5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5017F7" w14:textId="77777777" w:rsidR="003F4498" w:rsidRDefault="003F4498">
            <w:pPr>
              <w:keepNext/>
            </w:pPr>
          </w:p>
        </w:tc>
        <w:tc>
          <w:tcPr>
            <w:tcW w:w="11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CB457D0" w14:textId="77777777" w:rsidR="003F4498" w:rsidRDefault="003F4498">
            <w:pPr>
              <w:keepNex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3D99B4C8" w14:textId="77777777" w:rsidR="003F4498" w:rsidRDefault="003F4498">
            <w:pPr>
              <w:keepNext/>
            </w:pP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CB93DEA" w14:textId="77777777" w:rsidR="003F4498" w:rsidRDefault="00A90788">
            <w:pPr>
              <w:keepNext/>
              <w:spacing w:before="55" w:after="30"/>
              <w:jc w:val="right"/>
            </w:pPr>
            <w:r>
              <w:rPr>
                <w:color w:val="000000"/>
                <w:sz w:val="20"/>
              </w:rPr>
              <w:t>29.4 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9890B01" w14:textId="77777777" w:rsidR="003F4498" w:rsidRDefault="00A90788">
            <w:pPr>
              <w:keepNext/>
              <w:spacing w:before="55" w:after="30"/>
              <w:jc w:val="right"/>
            </w:pPr>
            <w:r>
              <w:rPr>
                <w:color w:val="000000"/>
                <w:sz w:val="20"/>
              </w:rPr>
              <w:t>%</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19780CC4" w14:textId="77777777" w:rsidR="003F4498" w:rsidRDefault="003F4498">
            <w:pPr>
              <w:keepNext/>
            </w:pP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D8E8828" w14:textId="77777777" w:rsidR="003F4498" w:rsidRDefault="00A90788">
            <w:pPr>
              <w:keepNext/>
              <w:spacing w:before="55" w:after="30"/>
              <w:jc w:val="right"/>
            </w:pPr>
            <w:r>
              <w:rPr>
                <w:color w:val="000000"/>
                <w:sz w:val="20"/>
              </w:rPr>
              <w:t>19.8 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00A2EE9" w14:textId="77777777" w:rsidR="003F4498" w:rsidRDefault="00A90788">
            <w:pPr>
              <w:keepNext/>
              <w:spacing w:before="5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1B68C51" w14:textId="77777777" w:rsidR="003F4498" w:rsidRDefault="003F4498">
            <w:pPr>
              <w:keepNext/>
            </w:pPr>
          </w:p>
        </w:tc>
        <w:tc>
          <w:tcPr>
            <w:tcW w:w="11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331D9F0" w14:textId="77777777" w:rsidR="003F4498" w:rsidRDefault="003F4498">
            <w:pPr>
              <w:keepNex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6A82B635" w14:textId="77777777" w:rsidR="003F4498" w:rsidRDefault="003F4498">
            <w:pPr>
              <w:keepNext/>
            </w:pP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3951048" w14:textId="77777777" w:rsidR="003F4498" w:rsidRDefault="00A90788">
            <w:pPr>
              <w:keepNext/>
              <w:spacing w:before="55" w:after="30"/>
              <w:jc w:val="right"/>
            </w:pPr>
            <w:r>
              <w:rPr>
                <w:color w:val="000000"/>
                <w:sz w:val="20"/>
              </w:rPr>
              <w:t>27.3 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89E6BC0" w14:textId="77777777" w:rsidR="003F4498" w:rsidRDefault="00A90788">
            <w:pPr>
              <w:keepNext/>
              <w:spacing w:before="55" w:after="30"/>
              <w:jc w:val="right"/>
            </w:pPr>
            <w:r>
              <w:rPr>
                <w:color w:val="000000"/>
                <w:sz w:val="20"/>
              </w:rPr>
              <w:t>%</w:t>
            </w:r>
          </w:p>
        </w:tc>
      </w:tr>
      <w:tr w:rsidR="003F4498" w14:paraId="14DDD2FB" w14:textId="77777777">
        <w:trPr>
          <w:cantSplit/>
          <w:trHeight w:hRule="exact" w:val="300"/>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29E0631E" w14:textId="77777777" w:rsidR="003F4498" w:rsidRDefault="00A90788">
            <w:pPr>
              <w:keepNext/>
              <w:spacing w:before="75" w:after="30"/>
            </w:pPr>
            <w:r>
              <w:rPr>
                <w:color w:val="000000"/>
                <w:sz w:val="20"/>
              </w:rPr>
              <w:t>Adjustments:</w:t>
            </w: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2047415A"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A2F029" w14:textId="77777777" w:rsidR="003F4498" w:rsidRDefault="003F4498">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4DE44643" w14:textId="77777777" w:rsidR="003F4498" w:rsidRDefault="003F4498">
            <w:pPr>
              <w:keepNex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49684B5C" w14:textId="77777777" w:rsidR="003F4498" w:rsidRDefault="003F4498">
            <w:pPr>
              <w:keepNext/>
            </w:pP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411FEC27" w14:textId="77777777" w:rsidR="003F4498" w:rsidRDefault="003F4498">
            <w:pPr>
              <w:keepNex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00B364F2" w14:textId="77777777" w:rsidR="003F4498" w:rsidRDefault="003F4498">
            <w:pPr>
              <w:keepNext/>
            </w:pP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7D34440B"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2359AD" w14:textId="77777777" w:rsidR="003F4498" w:rsidRDefault="003F4498">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3C3414A5" w14:textId="77777777" w:rsidR="003F4498" w:rsidRDefault="003F4498">
            <w:pPr>
              <w:keepNex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3508CCC4" w14:textId="77777777" w:rsidR="003F4498" w:rsidRDefault="003F4498">
            <w:pPr>
              <w:keepNext/>
            </w:pP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2DA45857" w14:textId="77777777" w:rsidR="003F4498" w:rsidRDefault="003F4498">
            <w:pPr>
              <w:keepNext/>
            </w:pPr>
          </w:p>
        </w:tc>
      </w:tr>
      <w:tr w:rsidR="003F4498" w14:paraId="17DA8D97" w14:textId="77777777" w:rsidTr="00A90788">
        <w:trPr>
          <w:cantSplit/>
          <w:trHeight w:hRule="exact" w:val="648"/>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1CF3A4B4" w14:textId="77777777" w:rsidR="003F4498" w:rsidRDefault="00A90788">
            <w:pPr>
              <w:keepNext/>
              <w:spacing w:before="75" w:after="30"/>
              <w:ind w:left="225"/>
            </w:pPr>
            <w:r>
              <w:rPr>
                <w:color w:val="000000"/>
                <w:sz w:val="20"/>
              </w:rPr>
              <w:t xml:space="preserve">Stock-based compensation </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4A0245BD"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3A2DEA" w14:textId="77777777" w:rsidR="003F4498" w:rsidRDefault="003F4498">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57004412" w14:textId="77777777" w:rsidR="003F4498" w:rsidRDefault="00A90788">
            <w:pPr>
              <w:keepNext/>
              <w:spacing w:before="75" w:after="30"/>
              <w:jc w:val="right"/>
            </w:pPr>
            <w:r>
              <w:rPr>
                <w:color w:val="000000"/>
                <w:sz w:val="20"/>
              </w:rPr>
              <w:t>48.9 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0404D1E" w14:textId="77777777" w:rsidR="003F4498" w:rsidRDefault="003F4498">
            <w:pPr>
              <w:keepNext/>
              <w:spacing w:before="7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7DDB44EC"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5FF00772" w14:textId="77777777" w:rsidR="003F4498" w:rsidRDefault="003F4498">
            <w:pPr>
              <w:keepNex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165A880B"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2A21C97E"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D3BA2CA" w14:textId="77777777" w:rsidR="003F4498" w:rsidRDefault="003F4498">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23E10C2E" w14:textId="77777777" w:rsidR="003F4498" w:rsidRDefault="00A90788">
            <w:pPr>
              <w:keepNext/>
              <w:spacing w:before="75" w:after="30"/>
              <w:jc w:val="right"/>
            </w:pPr>
            <w:r>
              <w:rPr>
                <w:color w:val="000000"/>
                <w:sz w:val="20"/>
              </w:rPr>
              <w:t>43.7 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B9D10AA" w14:textId="77777777" w:rsidR="003F4498" w:rsidRDefault="003F4498">
            <w:pPr>
              <w:keepNext/>
              <w:spacing w:before="7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2394F5F8"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24ACE504" w14:textId="77777777" w:rsidR="003F4498" w:rsidRDefault="003F4498">
            <w:pPr>
              <w:keepNext/>
            </w:pPr>
          </w:p>
        </w:tc>
      </w:tr>
      <w:tr w:rsidR="003F4498" w14:paraId="34B88003" w14:textId="77777777" w:rsidTr="00A90788">
        <w:trPr>
          <w:cantSplit/>
          <w:trHeight w:hRule="exact" w:val="801"/>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3676AA1B" w14:textId="77777777" w:rsidR="003F4498" w:rsidRDefault="00A90788">
            <w:pPr>
              <w:keepNext/>
              <w:spacing w:before="75" w:after="30"/>
              <w:ind w:left="225"/>
            </w:pPr>
            <w:r>
              <w:rPr>
                <w:color w:val="000000"/>
                <w:sz w:val="20"/>
              </w:rPr>
              <w:t>Amortization of acquired intangible assets</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016895E5"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4B1BA1" w14:textId="77777777" w:rsidR="003F4498" w:rsidRDefault="003F4498">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706FB41F" w14:textId="77777777" w:rsidR="003F4498" w:rsidRDefault="00A90788">
            <w:pPr>
              <w:keepNext/>
              <w:spacing w:before="75" w:after="30"/>
              <w:jc w:val="right"/>
            </w:pPr>
            <w:r>
              <w:rPr>
                <w:color w:val="000000"/>
                <w:sz w:val="20"/>
              </w:rPr>
              <w:t>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85DFD4B" w14:textId="77777777" w:rsidR="003F4498" w:rsidRDefault="003F4498">
            <w:pPr>
              <w:keepNext/>
              <w:spacing w:before="75" w:after="30"/>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18CAD108" w14:textId="77777777" w:rsidR="003F4498" w:rsidRDefault="003F4498">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37C1EEE2" w14:textId="77777777" w:rsidR="003F4498" w:rsidRDefault="003F4498">
            <w:pPr>
              <w:keepNex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25F618D0" w14:textId="77777777" w:rsidR="003F4498" w:rsidRDefault="003F4498">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6D22ACB1"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47E6ED" w14:textId="77777777" w:rsidR="003F4498" w:rsidRDefault="003F4498">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6F731033" w14:textId="77777777" w:rsidR="003F4498" w:rsidRDefault="00A90788">
            <w:pPr>
              <w:keepNext/>
              <w:spacing w:before="75" w:after="30"/>
              <w:jc w:val="right"/>
            </w:pPr>
            <w:r>
              <w:rPr>
                <w:color w:val="000000"/>
                <w:sz w:val="20"/>
              </w:rPr>
              <w:t>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C416944" w14:textId="77777777" w:rsidR="003F4498" w:rsidRDefault="003F4498">
            <w:pPr>
              <w:keepNext/>
              <w:spacing w:before="75" w:after="30"/>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64702F8A" w14:textId="77777777" w:rsidR="003F4498" w:rsidRDefault="003F4498">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3EDCB92B" w14:textId="77777777" w:rsidR="003F4498" w:rsidRDefault="003F4498">
            <w:pPr>
              <w:keepNext/>
            </w:pPr>
          </w:p>
        </w:tc>
      </w:tr>
      <w:tr w:rsidR="003F4498" w14:paraId="7799E6F8" w14:textId="77777777" w:rsidTr="00A90788">
        <w:trPr>
          <w:cantSplit/>
          <w:trHeight w:hRule="exact" w:val="549"/>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2513C151" w14:textId="77777777" w:rsidR="003F4498" w:rsidRDefault="00A90788">
            <w:pPr>
              <w:keepNext/>
              <w:spacing w:before="75" w:after="30"/>
              <w:ind w:left="225"/>
            </w:pPr>
            <w:r>
              <w:rPr>
                <w:color w:val="000000"/>
                <w:sz w:val="20"/>
              </w:rPr>
              <w:t>Gain on intellectual property matter</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01EC0C2F"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9C0CB0" w14:textId="77777777" w:rsidR="003F4498" w:rsidRDefault="003F4498">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189F9CD3" w14:textId="77777777" w:rsidR="003F4498" w:rsidRDefault="00A90788">
            <w:pPr>
              <w:keepNext/>
              <w:spacing w:before="75" w:after="30"/>
              <w:jc w:val="right"/>
            </w:pPr>
            <w:r>
              <w:rPr>
                <w:color w:val="000000"/>
                <w:sz w:val="20"/>
              </w:rPr>
              <w:t>(1.2)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E500FD0" w14:textId="77777777" w:rsidR="003F4498" w:rsidRDefault="003F4498">
            <w:pPr>
              <w:keepNext/>
              <w:spacing w:before="7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207B6B24"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39CA0FFB" w14:textId="77777777" w:rsidR="003F4498" w:rsidRDefault="003F4498">
            <w:pPr>
              <w:keepNex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17D3EA1A"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37C899B9"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BE237A" w14:textId="77777777" w:rsidR="003F4498" w:rsidRDefault="003F4498">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0A63CDEC" w14:textId="77777777" w:rsidR="003F4498" w:rsidRDefault="00A90788">
            <w:pPr>
              <w:keepNext/>
              <w:spacing w:before="75" w:after="30"/>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1DF9EF7" w14:textId="77777777" w:rsidR="003F4498" w:rsidRDefault="003F4498">
            <w:pPr>
              <w:keepNext/>
              <w:spacing w:before="7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6AE24777"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05DC82FD" w14:textId="77777777" w:rsidR="003F4498" w:rsidRDefault="003F4498">
            <w:pPr>
              <w:keepNext/>
            </w:pPr>
          </w:p>
        </w:tc>
      </w:tr>
      <w:tr w:rsidR="003F4498" w14:paraId="194F7FA7" w14:textId="77777777">
        <w:trPr>
          <w:cantSplit/>
          <w:trHeight w:hRule="exact" w:val="300"/>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663EA7BC" w14:textId="77777777" w:rsidR="003F4498" w:rsidRDefault="00A90788">
            <w:pPr>
              <w:keepNext/>
              <w:spacing w:before="75" w:after="30"/>
              <w:ind w:left="225"/>
            </w:pPr>
            <w:r>
              <w:rPr>
                <w:color w:val="000000"/>
                <w:sz w:val="20"/>
              </w:rPr>
              <w:t>Tax adjustment</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0CB5CA04"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13B274" w14:textId="77777777" w:rsidR="003F4498" w:rsidRDefault="003F4498">
            <w:pPr>
              <w:keepNext/>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FB1CC0E" w14:textId="77777777" w:rsidR="003F4498" w:rsidRDefault="00A90788">
            <w:pPr>
              <w:keepNext/>
              <w:spacing w:before="75" w:after="30"/>
              <w:jc w:val="right"/>
            </w:pPr>
            <w:r>
              <w:rPr>
                <w:color w:val="000000"/>
                <w:sz w:val="20"/>
              </w:rPr>
              <w:t>(21.7)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2EE0C99" w14:textId="77777777" w:rsidR="003F4498" w:rsidRDefault="003F4498">
            <w:pPr>
              <w:keepNext/>
              <w:spacing w:before="75" w:after="30"/>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bottom"/>
          </w:tcPr>
          <w:p w14:paraId="31664FC8" w14:textId="77777777" w:rsidR="003F4498" w:rsidRDefault="00A90788">
            <w:pPr>
              <w:keepNext/>
              <w:spacing w:before="75" w:after="30"/>
              <w:jc w:val="right"/>
            </w:pPr>
            <w:r>
              <w:rPr>
                <w:color w:val="000000"/>
                <w:sz w:val="18"/>
              </w:rPr>
              <w:t>(c)</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3D0F6B6C" w14:textId="77777777" w:rsidR="003F4498" w:rsidRDefault="003F4498">
            <w:pPr>
              <w:keepNex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1398D7D1" w14:textId="77777777" w:rsidR="003F4498" w:rsidRDefault="003F4498">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699C2EA3"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B60885" w14:textId="77777777" w:rsidR="003F4498" w:rsidRDefault="003F4498">
            <w:pPr>
              <w:keepNext/>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D719FF9" w14:textId="77777777" w:rsidR="003F4498" w:rsidRDefault="00A90788">
            <w:pPr>
              <w:keepNext/>
              <w:spacing w:before="75" w:after="30"/>
              <w:jc w:val="right"/>
            </w:pPr>
            <w:r>
              <w:rPr>
                <w:color w:val="000000"/>
                <w:sz w:val="20"/>
              </w:rPr>
              <w:t>(29.6)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B12DC23" w14:textId="77777777" w:rsidR="003F4498" w:rsidRDefault="003F4498">
            <w:pPr>
              <w:keepNext/>
              <w:spacing w:before="75" w:after="30"/>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bottom"/>
          </w:tcPr>
          <w:p w14:paraId="7D940BE5" w14:textId="77777777" w:rsidR="003F4498" w:rsidRDefault="00A90788">
            <w:pPr>
              <w:keepNext/>
              <w:spacing w:before="75" w:after="30"/>
              <w:jc w:val="right"/>
            </w:pPr>
            <w:r>
              <w:rPr>
                <w:color w:val="000000"/>
                <w:sz w:val="18"/>
              </w:rPr>
              <w:t>(c)</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33994096" w14:textId="77777777" w:rsidR="003F4498" w:rsidRDefault="003F4498">
            <w:pPr>
              <w:keepNext/>
            </w:pPr>
          </w:p>
        </w:tc>
      </w:tr>
      <w:tr w:rsidR="003F4498" w14:paraId="294E496D" w14:textId="77777777">
        <w:trPr>
          <w:cantSplit/>
          <w:trHeight w:hRule="exact" w:val="300"/>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19E0F63F" w14:textId="77777777" w:rsidR="003F4498" w:rsidRDefault="00A90788">
            <w:pPr>
              <w:keepNext/>
              <w:spacing w:before="75" w:after="30"/>
            </w:pPr>
            <w:r>
              <w:rPr>
                <w:color w:val="000000"/>
                <w:sz w:val="20"/>
              </w:rPr>
              <w:t>Net income</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66539AC9" w14:textId="77777777" w:rsidR="003F4498" w:rsidRDefault="00A90788">
            <w:pPr>
              <w:keepNext/>
              <w:spacing w:before="75" w:after="30"/>
            </w:pPr>
            <w:r>
              <w:rPr>
                <w:color w:val="000000"/>
                <w:sz w:val="20"/>
              </w:rPr>
              <w:t>$</w:t>
            </w:r>
          </w:p>
        </w:tc>
        <w:tc>
          <w:tcPr>
            <w:tcW w:w="880"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3066114C" w14:textId="77777777" w:rsidR="003F4498" w:rsidRDefault="00A90788">
            <w:pPr>
              <w:keepNext/>
              <w:spacing w:before="75" w:after="30"/>
              <w:jc w:val="right"/>
            </w:pPr>
            <w:r>
              <w:rPr>
                <w:color w:val="000000"/>
                <w:sz w:val="20"/>
              </w:rPr>
              <w:t>146.7 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56B26940"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57C9185"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6E769EA" w14:textId="77777777" w:rsidR="003F4498" w:rsidRDefault="00A90788">
            <w:pPr>
              <w:keepNext/>
              <w:spacing w:before="55" w:after="30"/>
            </w:pPr>
            <w:r>
              <w:rPr>
                <w:color w:val="000000"/>
                <w:sz w:val="20"/>
              </w:rPr>
              <w:t>$</w:t>
            </w:r>
          </w:p>
        </w:tc>
        <w:tc>
          <w:tcPr>
            <w:tcW w:w="8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6D7249A" w14:textId="77777777" w:rsidR="003F4498" w:rsidRDefault="00A90788">
            <w:pPr>
              <w:keepNext/>
              <w:spacing w:before="55" w:after="30"/>
              <w:jc w:val="right"/>
            </w:pPr>
            <w:r>
              <w:rPr>
                <w:color w:val="000000"/>
                <w:sz w:val="20"/>
              </w:rPr>
              <w:t>28.8 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6A405AF" w14:textId="77777777" w:rsidR="003F4498" w:rsidRDefault="003F4498">
            <w:pPr>
              <w:keepNext/>
              <w:spacing w:before="5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2D7AC6F8" w14:textId="77777777" w:rsidR="003F4498" w:rsidRDefault="003F4498">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5A2FDB01" w14:textId="77777777" w:rsidR="003F4498" w:rsidRDefault="00A90788">
            <w:pPr>
              <w:keepNext/>
              <w:spacing w:before="75" w:after="30"/>
            </w:pPr>
            <w:r>
              <w:rPr>
                <w:color w:val="000000"/>
                <w:sz w:val="20"/>
              </w:rPr>
              <w:t>$</w:t>
            </w:r>
          </w:p>
        </w:tc>
        <w:tc>
          <w:tcPr>
            <w:tcW w:w="880"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78F19711" w14:textId="77777777" w:rsidR="003F4498" w:rsidRDefault="00A90788">
            <w:pPr>
              <w:keepNext/>
              <w:spacing w:before="75" w:after="30"/>
              <w:jc w:val="right"/>
            </w:pPr>
            <w:r>
              <w:rPr>
                <w:color w:val="000000"/>
                <w:sz w:val="20"/>
              </w:rPr>
              <w:t>175.5 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673D61FB" w14:textId="77777777" w:rsidR="003F4498" w:rsidRDefault="003F4498">
            <w:pPr>
              <w:keepNext/>
              <w:spacing w:before="75" w:after="30"/>
              <w:jc w:val="righ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38E4CF4C" w14:textId="77777777" w:rsidR="003F4498" w:rsidRDefault="003F4498">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3CF16CC7" w14:textId="77777777" w:rsidR="003F4498" w:rsidRDefault="00A90788">
            <w:pPr>
              <w:keepNext/>
              <w:spacing w:before="75" w:after="30"/>
            </w:pPr>
            <w:r>
              <w:rPr>
                <w:color w:val="000000"/>
                <w:sz w:val="20"/>
              </w:rPr>
              <w:t>$</w:t>
            </w:r>
          </w:p>
        </w:tc>
        <w:tc>
          <w:tcPr>
            <w:tcW w:w="880"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14E6E3CA" w14:textId="77777777" w:rsidR="003F4498" w:rsidRDefault="00A90788">
            <w:pPr>
              <w:keepNext/>
              <w:spacing w:before="75" w:after="30"/>
              <w:jc w:val="right"/>
            </w:pPr>
            <w:r>
              <w:rPr>
                <w:color w:val="000000"/>
                <w:sz w:val="20"/>
              </w:rPr>
              <w:t>118.2 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8BD7985"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7EBEBEA"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0C62894" w14:textId="77777777" w:rsidR="003F4498" w:rsidRDefault="00A90788">
            <w:pPr>
              <w:keepNext/>
              <w:spacing w:before="55" w:after="30"/>
            </w:pPr>
            <w:r>
              <w:rPr>
                <w:color w:val="000000"/>
                <w:sz w:val="20"/>
              </w:rPr>
              <w:t>$</w:t>
            </w:r>
          </w:p>
        </w:tc>
        <w:tc>
          <w:tcPr>
            <w:tcW w:w="8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D0F94EC" w14:textId="77777777" w:rsidR="003F4498" w:rsidRDefault="00A90788">
            <w:pPr>
              <w:keepNext/>
              <w:spacing w:before="55" w:after="30"/>
              <w:jc w:val="right"/>
            </w:pPr>
            <w:r>
              <w:rPr>
                <w:color w:val="000000"/>
                <w:sz w:val="20"/>
              </w:rPr>
              <w:t>16.9 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9D115CD" w14:textId="77777777" w:rsidR="003F4498" w:rsidRDefault="003F4498">
            <w:pPr>
              <w:keepNext/>
              <w:spacing w:before="5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253E1AD0" w14:textId="77777777" w:rsidR="003F4498" w:rsidRDefault="003F4498">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5A976006" w14:textId="77777777" w:rsidR="003F4498" w:rsidRDefault="00A90788">
            <w:pPr>
              <w:keepNext/>
              <w:spacing w:before="75" w:after="30"/>
            </w:pPr>
            <w:r>
              <w:rPr>
                <w:color w:val="000000"/>
                <w:sz w:val="20"/>
              </w:rPr>
              <w:t>$</w:t>
            </w:r>
          </w:p>
        </w:tc>
        <w:tc>
          <w:tcPr>
            <w:tcW w:w="880"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7C4BA470" w14:textId="77777777" w:rsidR="003F4498" w:rsidRDefault="00A90788">
            <w:pPr>
              <w:keepNext/>
              <w:spacing w:before="75" w:after="30"/>
              <w:jc w:val="right"/>
            </w:pPr>
            <w:r>
              <w:rPr>
                <w:color w:val="000000"/>
                <w:sz w:val="20"/>
              </w:rPr>
              <w:t>135.1 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CF049DB" w14:textId="77777777" w:rsidR="003F4498" w:rsidRDefault="003F4498">
            <w:pPr>
              <w:keepNext/>
              <w:spacing w:before="75" w:after="30"/>
              <w:jc w:val="right"/>
            </w:pPr>
          </w:p>
        </w:tc>
      </w:tr>
      <w:tr w:rsidR="003F4498" w14:paraId="50544A23" w14:textId="77777777" w:rsidTr="006F54BB">
        <w:trPr>
          <w:cantSplit/>
          <w:trHeight w:hRule="exact" w:val="699"/>
          <w:jc w:val="center"/>
        </w:trPr>
        <w:tc>
          <w:tcPr>
            <w:tcW w:w="2355" w:type="dxa"/>
            <w:tcBorders>
              <w:top w:val="nil"/>
              <w:left w:val="nil"/>
              <w:bottom w:val="nil"/>
              <w:right w:val="nil"/>
            </w:tcBorders>
            <w:shd w:val="clear" w:color="auto" w:fill="CCEEFF"/>
            <w:tcMar>
              <w:top w:w="0" w:type="dxa"/>
              <w:left w:w="53" w:type="dxa"/>
              <w:bottom w:w="0" w:type="dxa"/>
              <w:right w:w="15" w:type="dxa"/>
            </w:tcMar>
            <w:vAlign w:val="bottom"/>
          </w:tcPr>
          <w:p w14:paraId="3B639F9B" w14:textId="77777777" w:rsidR="003F4498" w:rsidRDefault="00A90788">
            <w:pPr>
              <w:keepNext/>
              <w:spacing w:before="75" w:after="30"/>
            </w:pPr>
            <w:r>
              <w:rPr>
                <w:color w:val="000000"/>
                <w:sz w:val="20"/>
              </w:rPr>
              <w:t>Diluted net income per share</w:t>
            </w: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7EEE24F" w14:textId="77777777" w:rsidR="003F4498" w:rsidRDefault="00A90788">
            <w:pPr>
              <w:keepNext/>
              <w:spacing w:before="55" w:after="30"/>
            </w:pPr>
            <w:r>
              <w:rPr>
                <w:color w:val="000000"/>
                <w:sz w:val="20"/>
              </w:rPr>
              <w:t>$</w:t>
            </w:r>
          </w:p>
        </w:tc>
        <w:tc>
          <w:tcPr>
            <w:tcW w:w="880"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26CEB36" w14:textId="77777777" w:rsidR="003F4498" w:rsidRDefault="00A90788">
            <w:pPr>
              <w:keepNext/>
              <w:spacing w:before="55" w:after="30"/>
              <w:jc w:val="right"/>
            </w:pPr>
            <w:r>
              <w:rPr>
                <w:color w:val="000000"/>
                <w:sz w:val="20"/>
              </w:rPr>
              <w:t>0.89 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788297E"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ACAD6D" w14:textId="77777777" w:rsidR="003F4498" w:rsidRDefault="003F4498">
            <w:pPr>
              <w:keepNext/>
            </w:pPr>
          </w:p>
        </w:tc>
        <w:tc>
          <w:tcPr>
            <w:tcW w:w="11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74860297" w14:textId="77777777" w:rsidR="003F4498" w:rsidRDefault="003F4498">
            <w:pPr>
              <w:keepNex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541E4C72" w14:textId="77777777" w:rsidR="003F4498" w:rsidRDefault="003F4498">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9679957" w14:textId="77777777" w:rsidR="003F4498" w:rsidRDefault="00A90788">
            <w:pPr>
              <w:keepNext/>
              <w:spacing w:before="55" w:after="30"/>
            </w:pPr>
            <w:r>
              <w:rPr>
                <w:color w:val="000000"/>
                <w:sz w:val="20"/>
              </w:rPr>
              <w:t>$</w:t>
            </w:r>
          </w:p>
        </w:tc>
        <w:tc>
          <w:tcPr>
            <w:tcW w:w="880"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67275FA" w14:textId="77777777" w:rsidR="003F4498" w:rsidRDefault="00A90788">
            <w:pPr>
              <w:keepNext/>
              <w:spacing w:before="55" w:after="30"/>
              <w:jc w:val="right"/>
            </w:pPr>
            <w:r>
              <w:rPr>
                <w:color w:val="000000"/>
                <w:sz w:val="20"/>
              </w:rPr>
              <w:t>1.06 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024A35A" w14:textId="77777777" w:rsidR="003F4498" w:rsidRDefault="003F4498">
            <w:pPr>
              <w:keepNext/>
              <w:spacing w:before="55" w:after="30"/>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489BA1FD" w14:textId="77777777" w:rsidR="003F4498" w:rsidRDefault="003F4498">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5A24F23" w14:textId="77777777" w:rsidR="003F4498" w:rsidRDefault="00A90788">
            <w:pPr>
              <w:keepNext/>
              <w:spacing w:before="55" w:after="30"/>
            </w:pPr>
            <w:r>
              <w:rPr>
                <w:color w:val="000000"/>
                <w:sz w:val="20"/>
              </w:rPr>
              <w:t>$</w:t>
            </w:r>
          </w:p>
        </w:tc>
        <w:tc>
          <w:tcPr>
            <w:tcW w:w="880"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EC2BE98" w14:textId="77777777" w:rsidR="003F4498" w:rsidRDefault="00A90788">
            <w:pPr>
              <w:keepNext/>
              <w:spacing w:before="55" w:after="30"/>
              <w:jc w:val="right"/>
            </w:pPr>
            <w:r>
              <w:rPr>
                <w:color w:val="000000"/>
                <w:sz w:val="20"/>
              </w:rPr>
              <w:t>0.67 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0168EA1"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6AA648" w14:textId="77777777" w:rsidR="003F4498" w:rsidRDefault="003F4498">
            <w:pPr>
              <w:keepNext/>
            </w:pPr>
          </w:p>
        </w:tc>
        <w:tc>
          <w:tcPr>
            <w:tcW w:w="11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0279F24D" w14:textId="77777777" w:rsidR="003F4498" w:rsidRDefault="003F4498">
            <w:pPr>
              <w:keepNex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1B5114CB" w14:textId="77777777" w:rsidR="003F4498" w:rsidRDefault="003F4498">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09778A8" w14:textId="77777777" w:rsidR="003F4498" w:rsidRDefault="00A90788">
            <w:pPr>
              <w:keepNext/>
              <w:spacing w:before="55" w:after="30"/>
            </w:pPr>
            <w:r>
              <w:rPr>
                <w:color w:val="000000"/>
                <w:sz w:val="20"/>
              </w:rPr>
              <w:t>$</w:t>
            </w:r>
          </w:p>
        </w:tc>
        <w:tc>
          <w:tcPr>
            <w:tcW w:w="880"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DFC8566" w14:textId="77777777" w:rsidR="003F4498" w:rsidRDefault="00A90788">
            <w:pPr>
              <w:keepNext/>
              <w:spacing w:before="55" w:after="30"/>
              <w:jc w:val="right"/>
            </w:pPr>
            <w:r>
              <w:rPr>
                <w:color w:val="000000"/>
                <w:sz w:val="20"/>
              </w:rPr>
              <w:t>0.77 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B964EA7" w14:textId="77777777" w:rsidR="003F4498" w:rsidRDefault="003F4498">
            <w:pPr>
              <w:keepNext/>
              <w:spacing w:before="55" w:after="30"/>
              <w:jc w:val="right"/>
            </w:pPr>
          </w:p>
        </w:tc>
      </w:tr>
      <w:tr w:rsidR="003F4498" w14:paraId="31AB48F1" w14:textId="77777777" w:rsidTr="00A90788">
        <w:trPr>
          <w:cantSplit/>
          <w:trHeight w:hRule="exact" w:val="906"/>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4CAD0917" w14:textId="77777777" w:rsidR="003F4498" w:rsidRDefault="00A90788">
            <w:pPr>
              <w:spacing w:before="75" w:after="30"/>
            </w:pPr>
            <w:r>
              <w:rPr>
                <w:color w:val="000000"/>
                <w:sz w:val="20"/>
              </w:rPr>
              <w:t xml:space="preserve">Shares used in diluted net income per share calculations </w:t>
            </w: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542922C" w14:textId="77777777" w:rsidR="003F4498" w:rsidRDefault="00A90788">
            <w:pPr>
              <w:spacing w:before="55" w:after="30"/>
              <w:jc w:val="right"/>
            </w:pPr>
            <w:r>
              <w:rPr>
                <w:color w:val="000000"/>
                <w:sz w:val="20"/>
              </w:rPr>
              <w:t>165.5 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5EE5B29"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2BD7B6" w14:textId="77777777" w:rsidR="003F4498" w:rsidRDefault="003F4498"/>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14:paraId="40FF3437" w14:textId="77777777" w:rsidR="003F4498" w:rsidRDefault="003F4498"/>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1982E651" w14:textId="77777777" w:rsidR="003F4498" w:rsidRDefault="003F4498"/>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DCA7E14" w14:textId="77777777" w:rsidR="003F4498" w:rsidRDefault="00A90788">
            <w:pPr>
              <w:spacing w:before="55" w:after="30"/>
              <w:jc w:val="right"/>
            </w:pPr>
            <w:r>
              <w:rPr>
                <w:color w:val="000000"/>
                <w:sz w:val="20"/>
              </w:rPr>
              <w:t>165.5 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C539822" w14:textId="77777777" w:rsidR="003F4498" w:rsidRDefault="003F4498">
            <w:pPr>
              <w:spacing w:before="55" w:after="30"/>
              <w:jc w:val="righ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5E004C82" w14:textId="77777777" w:rsidR="003F4498" w:rsidRDefault="003F4498"/>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C83F051" w14:textId="77777777" w:rsidR="003F4498" w:rsidRDefault="00A90788">
            <w:pPr>
              <w:spacing w:before="55" w:after="30"/>
              <w:jc w:val="right"/>
            </w:pPr>
            <w:r>
              <w:rPr>
                <w:color w:val="000000"/>
                <w:sz w:val="20"/>
              </w:rPr>
              <w:t>175.2 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CA72C23"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553D51" w14:textId="77777777" w:rsidR="003F4498" w:rsidRDefault="003F4498"/>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14:paraId="451E16FB" w14:textId="77777777" w:rsidR="003F4498" w:rsidRDefault="003F4498"/>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2E646AC2" w14:textId="77777777" w:rsidR="003F4498" w:rsidRDefault="003F4498"/>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D606A91" w14:textId="77777777" w:rsidR="003F4498" w:rsidRDefault="00A90788">
            <w:pPr>
              <w:spacing w:before="55" w:after="30"/>
              <w:jc w:val="right"/>
            </w:pPr>
            <w:r>
              <w:rPr>
                <w:color w:val="000000"/>
                <w:sz w:val="20"/>
              </w:rPr>
              <w:t>175.2 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6E53190" w14:textId="77777777" w:rsidR="003F4498" w:rsidRDefault="003F4498">
            <w:pPr>
              <w:spacing w:before="55" w:after="30"/>
              <w:jc w:val="right"/>
            </w:pPr>
          </w:p>
        </w:tc>
      </w:tr>
    </w:tbl>
    <w:p w14:paraId="131A010C" w14:textId="77777777" w:rsidR="003F4498" w:rsidRDefault="003F4498">
      <w:pPr>
        <w:spacing w:before="100" w:line="288" w:lineRule="auto"/>
        <w:rPr>
          <w:sz w:val="20"/>
        </w:rPr>
      </w:pPr>
    </w:p>
    <w:p w14:paraId="67A6E560" w14:textId="77777777" w:rsidR="003F4498" w:rsidRDefault="00A90788">
      <w:pPr>
        <w:spacing w:line="288" w:lineRule="auto"/>
        <w:rPr>
          <w:sz w:val="20"/>
        </w:rPr>
      </w:pPr>
      <w:r>
        <w:rPr>
          <w:sz w:val="20"/>
        </w:rPr>
        <w:t>(a) To exclude $48.9 million of stock-based compensation and $2.8 million of amortization of acquired intangible assets, offset by a $1.2 million gain on intellectual property matter, in the three months ended December 31, 2020.</w:t>
      </w:r>
    </w:p>
    <w:p w14:paraId="08BA80AD" w14:textId="77777777" w:rsidR="003F4498" w:rsidRDefault="00A90788">
      <w:pPr>
        <w:spacing w:line="288" w:lineRule="auto"/>
        <w:rPr>
          <w:sz w:val="20"/>
        </w:rPr>
      </w:pPr>
      <w:r>
        <w:rPr>
          <w:sz w:val="20"/>
        </w:rPr>
        <w:t>(b) To exclude $43.7 million of stock-based compensation and $2.8 million of amortization of acquired intangible assets in the three months ended December 31, 2019.</w:t>
      </w:r>
    </w:p>
    <w:p w14:paraId="75E7166E" w14:textId="77777777" w:rsidR="003F4498" w:rsidRDefault="00A90788">
      <w:pPr>
        <w:spacing w:line="288" w:lineRule="auto"/>
        <w:rPr>
          <w:sz w:val="20"/>
        </w:rPr>
      </w:pPr>
      <w:r>
        <w:rPr>
          <w:sz w:val="20"/>
        </w:rPr>
        <w:t>(c) Non-GAAP financial information is adjusted to an overall effective tax rate of 21% and 24% in 2020 and 2019, on a non-GAAP basis, which differs from the GAAP effective tax rate.</w:t>
      </w:r>
    </w:p>
    <w:p w14:paraId="3D5472E5" w14:textId="77777777" w:rsidR="003F4498" w:rsidRDefault="003F4498">
      <w:pPr>
        <w:spacing w:after="100" w:line="288" w:lineRule="auto"/>
        <w:rPr>
          <w:b/>
          <w:sz w:val="18"/>
          <w:vertAlign w:val="superscript"/>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61"/>
        <w:gridCol w:w="863"/>
        <w:gridCol w:w="182"/>
        <w:gridCol w:w="72"/>
        <w:gridCol w:w="160"/>
        <w:gridCol w:w="865"/>
        <w:gridCol w:w="98"/>
        <w:gridCol w:w="343"/>
        <w:gridCol w:w="160"/>
        <w:gridCol w:w="863"/>
        <w:gridCol w:w="182"/>
        <w:gridCol w:w="129"/>
        <w:gridCol w:w="160"/>
        <w:gridCol w:w="863"/>
        <w:gridCol w:w="182"/>
        <w:gridCol w:w="72"/>
        <w:gridCol w:w="160"/>
        <w:gridCol w:w="865"/>
        <w:gridCol w:w="98"/>
        <w:gridCol w:w="344"/>
        <w:gridCol w:w="160"/>
        <w:gridCol w:w="863"/>
        <w:gridCol w:w="182"/>
      </w:tblGrid>
      <w:tr w:rsidR="003F4498" w14:paraId="5BE30E7B" w14:textId="77777777">
        <w:trPr>
          <w:cantSplit/>
          <w:trHeight w:hRule="exact" w:val="285"/>
          <w:jc w:val="center"/>
        </w:trPr>
        <w:tc>
          <w:tcPr>
            <w:tcW w:w="2355" w:type="dxa"/>
            <w:tcBorders>
              <w:top w:val="nil"/>
              <w:left w:val="nil"/>
              <w:bottom w:val="nil"/>
              <w:right w:val="nil"/>
            </w:tcBorders>
            <w:tcMar>
              <w:top w:w="0" w:type="dxa"/>
              <w:left w:w="0" w:type="dxa"/>
              <w:bottom w:w="0" w:type="dxa"/>
              <w:right w:w="0" w:type="dxa"/>
            </w:tcMar>
            <w:vAlign w:val="bottom"/>
          </w:tcPr>
          <w:p w14:paraId="6BC89B9F" w14:textId="77777777" w:rsidR="003F4498" w:rsidRDefault="003F4498">
            <w:pPr>
              <w:keepNext/>
            </w:pPr>
          </w:p>
        </w:tc>
        <w:tc>
          <w:tcPr>
            <w:tcW w:w="3825" w:type="dxa"/>
            <w:gridSpan w:val="11"/>
            <w:tcBorders>
              <w:top w:val="nil"/>
              <w:left w:val="nil"/>
              <w:bottom w:val="single" w:sz="8" w:space="0" w:color="000000"/>
              <w:right w:val="nil"/>
            </w:tcBorders>
            <w:tcMar>
              <w:top w:w="0" w:type="dxa"/>
              <w:left w:w="53" w:type="dxa"/>
              <w:bottom w:w="0" w:type="dxa"/>
              <w:right w:w="53" w:type="dxa"/>
            </w:tcMar>
            <w:vAlign w:val="bottom"/>
          </w:tcPr>
          <w:p w14:paraId="0A071A33" w14:textId="77777777" w:rsidR="003F4498" w:rsidRDefault="00A90788">
            <w:pPr>
              <w:keepNext/>
              <w:spacing w:before="75" w:after="30"/>
              <w:jc w:val="center"/>
            </w:pPr>
            <w:r>
              <w:rPr>
                <w:b/>
                <w:color w:val="000000"/>
                <w:sz w:val="20"/>
              </w:rPr>
              <w:t>Year Ended December 31, 2020</w:t>
            </w:r>
          </w:p>
        </w:tc>
        <w:tc>
          <w:tcPr>
            <w:tcW w:w="135" w:type="dxa"/>
            <w:tcBorders>
              <w:top w:val="nil"/>
              <w:left w:val="nil"/>
              <w:bottom w:val="nil"/>
              <w:right w:val="nil"/>
            </w:tcBorders>
            <w:tcMar>
              <w:top w:w="0" w:type="dxa"/>
              <w:left w:w="0" w:type="dxa"/>
              <w:bottom w:w="0" w:type="dxa"/>
              <w:right w:w="0" w:type="dxa"/>
            </w:tcMar>
            <w:vAlign w:val="bottom"/>
          </w:tcPr>
          <w:p w14:paraId="4D84DEAF" w14:textId="77777777" w:rsidR="003F4498" w:rsidRDefault="003F4498">
            <w:pPr>
              <w:keepNext/>
            </w:pPr>
          </w:p>
        </w:tc>
        <w:tc>
          <w:tcPr>
            <w:tcW w:w="3825" w:type="dxa"/>
            <w:gridSpan w:val="11"/>
            <w:tcBorders>
              <w:top w:val="nil"/>
              <w:left w:val="nil"/>
              <w:bottom w:val="single" w:sz="8" w:space="0" w:color="000000"/>
              <w:right w:val="nil"/>
            </w:tcBorders>
            <w:tcMar>
              <w:top w:w="0" w:type="dxa"/>
              <w:left w:w="53" w:type="dxa"/>
              <w:bottom w:w="0" w:type="dxa"/>
              <w:right w:w="53" w:type="dxa"/>
            </w:tcMar>
            <w:vAlign w:val="bottom"/>
          </w:tcPr>
          <w:p w14:paraId="7D5FB656" w14:textId="77777777" w:rsidR="003F4498" w:rsidRDefault="00A90788">
            <w:pPr>
              <w:keepNext/>
              <w:spacing w:before="75" w:after="30"/>
              <w:jc w:val="center"/>
            </w:pPr>
            <w:r>
              <w:rPr>
                <w:b/>
                <w:color w:val="000000"/>
                <w:sz w:val="20"/>
              </w:rPr>
              <w:t>Year Ended December 31, 2019</w:t>
            </w:r>
          </w:p>
        </w:tc>
      </w:tr>
      <w:tr w:rsidR="003F4498" w14:paraId="66D34D0C" w14:textId="77777777">
        <w:trPr>
          <w:cantSplit/>
          <w:trHeight w:hRule="exact" w:val="435"/>
          <w:jc w:val="center"/>
        </w:trPr>
        <w:tc>
          <w:tcPr>
            <w:tcW w:w="2355" w:type="dxa"/>
            <w:tcBorders>
              <w:top w:val="nil"/>
              <w:left w:val="nil"/>
              <w:bottom w:val="nil"/>
              <w:right w:val="nil"/>
            </w:tcBorders>
            <w:tcMar>
              <w:top w:w="0" w:type="dxa"/>
              <w:left w:w="0" w:type="dxa"/>
              <w:bottom w:w="0" w:type="dxa"/>
              <w:right w:w="0" w:type="dxa"/>
            </w:tcMar>
            <w:vAlign w:val="bottom"/>
          </w:tcPr>
          <w:p w14:paraId="30AF6DA9" w14:textId="77777777" w:rsidR="003F4498" w:rsidRDefault="003F4498">
            <w:pPr>
              <w:keepNext/>
            </w:pPr>
          </w:p>
        </w:tc>
        <w:tc>
          <w:tcPr>
            <w:tcW w:w="1140" w:type="dxa"/>
            <w:gridSpan w:val="3"/>
            <w:tcBorders>
              <w:top w:val="nil"/>
              <w:left w:val="nil"/>
              <w:bottom w:val="single" w:sz="8" w:space="0" w:color="000000"/>
              <w:right w:val="nil"/>
            </w:tcBorders>
            <w:tcMar>
              <w:top w:w="0" w:type="dxa"/>
              <w:left w:w="53" w:type="dxa"/>
              <w:bottom w:w="0" w:type="dxa"/>
              <w:right w:w="53" w:type="dxa"/>
            </w:tcMar>
            <w:vAlign w:val="bottom"/>
          </w:tcPr>
          <w:p w14:paraId="550EB23A" w14:textId="77777777" w:rsidR="003F4498" w:rsidRDefault="00A90788">
            <w:pPr>
              <w:keepNext/>
              <w:spacing w:before="55" w:after="30"/>
              <w:jc w:val="center"/>
            </w:pPr>
            <w:r>
              <w:rPr>
                <w:b/>
                <w:color w:val="000000"/>
                <w:sz w:val="18"/>
              </w:rPr>
              <w:t>GAAP Results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FD84000" w14:textId="77777777" w:rsidR="003F4498" w:rsidRDefault="003F4498">
            <w:pPr>
              <w:keepNext/>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161C0D2E" w14:textId="77777777" w:rsidR="003F4498" w:rsidRDefault="00A90788">
            <w:pPr>
              <w:keepNext/>
              <w:spacing w:before="55" w:after="30"/>
              <w:jc w:val="center"/>
            </w:pPr>
            <w:r>
              <w:rPr>
                <w:b/>
                <w:color w:val="000000"/>
                <w:sz w:val="18"/>
              </w:rPr>
              <w:t>Adjustments</w:t>
            </w:r>
          </w:p>
        </w:tc>
        <w:tc>
          <w:tcPr>
            <w:tcW w:w="345" w:type="dxa"/>
            <w:tcBorders>
              <w:top w:val="single" w:sz="8" w:space="0" w:color="000000"/>
              <w:left w:val="nil"/>
              <w:bottom w:val="nil"/>
              <w:right w:val="nil"/>
            </w:tcBorders>
            <w:tcMar>
              <w:top w:w="0" w:type="dxa"/>
              <w:left w:w="0" w:type="dxa"/>
              <w:bottom w:w="0" w:type="dxa"/>
              <w:right w:w="0" w:type="dxa"/>
            </w:tcMar>
            <w:vAlign w:val="bottom"/>
          </w:tcPr>
          <w:p w14:paraId="4D3254A2" w14:textId="77777777" w:rsidR="003F4498" w:rsidRDefault="003F4498">
            <w:pPr>
              <w:keepNext/>
            </w:pPr>
          </w:p>
        </w:tc>
        <w:tc>
          <w:tcPr>
            <w:tcW w:w="11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1EE5AA2A" w14:textId="77777777" w:rsidR="003F4498" w:rsidRDefault="00A90788">
            <w:pPr>
              <w:keepNext/>
              <w:spacing w:before="55" w:after="30"/>
              <w:jc w:val="center"/>
            </w:pPr>
            <w:r>
              <w:rPr>
                <w:b/>
                <w:color w:val="000000"/>
                <w:sz w:val="18"/>
              </w:rPr>
              <w:t>Non-GAAP Results</w:t>
            </w:r>
          </w:p>
        </w:tc>
        <w:tc>
          <w:tcPr>
            <w:tcW w:w="135" w:type="dxa"/>
            <w:tcBorders>
              <w:top w:val="nil"/>
              <w:left w:val="nil"/>
              <w:bottom w:val="nil"/>
              <w:right w:val="nil"/>
            </w:tcBorders>
            <w:tcMar>
              <w:top w:w="0" w:type="dxa"/>
              <w:left w:w="0" w:type="dxa"/>
              <w:bottom w:w="0" w:type="dxa"/>
              <w:right w:w="0" w:type="dxa"/>
            </w:tcMar>
            <w:vAlign w:val="bottom"/>
          </w:tcPr>
          <w:p w14:paraId="6BBDC288" w14:textId="77777777" w:rsidR="003F4498" w:rsidRDefault="003F4498">
            <w:pPr>
              <w:keepNext/>
            </w:pPr>
          </w:p>
        </w:tc>
        <w:tc>
          <w:tcPr>
            <w:tcW w:w="1140" w:type="dxa"/>
            <w:gridSpan w:val="3"/>
            <w:tcBorders>
              <w:top w:val="nil"/>
              <w:left w:val="nil"/>
              <w:bottom w:val="single" w:sz="8" w:space="0" w:color="000000"/>
              <w:right w:val="nil"/>
            </w:tcBorders>
            <w:tcMar>
              <w:top w:w="0" w:type="dxa"/>
              <w:left w:w="53" w:type="dxa"/>
              <w:bottom w:w="0" w:type="dxa"/>
              <w:right w:w="53" w:type="dxa"/>
            </w:tcMar>
            <w:vAlign w:val="bottom"/>
          </w:tcPr>
          <w:p w14:paraId="69DCBADD" w14:textId="77777777" w:rsidR="003F4498" w:rsidRDefault="00A90788">
            <w:pPr>
              <w:keepNext/>
              <w:spacing w:before="55" w:after="30"/>
              <w:jc w:val="center"/>
            </w:pPr>
            <w:r>
              <w:rPr>
                <w:b/>
                <w:color w:val="000000"/>
                <w:sz w:val="18"/>
              </w:rPr>
              <w:t>GAAP Results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3F99A02" w14:textId="77777777" w:rsidR="003F4498" w:rsidRDefault="003F4498">
            <w:pPr>
              <w:keepNext/>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299623E2" w14:textId="77777777" w:rsidR="003F4498" w:rsidRDefault="00A90788">
            <w:pPr>
              <w:keepNext/>
              <w:spacing w:before="55" w:after="30"/>
              <w:jc w:val="center"/>
            </w:pPr>
            <w:r>
              <w:rPr>
                <w:b/>
                <w:color w:val="000000"/>
                <w:sz w:val="18"/>
              </w:rPr>
              <w:t>Adjustments</w:t>
            </w:r>
          </w:p>
        </w:tc>
        <w:tc>
          <w:tcPr>
            <w:tcW w:w="345" w:type="dxa"/>
            <w:tcBorders>
              <w:top w:val="single" w:sz="8" w:space="0" w:color="000000"/>
              <w:left w:val="nil"/>
              <w:bottom w:val="nil"/>
              <w:right w:val="nil"/>
            </w:tcBorders>
            <w:tcMar>
              <w:top w:w="0" w:type="dxa"/>
              <w:left w:w="0" w:type="dxa"/>
              <w:bottom w:w="0" w:type="dxa"/>
              <w:right w:w="0" w:type="dxa"/>
            </w:tcMar>
            <w:vAlign w:val="bottom"/>
          </w:tcPr>
          <w:p w14:paraId="7FEB50D1" w14:textId="77777777" w:rsidR="003F4498" w:rsidRDefault="003F4498">
            <w:pPr>
              <w:keepNext/>
            </w:pPr>
          </w:p>
        </w:tc>
        <w:tc>
          <w:tcPr>
            <w:tcW w:w="11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1885937" w14:textId="77777777" w:rsidR="003F4498" w:rsidRDefault="00A90788">
            <w:pPr>
              <w:keepNext/>
              <w:spacing w:before="55" w:after="30"/>
              <w:jc w:val="center"/>
            </w:pPr>
            <w:r>
              <w:rPr>
                <w:b/>
                <w:color w:val="000000"/>
                <w:sz w:val="18"/>
              </w:rPr>
              <w:t>Non-GAAP Results</w:t>
            </w:r>
          </w:p>
        </w:tc>
      </w:tr>
      <w:tr w:rsidR="003F4498" w14:paraId="024FB5E6" w14:textId="77777777">
        <w:trPr>
          <w:cantSplit/>
          <w:trHeight w:hRule="exact" w:val="300"/>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533FBCCC" w14:textId="77777777" w:rsidR="003F4498" w:rsidRDefault="00A90788">
            <w:pPr>
              <w:keepNext/>
              <w:spacing w:before="75" w:after="30"/>
            </w:pPr>
            <w:r>
              <w:rPr>
                <w:color w:val="000000"/>
                <w:sz w:val="20"/>
              </w:rPr>
              <w:t>Operating income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F3AB194" w14:textId="77777777" w:rsidR="003F4498" w:rsidRDefault="00A90788">
            <w:pPr>
              <w:keepNext/>
              <w:spacing w:before="55" w:after="30"/>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9BB61F2" w14:textId="77777777" w:rsidR="003F4498" w:rsidRDefault="00A90788">
            <w:pPr>
              <w:keepNext/>
              <w:spacing w:before="55" w:after="30"/>
              <w:jc w:val="right"/>
            </w:pPr>
            <w:r>
              <w:rPr>
                <w:color w:val="000000"/>
                <w:sz w:val="20"/>
              </w:rPr>
              <w:t>531.8 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4A938F6"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FB0A1D"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BBFBEB7" w14:textId="77777777" w:rsidR="003F4498" w:rsidRDefault="00A90788">
            <w:pPr>
              <w:keepNext/>
              <w:spacing w:before="55" w:after="30"/>
            </w:pPr>
            <w:r>
              <w:rPr>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6047DED" w14:textId="77777777" w:rsidR="003F4498" w:rsidRDefault="00A90788">
            <w:pPr>
              <w:keepNext/>
              <w:spacing w:before="55" w:after="30"/>
              <w:jc w:val="right"/>
            </w:pPr>
            <w:r>
              <w:rPr>
                <w:color w:val="000000"/>
                <w:sz w:val="20"/>
              </w:rPr>
              <w:t>166.2 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55FA1EB" w14:textId="77777777" w:rsidR="003F4498" w:rsidRDefault="003F4498">
            <w:pPr>
              <w:keepNext/>
              <w:spacing w:before="55" w:after="30"/>
              <w:jc w:val="right"/>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14:paraId="70D3B6BE" w14:textId="77777777" w:rsidR="003F4498" w:rsidRDefault="00A90788">
            <w:pPr>
              <w:keepNext/>
              <w:spacing w:before="75" w:after="30"/>
              <w:jc w:val="right"/>
            </w:pPr>
            <w:r>
              <w:rPr>
                <w:color w:val="000000"/>
                <w:sz w:val="18"/>
              </w:rPr>
              <w:t>(a)</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5169954" w14:textId="77777777" w:rsidR="003F4498" w:rsidRDefault="00A90788">
            <w:pPr>
              <w:keepNext/>
              <w:spacing w:before="55" w:after="30"/>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F04DA32" w14:textId="77777777" w:rsidR="003F4498" w:rsidRDefault="00A90788">
            <w:pPr>
              <w:keepNext/>
              <w:spacing w:before="55" w:after="30"/>
              <w:jc w:val="right"/>
            </w:pPr>
            <w:r>
              <w:rPr>
                <w:color w:val="000000"/>
                <w:sz w:val="20"/>
              </w:rPr>
              <w:t>698.0 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833903A" w14:textId="77777777" w:rsidR="003F4498" w:rsidRDefault="003F4498">
            <w:pPr>
              <w:keepNext/>
              <w:spacing w:before="55" w:after="30"/>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3D30AF4D"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FC1F996" w14:textId="77777777" w:rsidR="003F4498" w:rsidRDefault="00A90788">
            <w:pPr>
              <w:keepNext/>
              <w:spacing w:before="55" w:after="30"/>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F90B674" w14:textId="77777777" w:rsidR="003F4498" w:rsidRDefault="00A90788">
            <w:pPr>
              <w:keepNext/>
              <w:spacing w:before="55" w:after="30"/>
              <w:jc w:val="right"/>
            </w:pPr>
            <w:r>
              <w:rPr>
                <w:color w:val="000000"/>
                <w:sz w:val="20"/>
              </w:rPr>
              <w:t>351.0 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DB43425"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41252A"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F3B9F2A" w14:textId="77777777" w:rsidR="003F4498" w:rsidRDefault="00A90788">
            <w:pPr>
              <w:keepNext/>
              <w:spacing w:before="55" w:after="30"/>
            </w:pPr>
            <w:r>
              <w:rPr>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D55DF1A" w14:textId="77777777" w:rsidR="003F4498" w:rsidRDefault="00A90788">
            <w:pPr>
              <w:keepNext/>
              <w:spacing w:before="55" w:after="30"/>
              <w:jc w:val="right"/>
            </w:pPr>
            <w:r>
              <w:rPr>
                <w:color w:val="000000"/>
                <w:sz w:val="20"/>
              </w:rPr>
              <w:t>185.0 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25CE847" w14:textId="77777777" w:rsidR="003F4498" w:rsidRDefault="003F4498">
            <w:pPr>
              <w:keepNext/>
              <w:spacing w:before="55" w:after="30"/>
              <w:jc w:val="right"/>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14:paraId="11479AC7" w14:textId="77777777" w:rsidR="003F4498" w:rsidRDefault="00A90788">
            <w:pPr>
              <w:keepNext/>
              <w:spacing w:before="75" w:after="30"/>
              <w:jc w:val="center"/>
            </w:pPr>
            <w:r>
              <w:rPr>
                <w:color w:val="000000"/>
                <w:sz w:val="18"/>
              </w:rPr>
              <w:t>(b)</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3097380" w14:textId="77777777" w:rsidR="003F4498" w:rsidRDefault="00A90788">
            <w:pPr>
              <w:keepNext/>
              <w:spacing w:before="55" w:after="30"/>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CA0B99D" w14:textId="77777777" w:rsidR="003F4498" w:rsidRDefault="00A90788">
            <w:pPr>
              <w:keepNext/>
              <w:spacing w:before="55" w:after="30"/>
              <w:jc w:val="right"/>
            </w:pPr>
            <w:r>
              <w:rPr>
                <w:color w:val="000000"/>
                <w:sz w:val="20"/>
              </w:rPr>
              <w:t>536.0 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CFD73C8" w14:textId="77777777" w:rsidR="003F4498" w:rsidRDefault="003F4498">
            <w:pPr>
              <w:keepNext/>
              <w:spacing w:before="55" w:after="30"/>
              <w:jc w:val="right"/>
            </w:pPr>
          </w:p>
        </w:tc>
      </w:tr>
      <w:tr w:rsidR="003F4498" w14:paraId="468A5283" w14:textId="77777777" w:rsidTr="006F54BB">
        <w:trPr>
          <w:cantSplit/>
          <w:trHeight w:hRule="exact" w:val="474"/>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4701DDCB" w14:textId="77777777" w:rsidR="003F4498" w:rsidRDefault="00A90788">
            <w:pPr>
              <w:keepNext/>
              <w:spacing w:before="75" w:after="30"/>
            </w:pPr>
            <w:r>
              <w:rPr>
                <w:color w:val="000000"/>
                <w:sz w:val="20"/>
              </w:rPr>
              <w:t>Operating margin</w:t>
            </w: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DA69927" w14:textId="77777777" w:rsidR="003F4498" w:rsidRDefault="00A90788">
            <w:pPr>
              <w:keepNext/>
              <w:spacing w:before="55" w:after="30"/>
              <w:jc w:val="right"/>
            </w:pPr>
            <w:r>
              <w:rPr>
                <w:color w:val="000000"/>
                <w:sz w:val="20"/>
              </w:rPr>
              <w:t>20.5 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B4E46EE" w14:textId="77777777" w:rsidR="003F4498" w:rsidRDefault="00A90788">
            <w:pPr>
              <w:keepNext/>
              <w:spacing w:before="5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040987" w14:textId="77777777" w:rsidR="003F4498" w:rsidRDefault="003F4498">
            <w:pPr>
              <w:keepNext/>
            </w:pPr>
          </w:p>
        </w:tc>
        <w:tc>
          <w:tcPr>
            <w:tcW w:w="11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76EE5DA0" w14:textId="77777777" w:rsidR="003F4498" w:rsidRDefault="003F4498">
            <w:pPr>
              <w:keepNex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318ABE4F" w14:textId="77777777" w:rsidR="003F4498" w:rsidRDefault="003F4498">
            <w:pPr>
              <w:keepNext/>
            </w:pP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2B3A7DA" w14:textId="77777777" w:rsidR="003F4498" w:rsidRDefault="00A90788">
            <w:pPr>
              <w:keepNext/>
              <w:spacing w:before="55" w:after="30"/>
              <w:jc w:val="right"/>
            </w:pPr>
            <w:r>
              <w:rPr>
                <w:color w:val="000000"/>
                <w:sz w:val="20"/>
              </w:rPr>
              <w:t>26.9 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13B3727" w14:textId="77777777" w:rsidR="003F4498" w:rsidRDefault="00A90788">
            <w:pPr>
              <w:keepNext/>
              <w:spacing w:before="55" w:after="30"/>
              <w:jc w:val="right"/>
            </w:pPr>
            <w:r>
              <w:rPr>
                <w:color w:val="000000"/>
                <w:sz w:val="20"/>
              </w:rPr>
              <w:t>%</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47BFAEA8" w14:textId="77777777" w:rsidR="003F4498" w:rsidRDefault="003F4498">
            <w:pPr>
              <w:keepNext/>
            </w:pP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F9C348E" w14:textId="77777777" w:rsidR="003F4498" w:rsidRDefault="00A90788">
            <w:pPr>
              <w:keepNext/>
              <w:spacing w:before="55" w:after="30"/>
              <w:jc w:val="right"/>
            </w:pPr>
            <w:r>
              <w:rPr>
                <w:color w:val="000000"/>
                <w:sz w:val="20"/>
              </w:rPr>
              <w:t>16.2 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698F70A" w14:textId="77777777" w:rsidR="003F4498" w:rsidRDefault="00A90788">
            <w:pPr>
              <w:keepNext/>
              <w:spacing w:before="5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4A1119" w14:textId="77777777" w:rsidR="003F4498" w:rsidRDefault="003F4498">
            <w:pPr>
              <w:keepNext/>
            </w:pPr>
          </w:p>
        </w:tc>
        <w:tc>
          <w:tcPr>
            <w:tcW w:w="11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357EDD73" w14:textId="77777777" w:rsidR="003F4498" w:rsidRDefault="003F4498">
            <w:pPr>
              <w:keepNex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5F0257DF" w14:textId="77777777" w:rsidR="003F4498" w:rsidRDefault="003F4498">
            <w:pPr>
              <w:keepNext/>
            </w:pP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7F1F0B5" w14:textId="77777777" w:rsidR="003F4498" w:rsidRDefault="00A90788">
            <w:pPr>
              <w:keepNext/>
              <w:spacing w:before="55" w:after="30"/>
              <w:jc w:val="right"/>
            </w:pPr>
            <w:r>
              <w:rPr>
                <w:color w:val="000000"/>
                <w:sz w:val="20"/>
              </w:rPr>
              <w:t>24.8 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7AC42C6" w14:textId="77777777" w:rsidR="003F4498" w:rsidRDefault="00A90788">
            <w:pPr>
              <w:keepNext/>
              <w:spacing w:before="55" w:after="30"/>
              <w:jc w:val="right"/>
            </w:pPr>
            <w:r>
              <w:rPr>
                <w:color w:val="000000"/>
                <w:sz w:val="20"/>
              </w:rPr>
              <w:t>%</w:t>
            </w:r>
          </w:p>
        </w:tc>
      </w:tr>
      <w:tr w:rsidR="003F4498" w14:paraId="2E521150" w14:textId="77777777">
        <w:trPr>
          <w:cantSplit/>
          <w:trHeight w:hRule="exact" w:val="300"/>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438C485A" w14:textId="77777777" w:rsidR="003F4498" w:rsidRDefault="00A90788">
            <w:pPr>
              <w:keepNext/>
              <w:spacing w:before="75" w:after="30"/>
            </w:pPr>
            <w:r>
              <w:rPr>
                <w:color w:val="000000"/>
                <w:sz w:val="20"/>
              </w:rPr>
              <w:t>Adjustments:</w:t>
            </w: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77C07996"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0567FA" w14:textId="77777777" w:rsidR="003F4498" w:rsidRDefault="003F4498">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2072BEA9" w14:textId="77777777" w:rsidR="003F4498" w:rsidRDefault="003F4498">
            <w:pPr>
              <w:keepNex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6D090EE4" w14:textId="77777777" w:rsidR="003F4498" w:rsidRDefault="003F4498">
            <w:pPr>
              <w:keepNext/>
            </w:pP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0F8D3532" w14:textId="77777777" w:rsidR="003F4498" w:rsidRDefault="003F4498">
            <w:pPr>
              <w:keepNex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373E7616" w14:textId="77777777" w:rsidR="003F4498" w:rsidRDefault="003F4498">
            <w:pPr>
              <w:keepNext/>
            </w:pP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7245094C"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82AA9C" w14:textId="77777777" w:rsidR="003F4498" w:rsidRDefault="003F4498">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78D80234" w14:textId="77777777" w:rsidR="003F4498" w:rsidRDefault="003F4498">
            <w:pPr>
              <w:keepNex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11D97570" w14:textId="77777777" w:rsidR="003F4498" w:rsidRDefault="003F4498">
            <w:pPr>
              <w:keepNext/>
            </w:pP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5E7AF691" w14:textId="77777777" w:rsidR="003F4498" w:rsidRDefault="003F4498">
            <w:pPr>
              <w:keepNext/>
            </w:pPr>
          </w:p>
        </w:tc>
      </w:tr>
      <w:tr w:rsidR="003F4498" w14:paraId="1083DC34" w14:textId="77777777" w:rsidTr="00A90788">
        <w:trPr>
          <w:cantSplit/>
          <w:trHeight w:hRule="exact" w:val="720"/>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1D6EEE79" w14:textId="77777777" w:rsidR="003F4498" w:rsidRDefault="00A90788">
            <w:pPr>
              <w:keepNext/>
              <w:spacing w:before="75" w:after="30"/>
              <w:ind w:left="225"/>
            </w:pPr>
            <w:r>
              <w:rPr>
                <w:color w:val="000000"/>
                <w:sz w:val="20"/>
              </w:rPr>
              <w:t xml:space="preserve">Stock-based compensation </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43BF6B94"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8EDB84" w14:textId="77777777" w:rsidR="003F4498" w:rsidRDefault="003F4498">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00882D20" w14:textId="77777777" w:rsidR="003F4498" w:rsidRDefault="00A90788">
            <w:pPr>
              <w:keepNext/>
              <w:spacing w:before="75" w:after="30"/>
              <w:jc w:val="right"/>
            </w:pPr>
            <w:r>
              <w:rPr>
                <w:color w:val="000000"/>
                <w:sz w:val="20"/>
              </w:rPr>
              <w:t>193.8 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337D3C2" w14:textId="77777777" w:rsidR="003F4498" w:rsidRDefault="003F4498">
            <w:pPr>
              <w:keepNext/>
              <w:spacing w:before="7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0FC3769F"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58AA7921" w14:textId="77777777" w:rsidR="003F4498" w:rsidRDefault="003F4498">
            <w:pPr>
              <w:keepNex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1EF5BD7F"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54736C7B"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157F20" w14:textId="77777777" w:rsidR="003F4498" w:rsidRDefault="003F4498">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32BAE3AA" w14:textId="77777777" w:rsidR="003F4498" w:rsidRDefault="00A90788">
            <w:pPr>
              <w:keepNext/>
              <w:spacing w:before="75" w:after="30"/>
              <w:jc w:val="right"/>
            </w:pPr>
            <w:r>
              <w:rPr>
                <w:color w:val="000000"/>
                <w:sz w:val="20"/>
              </w:rPr>
              <w:t>174.1 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6BCC01B" w14:textId="77777777" w:rsidR="003F4498" w:rsidRDefault="003F4498">
            <w:pPr>
              <w:keepNext/>
              <w:spacing w:before="7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5222B35C"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1847AB50" w14:textId="77777777" w:rsidR="003F4498" w:rsidRDefault="003F4498">
            <w:pPr>
              <w:keepNext/>
            </w:pPr>
          </w:p>
        </w:tc>
      </w:tr>
      <w:tr w:rsidR="003F4498" w14:paraId="3647080F" w14:textId="77777777" w:rsidTr="00A90788">
        <w:trPr>
          <w:cantSplit/>
          <w:trHeight w:hRule="exact" w:val="864"/>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2DA37CF3" w14:textId="77777777" w:rsidR="003F4498" w:rsidRDefault="00A90788">
            <w:pPr>
              <w:keepNext/>
              <w:spacing w:before="75" w:after="30"/>
              <w:ind w:left="225"/>
            </w:pPr>
            <w:r>
              <w:rPr>
                <w:color w:val="000000"/>
                <w:sz w:val="20"/>
              </w:rPr>
              <w:t>Amortization of acquired intangible assets</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73FD49BF"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030B90" w14:textId="77777777" w:rsidR="003F4498" w:rsidRDefault="003F4498">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2ADF71CC" w14:textId="77777777" w:rsidR="003F4498" w:rsidRDefault="00A90788">
            <w:pPr>
              <w:keepNext/>
              <w:spacing w:before="75" w:after="30"/>
              <w:jc w:val="right"/>
            </w:pPr>
            <w:r>
              <w:rPr>
                <w:color w:val="000000"/>
                <w:sz w:val="20"/>
              </w:rPr>
              <w:t>13.3 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91D7AD2" w14:textId="77777777" w:rsidR="003F4498" w:rsidRDefault="003F4498">
            <w:pPr>
              <w:keepNext/>
              <w:spacing w:before="75" w:after="30"/>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5AFDB0B7" w14:textId="77777777" w:rsidR="003F4498" w:rsidRDefault="003F4498">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517141EF" w14:textId="77777777" w:rsidR="003F4498" w:rsidRDefault="003F4498">
            <w:pPr>
              <w:keepNex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00FB456B" w14:textId="77777777" w:rsidR="003F4498" w:rsidRDefault="003F4498">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42A2DA4F"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9DEAA1" w14:textId="77777777" w:rsidR="003F4498" w:rsidRDefault="003F4498">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513F174D" w14:textId="77777777" w:rsidR="003F4498" w:rsidRDefault="00A90788">
            <w:pPr>
              <w:keepNext/>
              <w:spacing w:before="75" w:after="30"/>
              <w:jc w:val="right"/>
            </w:pPr>
            <w:r>
              <w:rPr>
                <w:color w:val="000000"/>
                <w:sz w:val="20"/>
              </w:rPr>
              <w:t>10.9 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C6DC5B4" w14:textId="77777777" w:rsidR="003F4498" w:rsidRDefault="003F4498">
            <w:pPr>
              <w:keepNext/>
              <w:spacing w:before="75" w:after="30"/>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1A467757" w14:textId="77777777" w:rsidR="003F4498" w:rsidRDefault="003F4498">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1C5CFC48" w14:textId="77777777" w:rsidR="003F4498" w:rsidRDefault="003F4498">
            <w:pPr>
              <w:keepNext/>
            </w:pPr>
          </w:p>
        </w:tc>
      </w:tr>
      <w:tr w:rsidR="003F4498" w14:paraId="14BD1313" w14:textId="77777777" w:rsidTr="00A90788">
        <w:trPr>
          <w:cantSplit/>
          <w:trHeight w:hRule="exact" w:val="729"/>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5E0D003D" w14:textId="77777777" w:rsidR="003F4498" w:rsidRDefault="00A90788">
            <w:pPr>
              <w:keepNext/>
              <w:spacing w:before="75" w:after="30"/>
              <w:ind w:left="225"/>
            </w:pPr>
            <w:r>
              <w:rPr>
                <w:color w:val="000000"/>
                <w:sz w:val="20"/>
              </w:rPr>
              <w:t>Gain on intellectual property matter</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33CF075E"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5A6782" w14:textId="77777777" w:rsidR="003F4498" w:rsidRDefault="003F4498">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2F41AF35" w14:textId="77777777" w:rsidR="003F4498" w:rsidRDefault="00A90788">
            <w:pPr>
              <w:keepNext/>
              <w:spacing w:before="75" w:after="30"/>
              <w:jc w:val="right"/>
            </w:pPr>
            <w:r>
              <w:rPr>
                <w:color w:val="000000"/>
                <w:sz w:val="20"/>
              </w:rPr>
              <w:t>(40.2)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5EB5AF3" w14:textId="77777777" w:rsidR="003F4498" w:rsidRDefault="003F4498">
            <w:pPr>
              <w:keepNext/>
              <w:spacing w:before="7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310CD5D3"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5473C64F" w14:textId="77777777" w:rsidR="003F4498" w:rsidRDefault="003F4498">
            <w:pPr>
              <w:keepNex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788BA98D"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20F472CC"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E4B73A" w14:textId="77777777" w:rsidR="003F4498" w:rsidRDefault="003F4498">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4D5611F9" w14:textId="77777777" w:rsidR="003F4498" w:rsidRDefault="00A90788">
            <w:pPr>
              <w:keepNext/>
              <w:spacing w:before="75" w:after="30"/>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9FC587E" w14:textId="77777777" w:rsidR="003F4498" w:rsidRDefault="003F4498">
            <w:pPr>
              <w:keepNext/>
              <w:spacing w:before="7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60DBCE36"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6B82D1F2" w14:textId="77777777" w:rsidR="003F4498" w:rsidRDefault="003F4498">
            <w:pPr>
              <w:keepNext/>
            </w:pPr>
          </w:p>
        </w:tc>
      </w:tr>
      <w:tr w:rsidR="003F4498" w14:paraId="5D3669FA" w14:textId="77777777">
        <w:trPr>
          <w:cantSplit/>
          <w:trHeight w:hRule="exact" w:val="300"/>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34917195" w14:textId="77777777" w:rsidR="003F4498" w:rsidRDefault="00A90788">
            <w:pPr>
              <w:keepNext/>
              <w:spacing w:before="75" w:after="30"/>
              <w:ind w:left="225"/>
            </w:pPr>
            <w:r>
              <w:rPr>
                <w:color w:val="000000"/>
                <w:sz w:val="20"/>
              </w:rPr>
              <w:t>Litigation-related matter</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4ABF2503"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FBD3A9" w14:textId="77777777" w:rsidR="003F4498" w:rsidRDefault="003F4498">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54F3BFA1" w14:textId="77777777" w:rsidR="003F4498" w:rsidRDefault="00A90788">
            <w:pPr>
              <w:keepNext/>
              <w:spacing w:before="75" w:after="30"/>
              <w:jc w:val="right"/>
            </w:pPr>
            <w:r>
              <w:rPr>
                <w:color w:val="000000"/>
                <w:sz w:val="20"/>
              </w:rPr>
              <w:t>(0.7)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60B5709" w14:textId="77777777" w:rsidR="003F4498" w:rsidRDefault="003F4498">
            <w:pPr>
              <w:keepNext/>
              <w:spacing w:before="75" w:after="30"/>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1C16BC0E" w14:textId="77777777" w:rsidR="003F4498" w:rsidRDefault="003F4498">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2F391903" w14:textId="77777777" w:rsidR="003F4498" w:rsidRDefault="003F4498">
            <w:pPr>
              <w:keepNex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3C815D35" w14:textId="77777777" w:rsidR="003F4498" w:rsidRDefault="003F4498">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49E1A148"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F517A0" w14:textId="77777777" w:rsidR="003F4498" w:rsidRDefault="003F4498">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2898587A" w14:textId="77777777" w:rsidR="003F4498" w:rsidRDefault="00A90788">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78703D4" w14:textId="77777777" w:rsidR="003F4498" w:rsidRDefault="003F4498">
            <w:pPr>
              <w:keepNext/>
              <w:spacing w:before="75" w:after="30"/>
              <w:jc w:val="righ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11AACF1C" w14:textId="77777777" w:rsidR="003F4498" w:rsidRDefault="003F4498">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60D818A5" w14:textId="77777777" w:rsidR="003F4498" w:rsidRDefault="003F4498">
            <w:pPr>
              <w:keepNext/>
            </w:pPr>
          </w:p>
        </w:tc>
      </w:tr>
      <w:tr w:rsidR="003F4498" w14:paraId="2A59A2FE" w14:textId="77777777" w:rsidTr="00A90788">
        <w:trPr>
          <w:cantSplit/>
          <w:trHeight w:hRule="exact" w:val="810"/>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0B8C7537" w14:textId="77777777" w:rsidR="003F4498" w:rsidRDefault="00A90788">
            <w:pPr>
              <w:keepNext/>
              <w:spacing w:before="75" w:after="30"/>
              <w:ind w:left="225"/>
            </w:pPr>
            <w:r>
              <w:rPr>
                <w:color w:val="000000"/>
                <w:sz w:val="20"/>
              </w:rPr>
              <w:t xml:space="preserve">Loss on investments in </w:t>
            </w:r>
            <w:proofErr w:type="gramStart"/>
            <w:r>
              <w:rPr>
                <w:color w:val="000000"/>
                <w:sz w:val="20"/>
              </w:rPr>
              <w:t>privately-held</w:t>
            </w:r>
            <w:proofErr w:type="gramEnd"/>
            <w:r>
              <w:rPr>
                <w:color w:val="000000"/>
                <w:sz w:val="20"/>
              </w:rPr>
              <w:t xml:space="preserve"> companies</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267966D8"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6B3839" w14:textId="77777777" w:rsidR="003F4498" w:rsidRDefault="003F4498">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1E58AEB0" w14:textId="77777777" w:rsidR="003F4498" w:rsidRDefault="00A90788">
            <w:pPr>
              <w:keepNext/>
              <w:spacing w:before="75" w:after="30"/>
              <w:jc w:val="right"/>
            </w:pPr>
            <w:r>
              <w:rPr>
                <w:color w:val="000000"/>
                <w:sz w:val="20"/>
              </w:rPr>
              <w:t>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B325075" w14:textId="77777777" w:rsidR="003F4498" w:rsidRDefault="003F4498">
            <w:pPr>
              <w:keepNext/>
              <w:spacing w:before="75" w:after="30"/>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bottom"/>
          </w:tcPr>
          <w:p w14:paraId="64456D05" w14:textId="77777777" w:rsidR="003F4498" w:rsidRDefault="00A90788">
            <w:pPr>
              <w:keepNext/>
              <w:spacing w:before="75" w:after="30"/>
              <w:jc w:val="right"/>
            </w:pPr>
            <w:r>
              <w:rPr>
                <w:color w:val="000000"/>
                <w:sz w:val="18"/>
              </w:rPr>
              <w:t>(c)</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567454D2" w14:textId="77777777" w:rsidR="003F4498" w:rsidRDefault="003F4498">
            <w:pPr>
              <w:keepNex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47E6EDBB" w14:textId="77777777" w:rsidR="003F4498" w:rsidRDefault="003F4498">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013AF8ED" w14:textId="77777777" w:rsidR="003F4498" w:rsidRDefault="003F449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6C5558" w14:textId="77777777" w:rsidR="003F4498" w:rsidRDefault="003F4498">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2D12E21E" w14:textId="77777777" w:rsidR="003F4498" w:rsidRDefault="00A90788">
            <w:pPr>
              <w:keepNext/>
              <w:spacing w:before="75" w:after="30"/>
              <w:jc w:val="right"/>
            </w:pPr>
            <w:r>
              <w:rPr>
                <w:color w:val="000000"/>
                <w:sz w:val="20"/>
              </w:rPr>
              <w:t>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8797356" w14:textId="77777777" w:rsidR="003F4498" w:rsidRDefault="003F4498">
            <w:pPr>
              <w:keepNext/>
              <w:spacing w:before="75" w:after="30"/>
              <w:jc w:val="right"/>
            </w:pPr>
          </w:p>
        </w:tc>
        <w:tc>
          <w:tcPr>
            <w:tcW w:w="345" w:type="dxa"/>
            <w:tcBorders>
              <w:top w:val="nil"/>
              <w:left w:val="nil"/>
              <w:bottom w:val="nil"/>
              <w:right w:val="nil"/>
            </w:tcBorders>
            <w:shd w:val="clear" w:color="auto" w:fill="FFFFFF"/>
            <w:tcMar>
              <w:top w:w="0" w:type="dxa"/>
              <w:left w:w="53" w:type="dxa"/>
              <w:bottom w:w="0" w:type="dxa"/>
              <w:right w:w="53" w:type="dxa"/>
            </w:tcMar>
            <w:vAlign w:val="bottom"/>
          </w:tcPr>
          <w:p w14:paraId="764A8D4B" w14:textId="77777777" w:rsidR="003F4498" w:rsidRDefault="00A90788">
            <w:pPr>
              <w:keepNext/>
              <w:spacing w:before="75" w:after="30"/>
              <w:jc w:val="right"/>
            </w:pPr>
            <w:r>
              <w:rPr>
                <w:color w:val="000000"/>
                <w:sz w:val="18"/>
              </w:rPr>
              <w:t>(d)</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251B7B65" w14:textId="77777777" w:rsidR="003F4498" w:rsidRDefault="003F4498">
            <w:pPr>
              <w:keepNext/>
            </w:pPr>
          </w:p>
        </w:tc>
      </w:tr>
      <w:tr w:rsidR="003F4498" w14:paraId="338B90DD" w14:textId="77777777">
        <w:trPr>
          <w:cantSplit/>
          <w:trHeight w:hRule="exact" w:val="300"/>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4BCEA0D2" w14:textId="77777777" w:rsidR="003F4498" w:rsidRDefault="00A90788">
            <w:pPr>
              <w:keepNext/>
              <w:spacing w:before="75" w:after="30"/>
              <w:ind w:left="225"/>
            </w:pPr>
            <w:r>
              <w:rPr>
                <w:color w:val="000000"/>
                <w:sz w:val="20"/>
              </w:rPr>
              <w:t>Tax adjustment</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50FC7B1E"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0C1E25" w14:textId="77777777" w:rsidR="003F4498" w:rsidRDefault="003F4498">
            <w:pPr>
              <w:keepNext/>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8ED28AA" w14:textId="77777777" w:rsidR="003F4498" w:rsidRDefault="00A90788">
            <w:pPr>
              <w:keepNext/>
              <w:spacing w:before="75" w:after="30"/>
              <w:jc w:val="right"/>
            </w:pPr>
            <w:r>
              <w:rPr>
                <w:color w:val="000000"/>
                <w:sz w:val="20"/>
              </w:rPr>
              <w:t>(96.4)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D3DD694" w14:textId="77777777" w:rsidR="003F4498" w:rsidRDefault="003F4498">
            <w:pPr>
              <w:keepNext/>
              <w:spacing w:before="75" w:after="30"/>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bottom"/>
          </w:tcPr>
          <w:p w14:paraId="585DC262" w14:textId="77777777" w:rsidR="003F4498" w:rsidRDefault="00A90788">
            <w:pPr>
              <w:keepNext/>
              <w:spacing w:before="75" w:after="30"/>
              <w:jc w:val="right"/>
            </w:pPr>
            <w:r>
              <w:rPr>
                <w:color w:val="000000"/>
                <w:sz w:val="18"/>
              </w:rPr>
              <w:t>(e)</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1FF7028B" w14:textId="77777777" w:rsidR="003F4498" w:rsidRDefault="003F4498">
            <w:pPr>
              <w:keepNex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62295946" w14:textId="77777777" w:rsidR="003F4498" w:rsidRDefault="003F4498">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6752B6E8" w14:textId="77777777" w:rsidR="003F4498" w:rsidRDefault="003F449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3FD25F" w14:textId="77777777" w:rsidR="003F4498" w:rsidRDefault="003F4498">
            <w:pPr>
              <w:keepNext/>
            </w:pPr>
          </w:p>
        </w:tc>
        <w:tc>
          <w:tcPr>
            <w:tcW w:w="10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A767C87" w14:textId="77777777" w:rsidR="003F4498" w:rsidRDefault="00A90788">
            <w:pPr>
              <w:keepNext/>
              <w:spacing w:before="75" w:after="30"/>
              <w:jc w:val="right"/>
            </w:pPr>
            <w:r>
              <w:rPr>
                <w:color w:val="000000"/>
                <w:sz w:val="20"/>
              </w:rPr>
              <w:t>(83.8)</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E93FDD0" w14:textId="77777777" w:rsidR="003F4498" w:rsidRDefault="003F4498">
            <w:pPr>
              <w:keepNext/>
              <w:spacing w:before="75" w:after="30"/>
              <w:jc w:val="right"/>
            </w:pPr>
          </w:p>
        </w:tc>
        <w:tc>
          <w:tcPr>
            <w:tcW w:w="345" w:type="dxa"/>
            <w:tcBorders>
              <w:top w:val="nil"/>
              <w:left w:val="nil"/>
              <w:bottom w:val="nil"/>
              <w:right w:val="nil"/>
            </w:tcBorders>
            <w:shd w:val="clear" w:color="auto" w:fill="CCEEFF"/>
            <w:tcMar>
              <w:top w:w="0" w:type="dxa"/>
              <w:left w:w="53" w:type="dxa"/>
              <w:bottom w:w="0" w:type="dxa"/>
              <w:right w:w="53" w:type="dxa"/>
            </w:tcMar>
            <w:vAlign w:val="bottom"/>
          </w:tcPr>
          <w:p w14:paraId="0E7D0C4D" w14:textId="77777777" w:rsidR="003F4498" w:rsidRDefault="00A90788">
            <w:pPr>
              <w:keepNext/>
              <w:spacing w:before="75" w:after="30"/>
              <w:jc w:val="right"/>
            </w:pPr>
            <w:r>
              <w:rPr>
                <w:color w:val="000000"/>
                <w:sz w:val="18"/>
              </w:rPr>
              <w:t>(e)</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6E4DA3A3" w14:textId="77777777" w:rsidR="003F4498" w:rsidRDefault="003F4498">
            <w:pPr>
              <w:keepNext/>
            </w:pPr>
          </w:p>
        </w:tc>
      </w:tr>
      <w:tr w:rsidR="003F4498" w14:paraId="507951A4" w14:textId="77777777" w:rsidTr="00A90788">
        <w:trPr>
          <w:cantSplit/>
          <w:trHeight w:hRule="exact" w:val="623"/>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0C413073" w14:textId="77777777" w:rsidR="003F4498" w:rsidRDefault="00A90788">
            <w:pPr>
              <w:keepNext/>
              <w:spacing w:before="75" w:after="30"/>
            </w:pPr>
            <w:r>
              <w:rPr>
                <w:color w:val="000000"/>
                <w:sz w:val="20"/>
              </w:rPr>
              <w:t>Net income</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3BEC6E2A" w14:textId="77777777" w:rsidR="003F4498" w:rsidRDefault="00A90788">
            <w:pPr>
              <w:keepNext/>
              <w:spacing w:before="75" w:after="30"/>
            </w:pPr>
            <w:r>
              <w:rPr>
                <w:color w:val="000000"/>
                <w:sz w:val="20"/>
              </w:rPr>
              <w:t>$</w:t>
            </w:r>
          </w:p>
        </w:tc>
        <w:tc>
          <w:tcPr>
            <w:tcW w:w="880"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784B188C" w14:textId="77777777" w:rsidR="003F4498" w:rsidRDefault="00A90788">
            <w:pPr>
              <w:keepNext/>
              <w:spacing w:before="75" w:after="30"/>
              <w:jc w:val="right"/>
            </w:pPr>
            <w:r>
              <w:rPr>
                <w:color w:val="000000"/>
                <w:sz w:val="20"/>
              </w:rPr>
              <w:t>488.5 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3F9A426"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1B3838"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E48A444" w14:textId="77777777" w:rsidR="003F4498" w:rsidRDefault="00A90788">
            <w:pPr>
              <w:keepNext/>
              <w:spacing w:before="55" w:after="30"/>
            </w:pPr>
            <w:r>
              <w:rPr>
                <w:color w:val="000000"/>
                <w:sz w:val="20"/>
              </w:rPr>
              <w:t>$</w:t>
            </w:r>
          </w:p>
        </w:tc>
        <w:tc>
          <w:tcPr>
            <w:tcW w:w="8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3D2C26E" w14:textId="77777777" w:rsidR="003F4498" w:rsidRDefault="00A90788">
            <w:pPr>
              <w:keepNext/>
              <w:spacing w:before="55" w:after="30"/>
              <w:jc w:val="right"/>
            </w:pPr>
            <w:r>
              <w:rPr>
                <w:color w:val="000000"/>
                <w:sz w:val="20"/>
              </w:rPr>
              <w:t>74.1 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779EE5E" w14:textId="77777777" w:rsidR="003F4498" w:rsidRDefault="003F4498">
            <w:pPr>
              <w:keepNext/>
              <w:spacing w:before="5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1BBA8875" w14:textId="77777777" w:rsidR="003F4498" w:rsidRDefault="003F4498">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5E11B12A" w14:textId="77777777" w:rsidR="003F4498" w:rsidRDefault="00A90788">
            <w:pPr>
              <w:keepNext/>
              <w:spacing w:before="75" w:after="30"/>
            </w:pPr>
            <w:r>
              <w:rPr>
                <w:color w:val="000000"/>
                <w:sz w:val="20"/>
              </w:rPr>
              <w:t>$</w:t>
            </w:r>
          </w:p>
        </w:tc>
        <w:tc>
          <w:tcPr>
            <w:tcW w:w="880"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67C68F18" w14:textId="77777777" w:rsidR="003F4498" w:rsidRDefault="00A90788">
            <w:pPr>
              <w:keepNext/>
              <w:spacing w:before="75" w:after="30"/>
              <w:jc w:val="right"/>
            </w:pPr>
            <w:r>
              <w:rPr>
                <w:color w:val="000000"/>
                <w:sz w:val="20"/>
              </w:rPr>
              <w:t>562.6 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476C68B4" w14:textId="77777777" w:rsidR="003F4498" w:rsidRDefault="003F4498">
            <w:pPr>
              <w:keepNext/>
              <w:spacing w:before="75" w:after="30"/>
              <w:jc w:val="righ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24F9AB31" w14:textId="77777777" w:rsidR="003F4498" w:rsidRDefault="003F4498">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19293C90" w14:textId="77777777" w:rsidR="003F4498" w:rsidRDefault="00A90788">
            <w:pPr>
              <w:keepNext/>
              <w:spacing w:before="75" w:after="30"/>
            </w:pPr>
            <w:r>
              <w:rPr>
                <w:color w:val="000000"/>
                <w:sz w:val="20"/>
              </w:rPr>
              <w:t>$</w:t>
            </w:r>
          </w:p>
        </w:tc>
        <w:tc>
          <w:tcPr>
            <w:tcW w:w="880"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5E0517E8" w14:textId="77777777" w:rsidR="003F4498" w:rsidRDefault="00A90788">
            <w:pPr>
              <w:keepNext/>
              <w:spacing w:before="75" w:after="30"/>
              <w:jc w:val="right"/>
            </w:pPr>
            <w:r>
              <w:rPr>
                <w:color w:val="000000"/>
                <w:sz w:val="20"/>
              </w:rPr>
              <w:t>331.7 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047316F2"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43F876" w14:textId="77777777" w:rsidR="003F4498" w:rsidRDefault="003F4498">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09FA9B3" w14:textId="77777777" w:rsidR="003F4498" w:rsidRDefault="00A90788">
            <w:pPr>
              <w:keepNext/>
              <w:spacing w:before="55" w:after="30"/>
            </w:pPr>
            <w:r>
              <w:rPr>
                <w:color w:val="000000"/>
                <w:sz w:val="20"/>
              </w:rPr>
              <w:t>$</w:t>
            </w:r>
          </w:p>
        </w:tc>
        <w:tc>
          <w:tcPr>
            <w:tcW w:w="8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83E01E9" w14:textId="77777777" w:rsidR="003F4498" w:rsidRDefault="00A90788">
            <w:pPr>
              <w:keepNext/>
              <w:spacing w:before="55" w:after="30"/>
              <w:jc w:val="right"/>
            </w:pPr>
            <w:r>
              <w:rPr>
                <w:color w:val="000000"/>
                <w:sz w:val="20"/>
              </w:rPr>
              <w:t>105.0 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DDBFEDD" w14:textId="77777777" w:rsidR="003F4498" w:rsidRDefault="003F4498">
            <w:pPr>
              <w:keepNext/>
              <w:spacing w:before="55" w:after="30"/>
              <w:jc w:val="righ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2BCD5F78" w14:textId="77777777" w:rsidR="003F4498" w:rsidRDefault="003F4498">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00D449C0" w14:textId="77777777" w:rsidR="003F4498" w:rsidRDefault="00A90788">
            <w:pPr>
              <w:keepNext/>
              <w:spacing w:before="75" w:after="30"/>
            </w:pPr>
            <w:r>
              <w:rPr>
                <w:color w:val="000000"/>
                <w:sz w:val="20"/>
              </w:rPr>
              <w:t>$</w:t>
            </w:r>
          </w:p>
        </w:tc>
        <w:tc>
          <w:tcPr>
            <w:tcW w:w="880"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6B1E0557" w14:textId="77777777" w:rsidR="003F4498" w:rsidRDefault="00A90788">
            <w:pPr>
              <w:keepNext/>
              <w:spacing w:before="75" w:after="30"/>
              <w:jc w:val="right"/>
            </w:pPr>
            <w:r>
              <w:rPr>
                <w:color w:val="000000"/>
                <w:sz w:val="20"/>
              </w:rPr>
              <w:t>436.7 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9BFDC74" w14:textId="77777777" w:rsidR="003F4498" w:rsidRDefault="003F4498">
            <w:pPr>
              <w:keepNext/>
              <w:spacing w:before="75" w:after="30"/>
              <w:jc w:val="right"/>
            </w:pPr>
          </w:p>
        </w:tc>
      </w:tr>
      <w:tr w:rsidR="003F4498" w14:paraId="2F37B4F7" w14:textId="77777777" w:rsidTr="006F54BB">
        <w:trPr>
          <w:cantSplit/>
          <w:trHeight w:hRule="exact" w:val="672"/>
          <w:jc w:val="center"/>
        </w:trPr>
        <w:tc>
          <w:tcPr>
            <w:tcW w:w="2355" w:type="dxa"/>
            <w:tcBorders>
              <w:top w:val="nil"/>
              <w:left w:val="nil"/>
              <w:bottom w:val="nil"/>
              <w:right w:val="nil"/>
            </w:tcBorders>
            <w:shd w:val="clear" w:color="auto" w:fill="CCEEFF"/>
            <w:tcMar>
              <w:top w:w="0" w:type="dxa"/>
              <w:left w:w="53" w:type="dxa"/>
              <w:bottom w:w="0" w:type="dxa"/>
              <w:right w:w="15" w:type="dxa"/>
            </w:tcMar>
            <w:vAlign w:val="bottom"/>
          </w:tcPr>
          <w:p w14:paraId="593DD206" w14:textId="77777777" w:rsidR="003F4498" w:rsidRDefault="00A90788">
            <w:pPr>
              <w:keepNext/>
              <w:spacing w:before="75" w:after="30"/>
            </w:pPr>
            <w:r>
              <w:rPr>
                <w:color w:val="000000"/>
                <w:sz w:val="20"/>
              </w:rPr>
              <w:t>Diluted net income per share</w:t>
            </w: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3AF1B07" w14:textId="77777777" w:rsidR="003F4498" w:rsidRDefault="00A90788">
            <w:pPr>
              <w:keepNext/>
              <w:spacing w:before="55" w:after="30"/>
            </w:pPr>
            <w:r>
              <w:rPr>
                <w:color w:val="000000"/>
                <w:sz w:val="20"/>
              </w:rPr>
              <w:t>$</w:t>
            </w:r>
          </w:p>
        </w:tc>
        <w:tc>
          <w:tcPr>
            <w:tcW w:w="880"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FACB621" w14:textId="77777777" w:rsidR="003F4498" w:rsidRDefault="00A90788">
            <w:pPr>
              <w:keepNext/>
              <w:spacing w:before="55" w:after="30"/>
              <w:jc w:val="right"/>
            </w:pPr>
            <w:r>
              <w:rPr>
                <w:color w:val="000000"/>
                <w:sz w:val="20"/>
              </w:rPr>
              <w:t>2.91 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FD400FA"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3673BB" w14:textId="77777777" w:rsidR="003F4498" w:rsidRDefault="003F4498">
            <w:pPr>
              <w:keepNext/>
            </w:pPr>
          </w:p>
        </w:tc>
        <w:tc>
          <w:tcPr>
            <w:tcW w:w="11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5B02789E" w14:textId="77777777" w:rsidR="003F4498" w:rsidRDefault="003F4498">
            <w:pPr>
              <w:keepNex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08DA1B46" w14:textId="77777777" w:rsidR="003F4498" w:rsidRDefault="003F4498">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254F6B1" w14:textId="77777777" w:rsidR="003F4498" w:rsidRDefault="00A90788">
            <w:pPr>
              <w:keepNext/>
              <w:spacing w:before="55" w:after="30"/>
            </w:pPr>
            <w:r>
              <w:rPr>
                <w:color w:val="000000"/>
                <w:sz w:val="20"/>
              </w:rPr>
              <w:t>$</w:t>
            </w:r>
          </w:p>
        </w:tc>
        <w:tc>
          <w:tcPr>
            <w:tcW w:w="880"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088A8DD" w14:textId="77777777" w:rsidR="003F4498" w:rsidRDefault="00A90788">
            <w:pPr>
              <w:keepNext/>
              <w:spacing w:before="55" w:after="30"/>
              <w:jc w:val="right"/>
            </w:pPr>
            <w:r>
              <w:rPr>
                <w:color w:val="000000"/>
                <w:sz w:val="20"/>
              </w:rPr>
              <w:t>3.35 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5C2E17B" w14:textId="77777777" w:rsidR="003F4498" w:rsidRDefault="003F4498">
            <w:pPr>
              <w:keepNext/>
              <w:spacing w:before="55" w:after="30"/>
              <w:jc w:val="righ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7050F231" w14:textId="77777777" w:rsidR="003F4498" w:rsidRDefault="003F4498">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C682437" w14:textId="77777777" w:rsidR="003F4498" w:rsidRDefault="00A90788">
            <w:pPr>
              <w:keepNext/>
              <w:spacing w:before="55" w:after="30"/>
            </w:pPr>
            <w:r>
              <w:rPr>
                <w:color w:val="000000"/>
                <w:sz w:val="20"/>
              </w:rPr>
              <w:t>$</w:t>
            </w:r>
          </w:p>
        </w:tc>
        <w:tc>
          <w:tcPr>
            <w:tcW w:w="880"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242557A" w14:textId="77777777" w:rsidR="003F4498" w:rsidRDefault="00A90788">
            <w:pPr>
              <w:keepNext/>
              <w:spacing w:before="55" w:after="30"/>
              <w:jc w:val="right"/>
            </w:pPr>
            <w:r>
              <w:rPr>
                <w:color w:val="000000"/>
                <w:sz w:val="20"/>
              </w:rPr>
              <w:t>1.90 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5D62121"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C1D9E9" w14:textId="77777777" w:rsidR="003F4498" w:rsidRDefault="003F4498">
            <w:pPr>
              <w:keepNext/>
            </w:pPr>
          </w:p>
        </w:tc>
        <w:tc>
          <w:tcPr>
            <w:tcW w:w="112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51D1A146" w14:textId="77777777" w:rsidR="003F4498" w:rsidRDefault="003F4498">
            <w:pPr>
              <w:keepNex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7224EE44" w14:textId="77777777" w:rsidR="003F4498" w:rsidRDefault="003F4498">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DD59FDE" w14:textId="77777777" w:rsidR="003F4498" w:rsidRDefault="00A90788">
            <w:pPr>
              <w:keepNext/>
              <w:spacing w:before="55" w:after="30"/>
            </w:pPr>
            <w:r>
              <w:rPr>
                <w:color w:val="000000"/>
                <w:sz w:val="20"/>
              </w:rPr>
              <w:t>$</w:t>
            </w:r>
          </w:p>
        </w:tc>
        <w:tc>
          <w:tcPr>
            <w:tcW w:w="880"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762B02F" w14:textId="77777777" w:rsidR="003F4498" w:rsidRDefault="00A90788">
            <w:pPr>
              <w:keepNext/>
              <w:spacing w:before="55" w:after="30"/>
              <w:jc w:val="right"/>
            </w:pPr>
            <w:r>
              <w:rPr>
                <w:color w:val="000000"/>
                <w:sz w:val="20"/>
              </w:rPr>
              <w:t>2.50 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00DDF2F" w14:textId="77777777" w:rsidR="003F4498" w:rsidRDefault="003F4498">
            <w:pPr>
              <w:keepNext/>
              <w:spacing w:before="55" w:after="30"/>
              <w:jc w:val="right"/>
            </w:pPr>
          </w:p>
        </w:tc>
      </w:tr>
      <w:tr w:rsidR="003F4498" w14:paraId="4060A70D" w14:textId="77777777" w:rsidTr="00A90788">
        <w:trPr>
          <w:cantSplit/>
          <w:trHeight w:hRule="exact" w:val="978"/>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072625A0" w14:textId="77777777" w:rsidR="003F4498" w:rsidRDefault="00A90788">
            <w:pPr>
              <w:spacing w:before="75" w:after="30"/>
            </w:pPr>
            <w:r>
              <w:rPr>
                <w:color w:val="000000"/>
                <w:sz w:val="20"/>
              </w:rPr>
              <w:t xml:space="preserve">Shares used in diluted net income per share calculations </w:t>
            </w: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D7E2D96" w14:textId="77777777" w:rsidR="003F4498" w:rsidRDefault="00A90788">
            <w:pPr>
              <w:spacing w:before="55" w:after="30"/>
              <w:jc w:val="right"/>
            </w:pPr>
            <w:r>
              <w:rPr>
                <w:color w:val="000000"/>
                <w:sz w:val="20"/>
              </w:rPr>
              <w:t>167.7 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CA7B1C0"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5AFFEB" w14:textId="77777777" w:rsidR="003F4498" w:rsidRDefault="003F4498"/>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14:paraId="3618CD2A" w14:textId="77777777" w:rsidR="003F4498" w:rsidRDefault="003F4498"/>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70838239" w14:textId="77777777" w:rsidR="003F4498" w:rsidRDefault="003F4498"/>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0027A6DE" w14:textId="77777777" w:rsidR="003F4498" w:rsidRDefault="00A90788">
            <w:pPr>
              <w:spacing w:before="55" w:after="30"/>
              <w:jc w:val="right"/>
            </w:pPr>
            <w:r>
              <w:rPr>
                <w:color w:val="000000"/>
                <w:sz w:val="20"/>
              </w:rPr>
              <w:t>167.7 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C394454" w14:textId="77777777" w:rsidR="003F4498" w:rsidRDefault="003F4498">
            <w:pPr>
              <w:spacing w:before="55" w:after="30"/>
              <w:jc w:val="righ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0BFF0E68" w14:textId="77777777" w:rsidR="003F4498" w:rsidRDefault="003F4498"/>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2D85D00" w14:textId="77777777" w:rsidR="003F4498" w:rsidRDefault="00A90788">
            <w:pPr>
              <w:spacing w:before="55" w:after="30"/>
              <w:jc w:val="right"/>
            </w:pPr>
            <w:r>
              <w:rPr>
                <w:color w:val="000000"/>
                <w:sz w:val="20"/>
              </w:rPr>
              <w:t>175.0 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174A08B"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3FDBC0" w14:textId="77777777" w:rsidR="003F4498" w:rsidRDefault="003F4498"/>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14:paraId="66DE13C3" w14:textId="77777777" w:rsidR="003F4498" w:rsidRDefault="003F4498"/>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70A916D3" w14:textId="77777777" w:rsidR="003F4498" w:rsidRDefault="003F4498"/>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1DD9E95" w14:textId="77777777" w:rsidR="003F4498" w:rsidRDefault="00A90788">
            <w:pPr>
              <w:spacing w:before="55" w:after="30"/>
              <w:jc w:val="right"/>
            </w:pPr>
            <w:r>
              <w:rPr>
                <w:color w:val="000000"/>
                <w:sz w:val="20"/>
              </w:rPr>
              <w:t>175.0 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E196C68" w14:textId="77777777" w:rsidR="003F4498" w:rsidRDefault="003F4498">
            <w:pPr>
              <w:spacing w:before="55" w:after="30"/>
              <w:jc w:val="right"/>
            </w:pPr>
          </w:p>
        </w:tc>
      </w:tr>
    </w:tbl>
    <w:p w14:paraId="56F56C52" w14:textId="77777777" w:rsidR="003F4498" w:rsidRDefault="00A90788">
      <w:pPr>
        <w:spacing w:before="100" w:line="288" w:lineRule="auto"/>
        <w:rPr>
          <w:sz w:val="20"/>
        </w:rPr>
      </w:pPr>
      <w:r>
        <w:rPr>
          <w:sz w:val="20"/>
        </w:rPr>
        <w:t>(a) To exclude $193.8 million of stock-based compensation and $13.3 million of amortization of acquired intangible assets, offset by a $40.2 million gain on intellectual property matter and a $0.7 million adjustment for a litigation-related matter in 2020.</w:t>
      </w:r>
    </w:p>
    <w:p w14:paraId="20497463" w14:textId="77777777" w:rsidR="003F4498" w:rsidRDefault="00A90788">
      <w:pPr>
        <w:spacing w:line="288" w:lineRule="auto"/>
        <w:rPr>
          <w:sz w:val="20"/>
        </w:rPr>
      </w:pPr>
      <w:r>
        <w:rPr>
          <w:sz w:val="20"/>
        </w:rPr>
        <w:t>(b) To exclude $174.1 million of stock-based compensation and $10.9 million of amortization of acquired intangible assets in 2019.</w:t>
      </w:r>
    </w:p>
    <w:p w14:paraId="3D02B156" w14:textId="77777777" w:rsidR="003F4498" w:rsidRDefault="00A90788">
      <w:pPr>
        <w:spacing w:line="288" w:lineRule="auto"/>
        <w:rPr>
          <w:sz w:val="20"/>
        </w:rPr>
      </w:pPr>
      <w:r>
        <w:rPr>
          <w:sz w:val="20"/>
        </w:rPr>
        <w:t>(c) To exclude a $4.3 million impairment charge on an investment in a privately held company in 2020.</w:t>
      </w:r>
    </w:p>
    <w:p w14:paraId="2B5A1300" w14:textId="77777777" w:rsidR="003F4498" w:rsidRDefault="00A90788">
      <w:pPr>
        <w:spacing w:line="288" w:lineRule="auto"/>
        <w:rPr>
          <w:sz w:val="20"/>
        </w:rPr>
      </w:pPr>
      <w:r>
        <w:rPr>
          <w:sz w:val="20"/>
        </w:rPr>
        <w:t>(d) To exclude a $3.8 million impairment charge on an investment in a privately held company in 2019.</w:t>
      </w:r>
    </w:p>
    <w:p w14:paraId="3997A9E9" w14:textId="77777777" w:rsidR="003F4498" w:rsidRDefault="00A90788">
      <w:pPr>
        <w:spacing w:line="288" w:lineRule="auto"/>
        <w:rPr>
          <w:sz w:val="20"/>
        </w:rPr>
      </w:pPr>
      <w:r>
        <w:rPr>
          <w:sz w:val="20"/>
        </w:rPr>
        <w:t>(e) Non-GAAP financial information is adjusted to an overall effective tax rate of 21% and 24% in 2020 and 2019, on a non-GAAP basis, which differs from the GAAP effective tax rate.</w:t>
      </w:r>
    </w:p>
    <w:p w14:paraId="0A5E315B" w14:textId="77777777" w:rsidR="003F4498" w:rsidRDefault="003F4498">
      <w:pPr>
        <w:spacing w:line="288" w:lineRule="auto"/>
        <w:rPr>
          <w:b/>
          <w:sz w:val="18"/>
          <w:vertAlign w:val="superscript"/>
        </w:rPr>
      </w:pPr>
    </w:p>
    <w:p w14:paraId="5A981E23" w14:textId="77777777" w:rsidR="003F4498" w:rsidRDefault="00A90788">
      <w:pPr>
        <w:keepNext/>
        <w:spacing w:after="100" w:line="288" w:lineRule="auto"/>
        <w:rPr>
          <w:b/>
          <w:sz w:val="20"/>
        </w:rPr>
      </w:pPr>
      <w:r>
        <w:rPr>
          <w:b/>
          <w:sz w:val="20"/>
        </w:rPr>
        <w:t>Reconciliation of total revenue to total billings</w:t>
      </w:r>
      <w:r>
        <w:rPr>
          <w:b/>
          <w:sz w:val="20"/>
          <w:vertAlign w:val="superscript"/>
        </w:rPr>
        <w:t>1</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162"/>
        <w:gridCol w:w="1087"/>
        <w:gridCol w:w="101"/>
        <w:gridCol w:w="113"/>
        <w:gridCol w:w="162"/>
        <w:gridCol w:w="1087"/>
        <w:gridCol w:w="101"/>
        <w:gridCol w:w="61"/>
        <w:gridCol w:w="162"/>
        <w:gridCol w:w="1087"/>
        <w:gridCol w:w="101"/>
        <w:gridCol w:w="113"/>
        <w:gridCol w:w="162"/>
        <w:gridCol w:w="1087"/>
        <w:gridCol w:w="101"/>
      </w:tblGrid>
      <w:tr w:rsidR="003F4498" w14:paraId="09A8A594" w14:textId="77777777">
        <w:trPr>
          <w:cantSplit/>
          <w:trHeight w:hRule="exact" w:val="285"/>
          <w:jc w:val="center"/>
        </w:trPr>
        <w:tc>
          <w:tcPr>
            <w:tcW w:w="4590" w:type="dxa"/>
            <w:tcBorders>
              <w:top w:val="nil"/>
              <w:left w:val="nil"/>
              <w:bottom w:val="nil"/>
              <w:right w:val="nil"/>
            </w:tcBorders>
            <w:tcMar>
              <w:top w:w="0" w:type="dxa"/>
              <w:left w:w="0" w:type="dxa"/>
              <w:bottom w:w="0" w:type="dxa"/>
              <w:right w:w="0" w:type="dxa"/>
            </w:tcMar>
            <w:vAlign w:val="bottom"/>
          </w:tcPr>
          <w:p w14:paraId="18C919C1" w14:textId="77777777" w:rsidR="003F4498" w:rsidRDefault="003F4498">
            <w:pPr>
              <w:keepNext/>
            </w:pPr>
          </w:p>
        </w:tc>
        <w:tc>
          <w:tcPr>
            <w:tcW w:w="2745" w:type="dxa"/>
            <w:gridSpan w:val="7"/>
            <w:tcBorders>
              <w:top w:val="nil"/>
              <w:left w:val="nil"/>
              <w:bottom w:val="nil"/>
              <w:right w:val="nil"/>
            </w:tcBorders>
            <w:tcMar>
              <w:top w:w="0" w:type="dxa"/>
              <w:left w:w="53" w:type="dxa"/>
              <w:bottom w:w="0" w:type="dxa"/>
              <w:right w:w="53" w:type="dxa"/>
            </w:tcMar>
            <w:vAlign w:val="bottom"/>
          </w:tcPr>
          <w:p w14:paraId="75EDD04F" w14:textId="77777777" w:rsidR="003F4498" w:rsidRDefault="00A90788">
            <w:pPr>
              <w:keepNext/>
              <w:spacing w:before="75" w:after="30"/>
              <w:jc w:val="center"/>
            </w:pPr>
            <w:r>
              <w:rPr>
                <w:b/>
                <w:color w:val="000000"/>
                <w:sz w:val="20"/>
              </w:rPr>
              <w:t>Three Months Ended</w:t>
            </w:r>
          </w:p>
        </w:tc>
        <w:tc>
          <w:tcPr>
            <w:tcW w:w="60" w:type="dxa"/>
            <w:tcBorders>
              <w:top w:val="nil"/>
              <w:left w:val="nil"/>
              <w:bottom w:val="nil"/>
              <w:right w:val="nil"/>
            </w:tcBorders>
            <w:tcMar>
              <w:top w:w="0" w:type="dxa"/>
              <w:left w:w="0" w:type="dxa"/>
              <w:bottom w:w="0" w:type="dxa"/>
              <w:right w:w="0" w:type="dxa"/>
            </w:tcMar>
            <w:vAlign w:val="bottom"/>
          </w:tcPr>
          <w:p w14:paraId="3F5D66AD" w14:textId="77777777" w:rsidR="003F4498" w:rsidRDefault="003F4498">
            <w:pPr>
              <w:keepNext/>
            </w:pPr>
          </w:p>
        </w:tc>
        <w:tc>
          <w:tcPr>
            <w:tcW w:w="2730" w:type="dxa"/>
            <w:gridSpan w:val="7"/>
            <w:tcBorders>
              <w:top w:val="nil"/>
              <w:left w:val="nil"/>
              <w:bottom w:val="single" w:sz="8" w:space="0" w:color="000000"/>
              <w:right w:val="nil"/>
            </w:tcBorders>
            <w:tcMar>
              <w:top w:w="0" w:type="dxa"/>
              <w:left w:w="53" w:type="dxa"/>
              <w:bottom w:w="0" w:type="dxa"/>
              <w:right w:w="53" w:type="dxa"/>
            </w:tcMar>
            <w:vAlign w:val="bottom"/>
          </w:tcPr>
          <w:p w14:paraId="7D38DDF9" w14:textId="77777777" w:rsidR="003F4498" w:rsidRDefault="00A90788">
            <w:pPr>
              <w:keepNext/>
              <w:spacing w:before="75" w:after="30"/>
              <w:jc w:val="center"/>
            </w:pPr>
            <w:r>
              <w:rPr>
                <w:b/>
                <w:color w:val="000000"/>
                <w:sz w:val="20"/>
              </w:rPr>
              <w:t>Year Ended</w:t>
            </w:r>
          </w:p>
        </w:tc>
      </w:tr>
      <w:tr w:rsidR="003F4498" w14:paraId="4D7B5329" w14:textId="77777777">
        <w:trPr>
          <w:cantSplit/>
          <w:trHeight w:hRule="exact" w:val="495"/>
          <w:jc w:val="center"/>
        </w:trPr>
        <w:tc>
          <w:tcPr>
            <w:tcW w:w="4590" w:type="dxa"/>
            <w:tcBorders>
              <w:top w:val="nil"/>
              <w:left w:val="nil"/>
              <w:bottom w:val="nil"/>
              <w:right w:val="nil"/>
            </w:tcBorders>
            <w:tcMar>
              <w:top w:w="0" w:type="dxa"/>
              <w:left w:w="0" w:type="dxa"/>
              <w:bottom w:w="0" w:type="dxa"/>
              <w:right w:w="0" w:type="dxa"/>
            </w:tcMar>
            <w:vAlign w:val="bottom"/>
          </w:tcPr>
          <w:p w14:paraId="25E4C5A8" w14:textId="77777777" w:rsidR="003F4498" w:rsidRDefault="003F4498">
            <w:pPr>
              <w:keepNext/>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47F7BEC" w14:textId="77777777" w:rsidR="003F4498" w:rsidRDefault="00A90788">
            <w:pPr>
              <w:keepNext/>
              <w:spacing w:before="55" w:after="30"/>
              <w:jc w:val="center"/>
            </w:pPr>
            <w:r>
              <w:rPr>
                <w:b/>
                <w:color w:val="000000"/>
                <w:sz w:val="20"/>
              </w:rPr>
              <w:t>December 31,</w:t>
            </w:r>
            <w:r>
              <w:br/>
            </w:r>
            <w:r>
              <w:rPr>
                <w:b/>
                <w:color w:val="000000"/>
                <w:sz w:val="20"/>
              </w:rPr>
              <w:t>2020</w:t>
            </w:r>
          </w:p>
        </w:tc>
        <w:tc>
          <w:tcPr>
            <w:tcW w:w="75" w:type="dxa"/>
            <w:tcBorders>
              <w:top w:val="single" w:sz="8" w:space="0" w:color="000000"/>
              <w:left w:val="nil"/>
              <w:bottom w:val="nil"/>
              <w:right w:val="nil"/>
            </w:tcBorders>
            <w:tcMar>
              <w:top w:w="0" w:type="dxa"/>
              <w:left w:w="53" w:type="dxa"/>
              <w:bottom w:w="0" w:type="dxa"/>
              <w:right w:w="53" w:type="dxa"/>
            </w:tcMar>
            <w:vAlign w:val="bottom"/>
          </w:tcPr>
          <w:p w14:paraId="39C1E7EC" w14:textId="77777777" w:rsidR="003F4498" w:rsidRDefault="003F4498">
            <w:pPr>
              <w:keepNext/>
              <w:spacing w:before="55" w:after="30"/>
              <w:jc w:val="center"/>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EEB24BF" w14:textId="77777777" w:rsidR="003F4498" w:rsidRDefault="00A90788">
            <w:pPr>
              <w:keepNext/>
              <w:spacing w:before="55" w:after="30"/>
              <w:jc w:val="center"/>
            </w:pPr>
            <w:r>
              <w:rPr>
                <w:b/>
                <w:color w:val="000000"/>
                <w:sz w:val="20"/>
              </w:rPr>
              <w:t>December 31,</w:t>
            </w:r>
            <w:r>
              <w:br/>
            </w:r>
            <w:r>
              <w:rPr>
                <w:b/>
                <w:color w:val="000000"/>
                <w:sz w:val="20"/>
              </w:rPr>
              <w:t>2019</w:t>
            </w:r>
          </w:p>
        </w:tc>
        <w:tc>
          <w:tcPr>
            <w:tcW w:w="60" w:type="dxa"/>
            <w:tcBorders>
              <w:top w:val="nil"/>
              <w:left w:val="nil"/>
              <w:bottom w:val="nil"/>
              <w:right w:val="nil"/>
            </w:tcBorders>
            <w:tcMar>
              <w:top w:w="0" w:type="dxa"/>
              <w:left w:w="0" w:type="dxa"/>
              <w:bottom w:w="0" w:type="dxa"/>
              <w:right w:w="0" w:type="dxa"/>
            </w:tcMar>
            <w:vAlign w:val="bottom"/>
          </w:tcPr>
          <w:p w14:paraId="7DED8F52" w14:textId="77777777" w:rsidR="003F4498" w:rsidRDefault="003F4498">
            <w:pPr>
              <w:keepNext/>
            </w:pPr>
          </w:p>
        </w:tc>
        <w:tc>
          <w:tcPr>
            <w:tcW w:w="1335" w:type="dxa"/>
            <w:gridSpan w:val="3"/>
            <w:tcBorders>
              <w:top w:val="nil"/>
              <w:left w:val="nil"/>
              <w:bottom w:val="single" w:sz="8" w:space="0" w:color="000000"/>
              <w:right w:val="nil"/>
            </w:tcBorders>
            <w:tcMar>
              <w:top w:w="0" w:type="dxa"/>
              <w:left w:w="53" w:type="dxa"/>
              <w:bottom w:w="0" w:type="dxa"/>
              <w:right w:w="53" w:type="dxa"/>
            </w:tcMar>
            <w:vAlign w:val="bottom"/>
          </w:tcPr>
          <w:p w14:paraId="1DA03820" w14:textId="77777777" w:rsidR="003F4498" w:rsidRDefault="00A90788">
            <w:pPr>
              <w:keepNext/>
              <w:spacing w:before="55" w:after="30"/>
              <w:jc w:val="center"/>
            </w:pPr>
            <w:r>
              <w:rPr>
                <w:b/>
                <w:color w:val="000000"/>
                <w:sz w:val="20"/>
              </w:rPr>
              <w:t>December 31,</w:t>
            </w:r>
            <w:r>
              <w:br/>
            </w:r>
            <w:r>
              <w:rPr>
                <w:b/>
                <w:color w:val="000000"/>
                <w:sz w:val="20"/>
              </w:rPr>
              <w:t>2020</w:t>
            </w:r>
          </w:p>
        </w:tc>
        <w:tc>
          <w:tcPr>
            <w:tcW w:w="60" w:type="dxa"/>
            <w:tcBorders>
              <w:top w:val="single" w:sz="8" w:space="0" w:color="000000"/>
              <w:left w:val="nil"/>
              <w:bottom w:val="nil"/>
              <w:right w:val="nil"/>
            </w:tcBorders>
            <w:tcMar>
              <w:top w:w="0" w:type="dxa"/>
              <w:left w:w="53" w:type="dxa"/>
              <w:bottom w:w="0" w:type="dxa"/>
              <w:right w:w="53" w:type="dxa"/>
            </w:tcMar>
            <w:vAlign w:val="bottom"/>
          </w:tcPr>
          <w:p w14:paraId="2695D681" w14:textId="77777777" w:rsidR="003F4498" w:rsidRDefault="003F4498">
            <w:pPr>
              <w:keepNext/>
              <w:spacing w:before="55" w:after="30"/>
              <w:jc w:val="center"/>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D52D326" w14:textId="77777777" w:rsidR="003F4498" w:rsidRDefault="00A90788">
            <w:pPr>
              <w:keepNext/>
              <w:spacing w:before="55" w:after="30"/>
              <w:jc w:val="center"/>
            </w:pPr>
            <w:r>
              <w:rPr>
                <w:b/>
                <w:color w:val="000000"/>
                <w:sz w:val="20"/>
              </w:rPr>
              <w:t>December 31,</w:t>
            </w:r>
            <w:r>
              <w:br/>
            </w:r>
            <w:r>
              <w:rPr>
                <w:b/>
                <w:color w:val="000000"/>
                <w:sz w:val="20"/>
              </w:rPr>
              <w:t>2019</w:t>
            </w:r>
          </w:p>
        </w:tc>
      </w:tr>
      <w:tr w:rsidR="003F4498" w14:paraId="4BCD314C" w14:textId="77777777">
        <w:trPr>
          <w:cantSplit/>
          <w:trHeight w:hRule="exact" w:val="300"/>
          <w:jc w:val="center"/>
        </w:trPr>
        <w:tc>
          <w:tcPr>
            <w:tcW w:w="4590" w:type="dxa"/>
            <w:tcBorders>
              <w:top w:val="nil"/>
              <w:left w:val="nil"/>
              <w:bottom w:val="nil"/>
              <w:right w:val="nil"/>
            </w:tcBorders>
            <w:shd w:val="clear" w:color="auto" w:fill="CCEEFF"/>
            <w:tcMar>
              <w:top w:w="0" w:type="dxa"/>
              <w:left w:w="53" w:type="dxa"/>
              <w:bottom w:w="0" w:type="dxa"/>
              <w:right w:w="53" w:type="dxa"/>
            </w:tcMar>
            <w:vAlign w:val="bottom"/>
          </w:tcPr>
          <w:p w14:paraId="0F323D7D" w14:textId="77777777" w:rsidR="003F4498" w:rsidRDefault="00A90788">
            <w:pPr>
              <w:keepNext/>
              <w:spacing w:before="75" w:after="30"/>
            </w:pPr>
            <w:r>
              <w:rPr>
                <w:color w:val="000000"/>
                <w:sz w:val="20"/>
              </w:rPr>
              <w:t>Total 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56DA5FA" w14:textId="77777777" w:rsidR="003F4498" w:rsidRDefault="00A90788">
            <w:pPr>
              <w:keepNext/>
              <w:spacing w:before="55" w:after="30"/>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A8518D3" w14:textId="77777777" w:rsidR="003F4498" w:rsidRDefault="00A90788">
            <w:pPr>
              <w:keepNext/>
              <w:spacing w:before="55" w:after="30"/>
              <w:jc w:val="right"/>
            </w:pPr>
            <w:r>
              <w:rPr>
                <w:color w:val="000000"/>
                <w:sz w:val="20"/>
              </w:rPr>
              <w:t>748.0 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F16288C" w14:textId="77777777" w:rsidR="003F4498" w:rsidRDefault="003F4498">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1E7128" w14:textId="77777777" w:rsidR="003F4498" w:rsidRDefault="003F4498">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AE7CD65" w14:textId="77777777" w:rsidR="003F4498" w:rsidRDefault="00A90788">
            <w:pPr>
              <w:keepNext/>
              <w:spacing w:before="55" w:after="30"/>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9BF6892" w14:textId="77777777" w:rsidR="003F4498" w:rsidRDefault="00A90788">
            <w:pPr>
              <w:keepNext/>
              <w:spacing w:before="55" w:after="30"/>
              <w:jc w:val="right"/>
            </w:pPr>
            <w:r>
              <w:rPr>
                <w:color w:val="000000"/>
                <w:sz w:val="20"/>
              </w:rPr>
              <w:t>618.1 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F1B6A73" w14:textId="77777777" w:rsidR="003F4498" w:rsidRDefault="003F4498">
            <w:pPr>
              <w:keepNext/>
              <w:spacing w:before="55" w:after="3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9CFAD92" w14:textId="77777777" w:rsidR="003F4498" w:rsidRDefault="003F4498">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F42942E" w14:textId="77777777" w:rsidR="003F4498" w:rsidRDefault="00A90788">
            <w:pPr>
              <w:keepNext/>
              <w:spacing w:before="55" w:after="30"/>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83B6FE6" w14:textId="77777777" w:rsidR="003F4498" w:rsidRDefault="00A90788">
            <w:pPr>
              <w:keepNext/>
              <w:spacing w:before="55" w:after="30"/>
              <w:jc w:val="right"/>
            </w:pPr>
            <w:r>
              <w:rPr>
                <w:color w:val="000000"/>
                <w:sz w:val="20"/>
              </w:rPr>
              <w:t>2,594.4 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B406D18" w14:textId="77777777" w:rsidR="003F4498" w:rsidRDefault="003F4498">
            <w:pPr>
              <w:keepNext/>
              <w:spacing w:before="55"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21A627CF" w14:textId="77777777" w:rsidR="003F4498" w:rsidRDefault="003F4498">
            <w:pPr>
              <w:keepNext/>
              <w:spacing w:before="7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E51EDDD" w14:textId="77777777" w:rsidR="003F4498" w:rsidRDefault="00A90788">
            <w:pPr>
              <w:keepNext/>
              <w:spacing w:before="55" w:after="30"/>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81F23EF" w14:textId="77777777" w:rsidR="003F4498" w:rsidRDefault="00A90788">
            <w:pPr>
              <w:keepNext/>
              <w:spacing w:before="55" w:after="30"/>
              <w:jc w:val="right"/>
            </w:pPr>
            <w:r>
              <w:rPr>
                <w:color w:val="000000"/>
                <w:sz w:val="20"/>
              </w:rPr>
              <w:t>2,163.0 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DB249FC" w14:textId="77777777" w:rsidR="003F4498" w:rsidRDefault="003F4498">
            <w:pPr>
              <w:keepNext/>
              <w:spacing w:before="55" w:after="30"/>
              <w:jc w:val="right"/>
            </w:pPr>
          </w:p>
        </w:tc>
      </w:tr>
      <w:tr w:rsidR="003F4498" w14:paraId="7A214688" w14:textId="77777777">
        <w:trPr>
          <w:cantSplit/>
          <w:trHeight w:hRule="exact" w:val="300"/>
          <w:jc w:val="center"/>
        </w:trPr>
        <w:tc>
          <w:tcPr>
            <w:tcW w:w="4590" w:type="dxa"/>
            <w:tcBorders>
              <w:top w:val="nil"/>
              <w:left w:val="nil"/>
              <w:bottom w:val="nil"/>
              <w:right w:val="nil"/>
            </w:tcBorders>
            <w:shd w:val="clear" w:color="auto" w:fill="FFFFFF"/>
            <w:tcMar>
              <w:top w:w="0" w:type="dxa"/>
              <w:left w:w="53" w:type="dxa"/>
              <w:bottom w:w="0" w:type="dxa"/>
              <w:right w:w="53" w:type="dxa"/>
            </w:tcMar>
            <w:vAlign w:val="bottom"/>
          </w:tcPr>
          <w:p w14:paraId="19E907E7" w14:textId="77777777" w:rsidR="003F4498" w:rsidRDefault="00A90788">
            <w:pPr>
              <w:keepNext/>
              <w:spacing w:before="75" w:after="30"/>
              <w:ind w:left="135"/>
            </w:pPr>
            <w:r>
              <w:rPr>
                <w:color w:val="000000"/>
                <w:sz w:val="20"/>
              </w:rPr>
              <w:t>Add: Change in deferred revenue</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14:paraId="1BE0F3D9" w14:textId="77777777" w:rsidR="003F4498" w:rsidRDefault="00A90788">
            <w:pPr>
              <w:keepNext/>
              <w:spacing w:before="75" w:after="30"/>
              <w:jc w:val="right"/>
            </w:pPr>
            <w:r>
              <w:rPr>
                <w:color w:val="000000"/>
                <w:sz w:val="20"/>
              </w:rPr>
              <w:t>213.3 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FF797E3" w14:textId="77777777" w:rsidR="003F4498" w:rsidRDefault="003F4498">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8AA0F3" w14:textId="77777777" w:rsidR="003F4498" w:rsidRDefault="003F4498">
            <w:pPr>
              <w:keepNex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14:paraId="794D8109" w14:textId="77777777" w:rsidR="003F4498" w:rsidRDefault="00A90788">
            <w:pPr>
              <w:keepNext/>
              <w:spacing w:before="75" w:after="30"/>
              <w:jc w:val="right"/>
            </w:pPr>
            <w:r>
              <w:rPr>
                <w:color w:val="000000"/>
                <w:sz w:val="20"/>
              </w:rPr>
              <w:t>186.6 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D5C32BA" w14:textId="77777777" w:rsidR="003F4498" w:rsidRDefault="003F4498">
            <w:pPr>
              <w:keepNext/>
              <w:spacing w:before="75" w:after="3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512D82C" w14:textId="77777777" w:rsidR="003F4498" w:rsidRDefault="003F4498">
            <w:pPr>
              <w:keepNex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14:paraId="7EFBD836" w14:textId="77777777" w:rsidR="003F4498" w:rsidRDefault="00A90788">
            <w:pPr>
              <w:keepNext/>
              <w:spacing w:before="75" w:after="30"/>
              <w:jc w:val="right"/>
            </w:pPr>
            <w:r>
              <w:rPr>
                <w:color w:val="000000"/>
                <w:sz w:val="20"/>
              </w:rPr>
              <w:t>496.2 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EA293B8" w14:textId="77777777" w:rsidR="003F4498" w:rsidRDefault="003F4498">
            <w:pPr>
              <w:keepNext/>
              <w:spacing w:before="75"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5E09B64F" w14:textId="77777777" w:rsidR="003F4498" w:rsidRDefault="003F4498">
            <w:pPr>
              <w:keepNext/>
              <w:spacing w:before="75" w:after="3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14:paraId="35A3E4F1" w14:textId="77777777" w:rsidR="003F4498" w:rsidRDefault="00A90788">
            <w:pPr>
              <w:keepNext/>
              <w:spacing w:before="75" w:after="30"/>
              <w:jc w:val="right"/>
            </w:pPr>
            <w:r>
              <w:rPr>
                <w:color w:val="000000"/>
                <w:sz w:val="20"/>
              </w:rPr>
              <w:t>442.3 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B92CF22" w14:textId="77777777" w:rsidR="003F4498" w:rsidRDefault="003F4498">
            <w:pPr>
              <w:keepNext/>
              <w:spacing w:before="75" w:after="30"/>
              <w:jc w:val="right"/>
            </w:pPr>
          </w:p>
        </w:tc>
      </w:tr>
      <w:tr w:rsidR="003F4498" w14:paraId="34A5D321" w14:textId="77777777" w:rsidTr="00A90788">
        <w:trPr>
          <w:cantSplit/>
          <w:trHeight w:hRule="exact" w:val="612"/>
          <w:jc w:val="center"/>
        </w:trPr>
        <w:tc>
          <w:tcPr>
            <w:tcW w:w="4590" w:type="dxa"/>
            <w:tcBorders>
              <w:top w:val="nil"/>
              <w:left w:val="nil"/>
              <w:bottom w:val="nil"/>
              <w:right w:val="nil"/>
            </w:tcBorders>
            <w:shd w:val="clear" w:color="auto" w:fill="CCEEFF"/>
            <w:tcMar>
              <w:top w:w="0" w:type="dxa"/>
              <w:left w:w="53" w:type="dxa"/>
              <w:bottom w:w="0" w:type="dxa"/>
              <w:right w:w="53" w:type="dxa"/>
            </w:tcMar>
            <w:vAlign w:val="bottom"/>
          </w:tcPr>
          <w:p w14:paraId="699BC0EC" w14:textId="77777777" w:rsidR="003F4498" w:rsidRDefault="00A90788">
            <w:pPr>
              <w:keepNext/>
              <w:spacing w:before="75" w:after="30"/>
              <w:ind w:left="135"/>
            </w:pPr>
            <w:r>
              <w:rPr>
                <w:color w:val="000000"/>
                <w:sz w:val="20"/>
              </w:rPr>
              <w:t>Less: Deferred revenue balance acquired in business acquisitions</w:t>
            </w: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744FEC5" w14:textId="77777777" w:rsidR="003F4498" w:rsidRDefault="00A90788">
            <w:pPr>
              <w:keepNext/>
              <w:spacing w:before="75" w:after="30"/>
              <w:jc w:val="right"/>
            </w:pPr>
            <w:r>
              <w:rPr>
                <w:color w:val="000000"/>
                <w:sz w:val="20"/>
              </w:rPr>
              <w:t>(0.4)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CEE87A9" w14:textId="77777777" w:rsidR="003F4498" w:rsidRDefault="003F4498">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D72BCB" w14:textId="77777777" w:rsidR="003F4498" w:rsidRDefault="003F4498">
            <w:pPr>
              <w:keepNext/>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AB7FCEF" w14:textId="77777777" w:rsidR="003F4498" w:rsidRDefault="00A90788">
            <w:pPr>
              <w:keepNext/>
              <w:spacing w:before="75" w:after="30"/>
              <w:jc w:val="right"/>
            </w:pPr>
            <w:r>
              <w:rPr>
                <w:color w:val="000000"/>
                <w:sz w:val="20"/>
              </w:rPr>
              <w:t>(2.4)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F6F5622" w14:textId="77777777" w:rsidR="003F4498" w:rsidRDefault="003F4498">
            <w:pPr>
              <w:keepNext/>
              <w:spacing w:before="75" w:after="3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D48331D" w14:textId="77777777" w:rsidR="003F4498" w:rsidRDefault="003F4498">
            <w:pPr>
              <w:keepNext/>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5DDB46D" w14:textId="77777777" w:rsidR="003F4498" w:rsidRDefault="00A90788">
            <w:pPr>
              <w:keepNext/>
              <w:spacing w:before="75" w:after="30"/>
              <w:jc w:val="right"/>
            </w:pPr>
            <w:r>
              <w:rPr>
                <w:color w:val="000000"/>
                <w:sz w:val="20"/>
              </w:rPr>
              <w:t>(0.6)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55FB216" w14:textId="77777777" w:rsidR="003F4498" w:rsidRDefault="003F4498">
            <w:pPr>
              <w:keepNext/>
              <w:spacing w:before="75"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433FAC77" w14:textId="77777777" w:rsidR="003F4498" w:rsidRDefault="003F4498">
            <w:pPr>
              <w:keepNext/>
              <w:spacing w:before="75" w:after="30"/>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CC82D17" w14:textId="77777777" w:rsidR="003F4498" w:rsidRDefault="00A90788">
            <w:pPr>
              <w:keepNext/>
              <w:spacing w:before="75" w:after="30"/>
              <w:jc w:val="right"/>
            </w:pPr>
            <w:r>
              <w:rPr>
                <w:color w:val="000000"/>
                <w:sz w:val="20"/>
              </w:rPr>
              <w:t>(2.4)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676BFB9" w14:textId="77777777" w:rsidR="003F4498" w:rsidRDefault="003F4498">
            <w:pPr>
              <w:keepNext/>
              <w:spacing w:before="75" w:after="30"/>
              <w:jc w:val="right"/>
            </w:pPr>
          </w:p>
        </w:tc>
      </w:tr>
      <w:tr w:rsidR="003F4498" w14:paraId="560BD79E" w14:textId="77777777">
        <w:trPr>
          <w:cantSplit/>
          <w:trHeight w:hRule="exact" w:val="300"/>
          <w:jc w:val="center"/>
        </w:trPr>
        <w:tc>
          <w:tcPr>
            <w:tcW w:w="4590" w:type="dxa"/>
            <w:tcBorders>
              <w:top w:val="nil"/>
              <w:left w:val="nil"/>
              <w:bottom w:val="nil"/>
              <w:right w:val="nil"/>
            </w:tcBorders>
            <w:shd w:val="clear" w:color="auto" w:fill="FFFFFF"/>
            <w:tcMar>
              <w:top w:w="0" w:type="dxa"/>
              <w:left w:w="53" w:type="dxa"/>
              <w:bottom w:w="0" w:type="dxa"/>
              <w:right w:w="53" w:type="dxa"/>
            </w:tcMar>
            <w:vAlign w:val="bottom"/>
          </w:tcPr>
          <w:p w14:paraId="58A1784C" w14:textId="77777777" w:rsidR="003F4498" w:rsidRDefault="00A90788">
            <w:pPr>
              <w:spacing w:before="75" w:after="30"/>
            </w:pPr>
            <w:r>
              <w:rPr>
                <w:color w:val="000000"/>
                <w:sz w:val="20"/>
              </w:rPr>
              <w:t>Total billings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590D73F" w14:textId="77777777" w:rsidR="003F4498" w:rsidRDefault="00A90788">
            <w:pPr>
              <w:spacing w:before="55" w:after="30"/>
            </w:pPr>
            <w:r>
              <w:rPr>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09E6B58" w14:textId="77777777" w:rsidR="003F4498" w:rsidRDefault="00A90788">
            <w:pPr>
              <w:spacing w:before="55" w:after="30"/>
              <w:jc w:val="right"/>
            </w:pPr>
            <w:r>
              <w:rPr>
                <w:color w:val="000000"/>
                <w:sz w:val="20"/>
              </w:rPr>
              <w:t>960.9 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888F88B" w14:textId="77777777" w:rsidR="003F4498" w:rsidRDefault="003F4498">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B3C3B6" w14:textId="77777777" w:rsidR="003F4498" w:rsidRDefault="003F4498"/>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00680772" w14:textId="77777777" w:rsidR="003F4498" w:rsidRDefault="00A90788">
            <w:pPr>
              <w:spacing w:before="55" w:after="30"/>
            </w:pPr>
            <w:r>
              <w:rPr>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1F24A4D" w14:textId="77777777" w:rsidR="003F4498" w:rsidRDefault="00A90788">
            <w:pPr>
              <w:spacing w:before="55" w:after="30"/>
              <w:jc w:val="right"/>
            </w:pPr>
            <w:r>
              <w:rPr>
                <w:color w:val="000000"/>
                <w:sz w:val="20"/>
              </w:rPr>
              <w:t>802.3 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719340E" w14:textId="77777777" w:rsidR="003F4498" w:rsidRDefault="003F4498">
            <w:pPr>
              <w:spacing w:before="55" w:after="3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CEEDB45" w14:textId="77777777" w:rsidR="003F4498" w:rsidRDefault="003F4498"/>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25ECC45" w14:textId="77777777" w:rsidR="003F4498" w:rsidRDefault="00A90788">
            <w:pPr>
              <w:spacing w:before="55" w:after="30"/>
            </w:pPr>
            <w:r>
              <w:rPr>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9CF439E" w14:textId="77777777" w:rsidR="003F4498" w:rsidRDefault="00A90788">
            <w:pPr>
              <w:spacing w:before="55" w:after="30"/>
              <w:jc w:val="right"/>
            </w:pPr>
            <w:r>
              <w:rPr>
                <w:color w:val="000000"/>
                <w:sz w:val="20"/>
              </w:rPr>
              <w:t>3,090.0 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F61C1FD" w14:textId="77777777" w:rsidR="003F4498" w:rsidRDefault="003F4498">
            <w:pPr>
              <w:spacing w:before="55"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245BEC97" w14:textId="77777777" w:rsidR="003F4498" w:rsidRDefault="003F4498">
            <w:pPr>
              <w:spacing w:before="75"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59022FC" w14:textId="77777777" w:rsidR="003F4498" w:rsidRDefault="00A90788">
            <w:pPr>
              <w:spacing w:before="55" w:after="30"/>
            </w:pPr>
            <w:r>
              <w:rPr>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59B1E59" w14:textId="77777777" w:rsidR="003F4498" w:rsidRDefault="00A90788">
            <w:pPr>
              <w:spacing w:before="55" w:after="30"/>
              <w:jc w:val="right"/>
            </w:pPr>
            <w:r>
              <w:rPr>
                <w:color w:val="000000"/>
                <w:sz w:val="20"/>
              </w:rPr>
              <w:t>2,602.9 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AE81F77" w14:textId="77777777" w:rsidR="003F4498" w:rsidRDefault="003F4498">
            <w:pPr>
              <w:spacing w:before="55" w:after="30"/>
              <w:jc w:val="right"/>
            </w:pPr>
          </w:p>
        </w:tc>
      </w:tr>
    </w:tbl>
    <w:p w14:paraId="1F5BBBDE" w14:textId="77777777" w:rsidR="003F4498" w:rsidRDefault="003F4498">
      <w:pPr>
        <w:spacing w:before="100" w:line="288" w:lineRule="auto"/>
        <w:jc w:val="center"/>
        <w:rPr>
          <w:sz w:val="20"/>
        </w:rPr>
      </w:pPr>
    </w:p>
    <w:p w14:paraId="1D42E39B" w14:textId="77777777" w:rsidR="003F4498" w:rsidRDefault="00A90788">
      <w:pPr>
        <w:spacing w:line="288" w:lineRule="auto"/>
        <w:rPr>
          <w:rFonts w:ascii="Calibri" w:eastAsia="Calibri" w:hAnsi="Calibri" w:cs="Calibri"/>
          <w:b/>
          <w:sz w:val="22"/>
          <w:vertAlign w:val="superscript"/>
        </w:rPr>
      </w:pPr>
      <w:r>
        <w:rPr>
          <w:b/>
          <w:sz w:val="20"/>
          <w:vertAlign w:val="superscript"/>
        </w:rPr>
        <w:t>1</w:t>
      </w:r>
      <w:r>
        <w:rPr>
          <w:sz w:val="20"/>
        </w:rPr>
        <w:t xml:space="preserve"> Fortinet identified an immaterial error related to the commencement of revenue recognition for certain FortiCare support service contracts, which resulted in an immaterial correction to revenue for prior year reported amounts for the six months ended June 30, 2020. All financial information contained herein has been revised to reflect the correction of this error.</w:t>
      </w:r>
    </w:p>
    <w:p w14:paraId="2A226E60" w14:textId="77777777" w:rsidR="003F4498" w:rsidRDefault="003F4498">
      <w:pPr>
        <w:spacing w:line="288" w:lineRule="auto"/>
        <w:jc w:val="center"/>
        <w:rPr>
          <w:sz w:val="20"/>
        </w:rPr>
      </w:pPr>
    </w:p>
    <w:p w14:paraId="05F13424" w14:textId="77777777" w:rsidR="003F4498" w:rsidRDefault="003F4498">
      <w:pPr>
        <w:spacing w:line="288" w:lineRule="auto"/>
        <w:jc w:val="center"/>
        <w:rPr>
          <w:sz w:val="20"/>
        </w:rPr>
      </w:pPr>
    </w:p>
    <w:p w14:paraId="116A05B3" w14:textId="77777777" w:rsidR="003F4498" w:rsidRDefault="003F4498">
      <w:pPr>
        <w:spacing w:after="100" w:line="288" w:lineRule="auto"/>
        <w:jc w:val="center"/>
        <w:rPr>
          <w:sz w:val="20"/>
        </w:rPr>
      </w:pPr>
    </w:p>
    <w:tbl>
      <w:tblPr>
        <w:tblW w:w="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77"/>
        <w:gridCol w:w="3672"/>
      </w:tblGrid>
      <w:tr w:rsidR="003F4498" w14:paraId="4DDF43A6" w14:textId="77777777">
        <w:trPr>
          <w:cantSplit/>
          <w:trHeight w:hRule="exact" w:val="300"/>
        </w:trPr>
        <w:tc>
          <w:tcPr>
            <w:tcW w:w="3600" w:type="dxa"/>
            <w:tcBorders>
              <w:top w:val="nil"/>
              <w:left w:val="nil"/>
              <w:bottom w:val="nil"/>
              <w:right w:val="nil"/>
            </w:tcBorders>
            <w:tcMar>
              <w:top w:w="0" w:type="dxa"/>
              <w:left w:w="53" w:type="dxa"/>
              <w:bottom w:w="0" w:type="dxa"/>
              <w:right w:w="53" w:type="dxa"/>
            </w:tcMar>
            <w:vAlign w:val="bottom"/>
          </w:tcPr>
          <w:p w14:paraId="2B69557B" w14:textId="77777777" w:rsidR="003F4498" w:rsidRDefault="00A90788">
            <w:pPr>
              <w:keepNext/>
              <w:spacing w:before="75" w:after="30"/>
            </w:pPr>
            <w:r>
              <w:rPr>
                <w:rFonts w:ascii="Arial" w:eastAsia="Arial" w:hAnsi="Arial" w:cs="Arial"/>
                <w:b/>
                <w:color w:val="000000"/>
                <w:sz w:val="22"/>
              </w:rPr>
              <w:t>Investor Contact:</w:t>
            </w:r>
          </w:p>
        </w:tc>
        <w:tc>
          <w:tcPr>
            <w:tcW w:w="75" w:type="dxa"/>
            <w:tcBorders>
              <w:top w:val="nil"/>
              <w:left w:val="nil"/>
              <w:bottom w:val="nil"/>
              <w:right w:val="nil"/>
            </w:tcBorders>
            <w:tcMar>
              <w:top w:w="0" w:type="dxa"/>
              <w:left w:w="0" w:type="dxa"/>
              <w:bottom w:w="0" w:type="dxa"/>
              <w:right w:w="0" w:type="dxa"/>
            </w:tcMar>
            <w:vAlign w:val="bottom"/>
          </w:tcPr>
          <w:p w14:paraId="03012508" w14:textId="77777777" w:rsidR="003F4498" w:rsidRDefault="003F4498">
            <w:pPr>
              <w:keepNext/>
            </w:pPr>
          </w:p>
        </w:tc>
        <w:tc>
          <w:tcPr>
            <w:tcW w:w="3600" w:type="dxa"/>
            <w:tcBorders>
              <w:top w:val="nil"/>
              <w:left w:val="nil"/>
              <w:bottom w:val="nil"/>
              <w:right w:val="nil"/>
            </w:tcBorders>
            <w:tcMar>
              <w:top w:w="0" w:type="dxa"/>
              <w:left w:w="53" w:type="dxa"/>
              <w:bottom w:w="0" w:type="dxa"/>
              <w:right w:w="53" w:type="dxa"/>
            </w:tcMar>
            <w:vAlign w:val="bottom"/>
          </w:tcPr>
          <w:p w14:paraId="5DF6531C" w14:textId="77777777" w:rsidR="003F4498" w:rsidRDefault="00A90788">
            <w:pPr>
              <w:keepNext/>
              <w:spacing w:before="75" w:after="30"/>
            </w:pPr>
            <w:r>
              <w:rPr>
                <w:rFonts w:ascii="Arial" w:eastAsia="Arial" w:hAnsi="Arial" w:cs="Arial"/>
                <w:b/>
                <w:color w:val="000000"/>
                <w:sz w:val="22"/>
              </w:rPr>
              <w:t>Media Contact:</w:t>
            </w:r>
          </w:p>
        </w:tc>
      </w:tr>
      <w:tr w:rsidR="003F4498" w14:paraId="5EF21B50" w14:textId="77777777">
        <w:trPr>
          <w:cantSplit/>
          <w:trHeight w:hRule="exact" w:val="300"/>
        </w:trPr>
        <w:tc>
          <w:tcPr>
            <w:tcW w:w="3600" w:type="dxa"/>
            <w:tcBorders>
              <w:top w:val="nil"/>
              <w:left w:val="nil"/>
              <w:bottom w:val="nil"/>
              <w:right w:val="nil"/>
            </w:tcBorders>
            <w:tcMar>
              <w:top w:w="0" w:type="dxa"/>
              <w:left w:w="0" w:type="dxa"/>
              <w:bottom w:w="0" w:type="dxa"/>
              <w:right w:w="0" w:type="dxa"/>
            </w:tcMar>
            <w:vAlign w:val="bottom"/>
          </w:tcPr>
          <w:p w14:paraId="0933060F" w14:textId="77777777" w:rsidR="003F4498" w:rsidRDefault="003F4498">
            <w:pPr>
              <w:keepNext/>
            </w:pPr>
          </w:p>
        </w:tc>
        <w:tc>
          <w:tcPr>
            <w:tcW w:w="75" w:type="dxa"/>
            <w:tcBorders>
              <w:top w:val="nil"/>
              <w:left w:val="nil"/>
              <w:bottom w:val="nil"/>
              <w:right w:val="nil"/>
            </w:tcBorders>
            <w:tcMar>
              <w:top w:w="0" w:type="dxa"/>
              <w:left w:w="0" w:type="dxa"/>
              <w:bottom w:w="0" w:type="dxa"/>
              <w:right w:w="0" w:type="dxa"/>
            </w:tcMar>
            <w:vAlign w:val="bottom"/>
          </w:tcPr>
          <w:p w14:paraId="057C1D42" w14:textId="77777777" w:rsidR="003F4498" w:rsidRDefault="003F4498">
            <w:pPr>
              <w:keepNext/>
            </w:pPr>
          </w:p>
        </w:tc>
        <w:tc>
          <w:tcPr>
            <w:tcW w:w="3600" w:type="dxa"/>
            <w:tcBorders>
              <w:top w:val="nil"/>
              <w:left w:val="nil"/>
              <w:bottom w:val="nil"/>
              <w:right w:val="nil"/>
            </w:tcBorders>
            <w:tcMar>
              <w:top w:w="0" w:type="dxa"/>
              <w:left w:w="0" w:type="dxa"/>
              <w:bottom w:w="0" w:type="dxa"/>
              <w:right w:w="0" w:type="dxa"/>
            </w:tcMar>
            <w:vAlign w:val="bottom"/>
          </w:tcPr>
          <w:p w14:paraId="057B1C1C" w14:textId="77777777" w:rsidR="003F4498" w:rsidRDefault="003F4498">
            <w:pPr>
              <w:keepNext/>
            </w:pPr>
          </w:p>
        </w:tc>
      </w:tr>
      <w:tr w:rsidR="003F4498" w14:paraId="77DB07D2" w14:textId="77777777">
        <w:trPr>
          <w:cantSplit/>
          <w:trHeight w:hRule="exact" w:val="300"/>
        </w:trPr>
        <w:tc>
          <w:tcPr>
            <w:tcW w:w="3600" w:type="dxa"/>
            <w:tcBorders>
              <w:top w:val="nil"/>
              <w:left w:val="nil"/>
              <w:bottom w:val="nil"/>
              <w:right w:val="nil"/>
            </w:tcBorders>
            <w:tcMar>
              <w:top w:w="0" w:type="dxa"/>
              <w:left w:w="53" w:type="dxa"/>
              <w:bottom w:w="0" w:type="dxa"/>
              <w:right w:w="53" w:type="dxa"/>
            </w:tcMar>
            <w:vAlign w:val="bottom"/>
          </w:tcPr>
          <w:p w14:paraId="090EAE4C" w14:textId="77777777" w:rsidR="003F4498" w:rsidRDefault="00A90788">
            <w:pPr>
              <w:keepNext/>
              <w:spacing w:before="75" w:after="30"/>
            </w:pPr>
            <w:r>
              <w:rPr>
                <w:rFonts w:ascii="Arial" w:eastAsia="Arial" w:hAnsi="Arial" w:cs="Arial"/>
                <w:color w:val="000000"/>
                <w:sz w:val="22"/>
              </w:rPr>
              <w:t xml:space="preserve">Peter Salkowski </w:t>
            </w:r>
          </w:p>
        </w:tc>
        <w:tc>
          <w:tcPr>
            <w:tcW w:w="75" w:type="dxa"/>
            <w:tcBorders>
              <w:top w:val="nil"/>
              <w:left w:val="nil"/>
              <w:bottom w:val="nil"/>
              <w:right w:val="nil"/>
            </w:tcBorders>
            <w:tcMar>
              <w:top w:w="0" w:type="dxa"/>
              <w:left w:w="0" w:type="dxa"/>
              <w:bottom w:w="0" w:type="dxa"/>
              <w:right w:w="0" w:type="dxa"/>
            </w:tcMar>
            <w:vAlign w:val="bottom"/>
          </w:tcPr>
          <w:p w14:paraId="1341521C" w14:textId="77777777" w:rsidR="003F4498" w:rsidRDefault="003F4498">
            <w:pPr>
              <w:keepNext/>
            </w:pPr>
          </w:p>
        </w:tc>
        <w:tc>
          <w:tcPr>
            <w:tcW w:w="3600" w:type="dxa"/>
            <w:tcBorders>
              <w:top w:val="nil"/>
              <w:left w:val="nil"/>
              <w:bottom w:val="nil"/>
              <w:right w:val="nil"/>
            </w:tcBorders>
            <w:tcMar>
              <w:top w:w="0" w:type="dxa"/>
              <w:left w:w="53" w:type="dxa"/>
              <w:bottom w:w="0" w:type="dxa"/>
              <w:right w:w="53" w:type="dxa"/>
            </w:tcMar>
            <w:vAlign w:val="bottom"/>
          </w:tcPr>
          <w:p w14:paraId="4BF7AE00" w14:textId="77777777" w:rsidR="003F4498" w:rsidRDefault="00A90788">
            <w:pPr>
              <w:keepNext/>
              <w:spacing w:before="75" w:after="30"/>
            </w:pPr>
            <w:r>
              <w:rPr>
                <w:rFonts w:ascii="Arial" w:eastAsia="Arial" w:hAnsi="Arial" w:cs="Arial"/>
                <w:color w:val="000000"/>
                <w:sz w:val="22"/>
              </w:rPr>
              <w:t>Sandra Wheatley</w:t>
            </w:r>
          </w:p>
        </w:tc>
      </w:tr>
      <w:tr w:rsidR="003F4498" w14:paraId="54F823A2" w14:textId="77777777">
        <w:trPr>
          <w:cantSplit/>
          <w:trHeight w:hRule="exact" w:val="300"/>
        </w:trPr>
        <w:tc>
          <w:tcPr>
            <w:tcW w:w="3600" w:type="dxa"/>
            <w:tcBorders>
              <w:top w:val="nil"/>
              <w:left w:val="nil"/>
              <w:bottom w:val="nil"/>
              <w:right w:val="nil"/>
            </w:tcBorders>
            <w:tcMar>
              <w:top w:w="0" w:type="dxa"/>
              <w:left w:w="53" w:type="dxa"/>
              <w:bottom w:w="0" w:type="dxa"/>
              <w:right w:w="53" w:type="dxa"/>
            </w:tcMar>
            <w:vAlign w:val="bottom"/>
          </w:tcPr>
          <w:p w14:paraId="28C7EA9E" w14:textId="77777777" w:rsidR="003F4498" w:rsidRDefault="00A90788">
            <w:pPr>
              <w:keepNext/>
              <w:spacing w:before="75" w:after="30"/>
            </w:pPr>
            <w:r>
              <w:rPr>
                <w:rFonts w:ascii="Arial" w:eastAsia="Arial" w:hAnsi="Arial" w:cs="Arial"/>
                <w:color w:val="000000"/>
                <w:sz w:val="22"/>
              </w:rPr>
              <w:t>Fortinet, Inc.</w:t>
            </w:r>
          </w:p>
        </w:tc>
        <w:tc>
          <w:tcPr>
            <w:tcW w:w="75" w:type="dxa"/>
            <w:tcBorders>
              <w:top w:val="nil"/>
              <w:left w:val="nil"/>
              <w:bottom w:val="nil"/>
              <w:right w:val="nil"/>
            </w:tcBorders>
            <w:tcMar>
              <w:top w:w="0" w:type="dxa"/>
              <w:left w:w="0" w:type="dxa"/>
              <w:bottom w:w="0" w:type="dxa"/>
              <w:right w:w="0" w:type="dxa"/>
            </w:tcMar>
            <w:vAlign w:val="bottom"/>
          </w:tcPr>
          <w:p w14:paraId="18807576" w14:textId="77777777" w:rsidR="003F4498" w:rsidRDefault="003F4498">
            <w:pPr>
              <w:keepNext/>
            </w:pPr>
          </w:p>
        </w:tc>
        <w:tc>
          <w:tcPr>
            <w:tcW w:w="3600" w:type="dxa"/>
            <w:tcBorders>
              <w:top w:val="nil"/>
              <w:left w:val="nil"/>
              <w:bottom w:val="nil"/>
              <w:right w:val="nil"/>
            </w:tcBorders>
            <w:tcMar>
              <w:top w:w="0" w:type="dxa"/>
              <w:left w:w="53" w:type="dxa"/>
              <w:bottom w:w="0" w:type="dxa"/>
              <w:right w:w="53" w:type="dxa"/>
            </w:tcMar>
            <w:vAlign w:val="bottom"/>
          </w:tcPr>
          <w:p w14:paraId="1326DCFA" w14:textId="77777777" w:rsidR="003F4498" w:rsidRDefault="00A90788">
            <w:pPr>
              <w:keepNext/>
              <w:spacing w:before="75" w:after="30"/>
            </w:pPr>
            <w:r>
              <w:rPr>
                <w:rFonts w:ascii="Arial" w:eastAsia="Arial" w:hAnsi="Arial" w:cs="Arial"/>
                <w:color w:val="000000"/>
                <w:sz w:val="22"/>
              </w:rPr>
              <w:t>Fortinet, Inc.</w:t>
            </w:r>
          </w:p>
        </w:tc>
      </w:tr>
      <w:tr w:rsidR="003F4498" w14:paraId="7B2CD66C" w14:textId="77777777">
        <w:trPr>
          <w:cantSplit/>
          <w:trHeight w:hRule="exact" w:val="300"/>
        </w:trPr>
        <w:tc>
          <w:tcPr>
            <w:tcW w:w="3600" w:type="dxa"/>
            <w:tcBorders>
              <w:top w:val="nil"/>
              <w:left w:val="nil"/>
              <w:bottom w:val="nil"/>
              <w:right w:val="nil"/>
            </w:tcBorders>
            <w:tcMar>
              <w:top w:w="0" w:type="dxa"/>
              <w:left w:w="53" w:type="dxa"/>
              <w:bottom w:w="0" w:type="dxa"/>
              <w:right w:w="53" w:type="dxa"/>
            </w:tcMar>
            <w:vAlign w:val="bottom"/>
          </w:tcPr>
          <w:p w14:paraId="4E7BDC43" w14:textId="77777777" w:rsidR="003F4498" w:rsidRDefault="00A90788">
            <w:pPr>
              <w:keepNext/>
              <w:spacing w:before="75" w:after="30"/>
            </w:pPr>
            <w:r>
              <w:rPr>
                <w:rFonts w:ascii="Arial" w:eastAsia="Arial" w:hAnsi="Arial" w:cs="Arial"/>
                <w:color w:val="000000"/>
                <w:sz w:val="22"/>
              </w:rPr>
              <w:t>408-331-4595</w:t>
            </w:r>
          </w:p>
        </w:tc>
        <w:tc>
          <w:tcPr>
            <w:tcW w:w="75" w:type="dxa"/>
            <w:tcBorders>
              <w:top w:val="nil"/>
              <w:left w:val="nil"/>
              <w:bottom w:val="nil"/>
              <w:right w:val="nil"/>
            </w:tcBorders>
            <w:tcMar>
              <w:top w:w="0" w:type="dxa"/>
              <w:left w:w="0" w:type="dxa"/>
              <w:bottom w:w="0" w:type="dxa"/>
              <w:right w:w="0" w:type="dxa"/>
            </w:tcMar>
            <w:vAlign w:val="bottom"/>
          </w:tcPr>
          <w:p w14:paraId="00BDCB17" w14:textId="77777777" w:rsidR="003F4498" w:rsidRDefault="003F4498">
            <w:pPr>
              <w:keepNext/>
            </w:pPr>
          </w:p>
        </w:tc>
        <w:tc>
          <w:tcPr>
            <w:tcW w:w="3600" w:type="dxa"/>
            <w:tcBorders>
              <w:top w:val="nil"/>
              <w:left w:val="nil"/>
              <w:bottom w:val="nil"/>
              <w:right w:val="nil"/>
            </w:tcBorders>
            <w:tcMar>
              <w:top w:w="0" w:type="dxa"/>
              <w:left w:w="53" w:type="dxa"/>
              <w:bottom w:w="0" w:type="dxa"/>
              <w:right w:w="53" w:type="dxa"/>
            </w:tcMar>
            <w:vAlign w:val="bottom"/>
          </w:tcPr>
          <w:p w14:paraId="0C24CF2E" w14:textId="77777777" w:rsidR="003F4498" w:rsidRDefault="00A90788">
            <w:pPr>
              <w:keepNext/>
              <w:spacing w:before="75" w:after="30"/>
            </w:pPr>
            <w:r>
              <w:rPr>
                <w:rFonts w:ascii="Arial" w:eastAsia="Arial" w:hAnsi="Arial" w:cs="Arial"/>
                <w:color w:val="000000"/>
                <w:sz w:val="22"/>
              </w:rPr>
              <w:t>408-391-9408</w:t>
            </w:r>
          </w:p>
        </w:tc>
      </w:tr>
      <w:tr w:rsidR="003F4498" w14:paraId="074A1550" w14:textId="77777777">
        <w:trPr>
          <w:cantSplit/>
          <w:trHeight w:hRule="exact" w:val="300"/>
        </w:trPr>
        <w:tc>
          <w:tcPr>
            <w:tcW w:w="3600" w:type="dxa"/>
            <w:tcBorders>
              <w:top w:val="nil"/>
              <w:left w:val="nil"/>
              <w:bottom w:val="nil"/>
              <w:right w:val="nil"/>
            </w:tcBorders>
            <w:tcMar>
              <w:top w:w="0" w:type="dxa"/>
              <w:left w:w="53" w:type="dxa"/>
              <w:bottom w:w="0" w:type="dxa"/>
              <w:right w:w="53" w:type="dxa"/>
            </w:tcMar>
            <w:vAlign w:val="bottom"/>
          </w:tcPr>
          <w:p w14:paraId="022AFA37" w14:textId="77777777" w:rsidR="003F4498" w:rsidRDefault="00A90788">
            <w:pPr>
              <w:spacing w:before="75" w:after="30"/>
            </w:pPr>
            <w:r>
              <w:rPr>
                <w:rFonts w:ascii="Arial" w:eastAsia="Arial" w:hAnsi="Arial" w:cs="Arial"/>
                <w:color w:val="000000"/>
                <w:sz w:val="22"/>
              </w:rPr>
              <w:t>psalkowski@fortinet.com</w:t>
            </w:r>
          </w:p>
        </w:tc>
        <w:tc>
          <w:tcPr>
            <w:tcW w:w="75" w:type="dxa"/>
            <w:tcBorders>
              <w:top w:val="nil"/>
              <w:left w:val="nil"/>
              <w:bottom w:val="nil"/>
              <w:right w:val="nil"/>
            </w:tcBorders>
            <w:tcMar>
              <w:top w:w="0" w:type="dxa"/>
              <w:left w:w="0" w:type="dxa"/>
              <w:bottom w:w="0" w:type="dxa"/>
              <w:right w:w="0" w:type="dxa"/>
            </w:tcMar>
            <w:vAlign w:val="bottom"/>
          </w:tcPr>
          <w:p w14:paraId="45CDCD59" w14:textId="77777777" w:rsidR="003F4498" w:rsidRDefault="003F4498"/>
        </w:tc>
        <w:tc>
          <w:tcPr>
            <w:tcW w:w="3600" w:type="dxa"/>
            <w:tcBorders>
              <w:top w:val="nil"/>
              <w:left w:val="nil"/>
              <w:bottom w:val="nil"/>
              <w:right w:val="nil"/>
            </w:tcBorders>
            <w:tcMar>
              <w:top w:w="0" w:type="dxa"/>
              <w:left w:w="53" w:type="dxa"/>
              <w:bottom w:w="0" w:type="dxa"/>
              <w:right w:w="53" w:type="dxa"/>
            </w:tcMar>
            <w:vAlign w:val="bottom"/>
          </w:tcPr>
          <w:p w14:paraId="034BA01C" w14:textId="77777777" w:rsidR="003F4498" w:rsidRDefault="00A90788">
            <w:pPr>
              <w:spacing w:before="75" w:after="30"/>
            </w:pPr>
            <w:r>
              <w:rPr>
                <w:rFonts w:ascii="Arial" w:eastAsia="Arial" w:hAnsi="Arial" w:cs="Arial"/>
                <w:color w:val="000000"/>
                <w:sz w:val="22"/>
              </w:rPr>
              <w:t>swheatley@fortinet.com</w:t>
            </w:r>
          </w:p>
        </w:tc>
      </w:tr>
    </w:tbl>
    <w:p w14:paraId="402047F3" w14:textId="77777777" w:rsidR="003F4498" w:rsidRDefault="003F4498">
      <w:pPr>
        <w:spacing w:before="100" w:line="288" w:lineRule="auto"/>
        <w:rPr>
          <w:sz w:val="20"/>
        </w:rPr>
      </w:pPr>
    </w:p>
    <w:sectPr w:rsidR="003F4498">
      <w:pgSz w:w="12240" w:h="15840"/>
      <w:pgMar w:top="855" w:right="1215" w:bottom="855" w:left="90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FCC15" w14:textId="77777777" w:rsidR="008322A5" w:rsidRDefault="008322A5">
      <w:r>
        <w:separator/>
      </w:r>
    </w:p>
  </w:endnote>
  <w:endnote w:type="continuationSeparator" w:id="0">
    <w:p w14:paraId="1374317A" w14:textId="77777777" w:rsidR="008322A5" w:rsidRDefault="0083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A671" w14:textId="77777777" w:rsidR="003F4498" w:rsidRDefault="003F4498">
    <w:pPr>
      <w:spacing w:line="288" w:lineRule="auto"/>
      <w:ind w:left="-810" w:right="-9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FA497" w14:textId="77777777" w:rsidR="008322A5" w:rsidRDefault="008322A5">
      <w:r>
        <w:separator/>
      </w:r>
    </w:p>
  </w:footnote>
  <w:footnote w:type="continuationSeparator" w:id="0">
    <w:p w14:paraId="5AA7C2E4" w14:textId="77777777" w:rsidR="008322A5" w:rsidRDefault="0083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23B1" w14:textId="77777777" w:rsidR="003F4498" w:rsidRDefault="003F4498">
    <w:pPr>
      <w:spacing w:line="288" w:lineRule="auto"/>
      <w:ind w:left="-810" w:right="-9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7"/>
    <w:multiLevelType w:val="multilevel"/>
    <w:tmpl w:val="00000001"/>
    <w:lvl w:ilvl="0">
      <w:start w:val="1"/>
      <w:numFmt w:val="decimal"/>
      <w:lvlText w:val="•"/>
      <w:lvlJc w:val="left"/>
      <w:pPr>
        <w:tabs>
          <w:tab w:val="num" w:pos="144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C"/>
    <w:multiLevelType w:val="multilevel"/>
    <w:tmpl w:val="00000001"/>
    <w:lvl w:ilvl="0">
      <w:start w:val="1"/>
      <w:numFmt w:val="decimal"/>
      <w:lvlText w:val="•"/>
      <w:lvlJc w:val="left"/>
      <w:pPr>
        <w:tabs>
          <w:tab w:val="num" w:pos="144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11"/>
    <w:multiLevelType w:val="multilevel"/>
    <w:tmpl w:val="00000001"/>
    <w:lvl w:ilvl="0">
      <w:start w:val="1"/>
      <w:numFmt w:val="decimal"/>
      <w:lvlText w:val="•"/>
      <w:lvlJc w:val="left"/>
      <w:pPr>
        <w:tabs>
          <w:tab w:val="num" w:pos="144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16"/>
    <w:multiLevelType w:val="multilevel"/>
    <w:tmpl w:val="00000001"/>
    <w:lvl w:ilvl="0">
      <w:start w:val="1"/>
      <w:numFmt w:val="decimal"/>
      <w:lvlText w:val="•"/>
      <w:lvlJc w:val="left"/>
      <w:pPr>
        <w:tabs>
          <w:tab w:val="num" w:pos="144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2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2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3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15:restartNumberingAfterBreak="0">
    <w:nsid w:val="0000004E"/>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15:restartNumberingAfterBreak="0">
    <w:nsid w:val="0000005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15:restartNumberingAfterBreak="0">
    <w:nsid w:val="0000006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15:restartNumberingAfterBreak="0">
    <w:nsid w:val="0000007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15:restartNumberingAfterBreak="0">
    <w:nsid w:val="0000007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 w15:restartNumberingAfterBreak="0">
    <w:nsid w:val="0000009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 w15:restartNumberingAfterBreak="0">
    <w:nsid w:val="0000009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 w15:restartNumberingAfterBreak="0">
    <w:nsid w:val="000000A0"/>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 w15:restartNumberingAfterBreak="0">
    <w:nsid w:val="000000A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 w15:restartNumberingAfterBreak="0">
    <w:nsid w:val="000000B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 w15:restartNumberingAfterBreak="0">
    <w:nsid w:val="000000B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 w15:restartNumberingAfterBreak="0">
    <w:nsid w:val="000000B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 w15:restartNumberingAfterBreak="0">
    <w:nsid w:val="000000B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35312F"/>
    <w:rsid w:val="003F4498"/>
    <w:rsid w:val="00421918"/>
    <w:rsid w:val="006F54BB"/>
    <w:rsid w:val="008322A5"/>
    <w:rsid w:val="00A77B3E"/>
    <w:rsid w:val="00A90788"/>
    <w:rsid w:val="00AA1F59"/>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40A99"/>
  <w15:docId w15:val="{562C919F-98CE-4388-AD55-2BEAE16C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iscSYMBOL">
    <w:name w:val="DiscSYMBOL•◦▪"/>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5362</Words>
  <Characters>33785</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FTNT Q4-2020 EX 99.1</vt:lpstr>
    </vt:vector>
  </TitlesOfParts>
  <Company/>
  <LinksUpToDate>false</LinksUpToDate>
  <CharactersWithSpaces>39069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FTNT Q4-2020 EX 99.1</dc:title>
  <dc:creator>Irene Yang</dc:creator>
  <cp:lastModifiedBy>Akima</cp:lastModifiedBy>
  <cp:revision>2</cp:revision>
  <dcterms:created xsi:type="dcterms:W3CDTF">2021-02-08T09:17:00Z</dcterms:created>
  <dcterms:modified xsi:type="dcterms:W3CDTF">2021-02-08T09:17:00Z</dcterms:modified>
</cp:coreProperties>
</file>