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H1"/>
        <w:ind w:left="0"/>
        <w:jc w:val="right"/>
        <w:rPr>
          <w:sz w:val="10"/>
          <w:szCs w:val="10"/>
          <w:lang w:val="en-U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364.6pt;margin-top:-13.05pt;width:124.6pt;height:169.45pt;z-index:-251658752;mso-position-horizontal-relative:text;mso-position-vertical-relative:page;mso-width-relative:page;mso-height-relative:page" wrapcoords="1455 493 1007 739 672 1314 672 20204 1007 21107 1119 21107 20593 21107 20705 21107 21040 20286 21264 1314 20705 575 20145 493 1455 493">
            <v:imagedata r:id="rId7" o:title="301_60jahre_fahne_weiss_DE"/>
            <w10:wrap type="through" anchory="page"/>
          </v:shape>
        </w:pict>
      </w:r>
    </w:p>
    <w:p>
      <w:pPr>
        <w:pStyle w:val="H1"/>
        <w:ind w:left="0"/>
        <w:rPr>
          <w:sz w:val="36"/>
          <w:szCs w:val="36"/>
        </w:rPr>
      </w:pPr>
      <w:r>
        <w:rPr>
          <w:sz w:val="36"/>
          <w:szCs w:val="36"/>
        </w:rPr>
        <w:t xml:space="preserve">Lindner Group auf der </w:t>
      </w:r>
      <w:proofErr w:type="spellStart"/>
      <w:r>
        <w:rPr>
          <w:sz w:val="36"/>
          <w:szCs w:val="36"/>
        </w:rPr>
        <w:t>FeuerTrutz</w:t>
      </w:r>
      <w:proofErr w:type="spellEnd"/>
      <w:r>
        <w:rPr>
          <w:sz w:val="36"/>
          <w:szCs w:val="36"/>
        </w:rPr>
        <w:t xml:space="preserve"> 2025</w:t>
      </w:r>
    </w:p>
    <w:p>
      <w:pPr>
        <w:rPr>
          <w:b/>
          <w:color w:val="FF0000"/>
          <w:sz w:val="28"/>
        </w:rPr>
      </w:pPr>
      <w:r>
        <w:rPr>
          <w:b/>
          <w:sz w:val="28"/>
        </w:rPr>
        <w:t>Ganzheitlicher Brandschutz – innovativ, verlässlich, flexibel</w:t>
      </w:r>
    </w:p>
    <w:p>
      <w:pPr>
        <w:spacing w:after="160" w:line="259" w:lineRule="auto"/>
        <w:rPr>
          <w:rFonts w:eastAsia="Calibri"/>
          <w:lang w:eastAsia="en-US"/>
        </w:rPr>
      </w:pPr>
    </w:p>
    <w:p>
      <w:pPr>
        <w:spacing w:after="160" w:line="259" w:lineRule="auto"/>
        <w:rPr>
          <w:rFonts w:eastAsia="Calibri"/>
          <w:lang w:eastAsia="en-US"/>
        </w:rPr>
      </w:pPr>
      <w:r>
        <w:rPr>
          <w:rFonts w:eastAsia="Calibri"/>
          <w:lang w:eastAsia="en-US"/>
        </w:rPr>
        <w:t xml:space="preserve">Sicherheit ist kein Zufall, sondern das Ergebnis durchdachter Lösungen, langjähriger Expertise und ganzheitlicher Planung. Vom 25. bis 26. Juni 2025 versammelt sich die Brandschutzbranche erneut zur </w:t>
      </w:r>
      <w:proofErr w:type="spellStart"/>
      <w:r>
        <w:rPr>
          <w:rFonts w:eastAsia="Calibri"/>
          <w:lang w:eastAsia="en-US"/>
        </w:rPr>
        <w:t>FeuerTrutz</w:t>
      </w:r>
      <w:proofErr w:type="spellEnd"/>
      <w:r>
        <w:rPr>
          <w:rFonts w:eastAsia="Calibri"/>
          <w:lang w:eastAsia="en-US"/>
        </w:rPr>
        <w:t xml:space="preserve"> in Nürnberg und die Lindner Group ist als Impulsgeber wieder mit dabei. </w:t>
      </w:r>
    </w:p>
    <w:p>
      <w:pPr>
        <w:spacing w:after="160" w:line="259" w:lineRule="auto"/>
        <w:rPr>
          <w:rFonts w:eastAsia="Calibri"/>
          <w:lang w:eastAsia="en-US"/>
        </w:rPr>
      </w:pPr>
      <w:r>
        <w:rPr>
          <w:rFonts w:eastAsia="Calibri"/>
          <w:lang w:eastAsia="en-US"/>
        </w:rPr>
        <w:t xml:space="preserve">Unter dem Motto „Damit es gar nicht so weit kommt“ präsentiert Lindner in </w:t>
      </w:r>
      <w:r>
        <w:rPr>
          <w:rFonts w:eastAsia="Calibri"/>
          <w:b/>
          <w:lang w:eastAsia="en-US"/>
        </w:rPr>
        <w:t xml:space="preserve">Halle 4A </w:t>
      </w:r>
      <w:r>
        <w:rPr>
          <w:rFonts w:eastAsia="Calibri"/>
          <w:lang w:eastAsia="en-US"/>
        </w:rPr>
        <w:t>am</w:t>
      </w:r>
      <w:r>
        <w:rPr>
          <w:rFonts w:eastAsia="Calibri"/>
          <w:b/>
          <w:lang w:eastAsia="en-US"/>
        </w:rPr>
        <w:t xml:space="preserve"> Stand</w:t>
      </w:r>
      <w:r>
        <w:t> </w:t>
      </w:r>
      <w:r>
        <w:rPr>
          <w:rFonts w:eastAsia="Calibri"/>
          <w:b/>
          <w:lang w:eastAsia="en-US"/>
        </w:rPr>
        <w:t>411</w:t>
      </w:r>
      <w:r>
        <w:rPr>
          <w:rFonts w:eastAsia="Calibri"/>
          <w:lang w:eastAsia="en-US"/>
        </w:rPr>
        <w:t xml:space="preserve"> die</w:t>
      </w:r>
      <w:bookmarkStart w:id="0" w:name="_GoBack"/>
      <w:bookmarkEnd w:id="0"/>
      <w:r>
        <w:rPr>
          <w:rFonts w:eastAsia="Calibri"/>
          <w:lang w:eastAsia="en-US"/>
        </w:rPr>
        <w:t xml:space="preserve"> neuesten Entwicklungen im vorbeugenden baulichen Brandschutz. Von der Fachplanung über die Visualisierung bis hin zur Montage und Nachweisführung – Lindner bietet alles aus einer Hand. In Zusammenarbeit mit Prüfstellen und dem </w:t>
      </w:r>
      <w:proofErr w:type="spellStart"/>
      <w:r>
        <w:rPr>
          <w:rFonts w:eastAsia="Calibri"/>
          <w:lang w:eastAsia="en-US"/>
        </w:rPr>
        <w:t>DIBt</w:t>
      </w:r>
      <w:proofErr w:type="spellEnd"/>
      <w:r>
        <w:rPr>
          <w:rFonts w:eastAsia="Calibri"/>
          <w:lang w:eastAsia="en-US"/>
        </w:rPr>
        <w:t xml:space="preserve"> entstehen individuelle und dennoch normgerechte Lösungen, die sowohl technisch-funktionale als auch gestalterische Highlights setzen.</w:t>
      </w:r>
    </w:p>
    <w:p>
      <w:pPr>
        <w:spacing w:after="160" w:line="259" w:lineRule="auto"/>
        <w:rPr>
          <w:rFonts w:eastAsia="Calibri"/>
          <w:b/>
          <w:lang w:eastAsia="en-US"/>
        </w:rPr>
      </w:pPr>
      <w:r>
        <w:rPr>
          <w:rFonts w:eastAsia="Calibri"/>
          <w:b/>
          <w:lang w:eastAsia="en-US"/>
        </w:rPr>
        <w:t>100 % sicher. 100 % Lindner.</w:t>
      </w:r>
    </w:p>
    <w:p>
      <w:pPr>
        <w:spacing w:after="160" w:line="259" w:lineRule="auto"/>
        <w:rPr>
          <w:rFonts w:eastAsia="Calibri"/>
          <w:lang w:eastAsia="en-US"/>
        </w:rPr>
      </w:pPr>
      <w:r>
        <w:rPr>
          <w:rFonts w:eastAsia="Calibri"/>
          <w:lang w:eastAsia="en-US"/>
        </w:rPr>
        <w:t xml:space="preserve">Unsere raumabschließenden Systeme, von modularen Trennwandsystemen bis zu designorientierten Ganzglaslösungen, zeichnen sich durch ihre umfassenden Brandschutzklassifizierungen aus. Mit Spezifikationen wie F 30/90 und EI 30/60/90 bieten wir hochentwickelte Lösungen, die sowohl anspruchsvolle Sicherheitsstandards als auch gestalterische Anforderungen erfüllen. Darüber hinaus arbeitet Lindner derzeit an einer gebogenen Ausführung der Life </w:t>
      </w:r>
      <w:proofErr w:type="spellStart"/>
      <w:r>
        <w:rPr>
          <w:rFonts w:eastAsia="Calibri"/>
          <w:lang w:eastAsia="en-US"/>
        </w:rPr>
        <w:t>Freeze</w:t>
      </w:r>
      <w:proofErr w:type="spellEnd"/>
      <w:r>
        <w:rPr>
          <w:rFonts w:eastAsia="Calibri"/>
          <w:lang w:eastAsia="en-US"/>
        </w:rPr>
        <w:t xml:space="preserve"> 137 Glastrennwand – eine vielversprechende Weiterentwicklung im Bereich innovativer Brandschutzlösungen und in der Innenraumgestaltung.</w:t>
      </w:r>
    </w:p>
    <w:p>
      <w:pPr>
        <w:spacing w:after="160" w:line="259" w:lineRule="auto"/>
        <w:rPr>
          <w:rFonts w:eastAsia="Calibri"/>
          <w:b/>
          <w:lang w:eastAsia="en-US"/>
        </w:rPr>
      </w:pPr>
      <w:r>
        <w:rPr>
          <w:rFonts w:eastAsia="Calibri"/>
          <w:b/>
          <w:lang w:eastAsia="en-US"/>
        </w:rPr>
        <w:t>Kompakter Schutz für komplexe Installationen</w:t>
      </w:r>
    </w:p>
    <w:p>
      <w:pPr>
        <w:spacing w:after="160" w:line="259" w:lineRule="auto"/>
        <w:rPr>
          <w:rFonts w:eastAsia="Calibri"/>
          <w:lang w:eastAsia="en-US"/>
        </w:rPr>
      </w:pPr>
      <w:r>
        <w:rPr>
          <w:rFonts w:eastAsia="Calibri"/>
          <w:lang w:eastAsia="en-US"/>
        </w:rPr>
        <w:t xml:space="preserve">Mit der optimierten </w:t>
      </w:r>
      <w:r>
        <w:rPr>
          <w:rFonts w:eastAsia="Calibri"/>
          <w:b/>
          <w:lang w:eastAsia="en-US"/>
        </w:rPr>
        <w:t>F90 Senk-Schiebe-Decke</w:t>
      </w:r>
      <w:r>
        <w:rPr>
          <w:rFonts w:eastAsia="Calibri"/>
          <w:lang w:eastAsia="en-US"/>
        </w:rPr>
        <w:t xml:space="preserve"> zeigt Lindner eine durchdachte Lösung für komplexe Deckenkonstruktionen. Die nach DIN 4102-2 geprüfte Decke bietet mit einem Feuerwiderstand von F/EI 90 oben und F/EI 60 unten zuverlässigen Schutz. Gleichzeitig ermöglicht sie einen werkzeuglosen Zugang zum Deckenhohlraum – ideal für Wartungsarbeiten bei minimalem Aufwand.</w:t>
      </w:r>
    </w:p>
    <w:p>
      <w:pPr>
        <w:spacing w:after="160" w:line="259" w:lineRule="auto"/>
        <w:rPr>
          <w:rFonts w:eastAsia="Calibri"/>
          <w:lang w:eastAsia="en-US"/>
        </w:rPr>
      </w:pPr>
      <w:r>
        <w:rPr>
          <w:rFonts w:eastAsia="Calibri"/>
          <w:lang w:eastAsia="en-US"/>
        </w:rPr>
        <w:t xml:space="preserve">Ergänzend präsentiert Lindner das flexible </w:t>
      </w:r>
      <w:r>
        <w:rPr>
          <w:rFonts w:eastAsia="Calibri"/>
          <w:b/>
          <w:lang w:eastAsia="en-US"/>
        </w:rPr>
        <w:t xml:space="preserve">Kombischott </w:t>
      </w:r>
      <w:proofErr w:type="spellStart"/>
      <w:r>
        <w:rPr>
          <w:rFonts w:eastAsia="Calibri"/>
          <w:b/>
          <w:lang w:eastAsia="en-US"/>
        </w:rPr>
        <w:t>FirePort</w:t>
      </w:r>
      <w:proofErr w:type="spellEnd"/>
      <w:r>
        <w:rPr>
          <w:rFonts w:eastAsia="Calibri"/>
          <w:b/>
          <w:lang w:eastAsia="en-US"/>
        </w:rPr>
        <w:t xml:space="preserve"> EI90</w:t>
      </w:r>
      <w:r>
        <w:rPr>
          <w:rFonts w:eastAsia="Calibri"/>
          <w:lang w:eastAsia="en-US"/>
        </w:rPr>
        <w:t>: eine platzsparende Lösung zur sicheren Abschottung von Kabeln, Leitungen und Rohren in Doppelböden, Trockenbauwänden oder unter Brandschutztüren. Die geprüfte Lösung überzeugt gleichzeitig durch einfache Handhabung und vielseitige Einsatzmöglichkeiten.</w:t>
      </w:r>
    </w:p>
    <w:p>
      <w:pPr>
        <w:spacing w:after="160" w:line="259" w:lineRule="auto"/>
        <w:rPr>
          <w:rFonts w:eastAsia="Calibri"/>
          <w:b/>
          <w:lang w:eastAsia="en-US"/>
        </w:rPr>
      </w:pPr>
      <w:r>
        <w:rPr>
          <w:rFonts w:eastAsia="Calibri"/>
          <w:b/>
          <w:lang w:eastAsia="en-US"/>
        </w:rPr>
        <w:t>Sicherheit in jeder Größe</w:t>
      </w:r>
    </w:p>
    <w:p>
      <w:pPr>
        <w:spacing w:after="160" w:line="259" w:lineRule="auto"/>
        <w:rPr>
          <w:rFonts w:eastAsia="Calibri"/>
          <w:lang w:eastAsia="en-US"/>
        </w:rPr>
      </w:pPr>
      <w:r>
        <w:rPr>
          <w:rFonts w:eastAsia="Calibri"/>
          <w:lang w:eastAsia="en-US"/>
        </w:rPr>
        <w:t xml:space="preserve">Für großformatige Revisionsöffnungen steht zudem die individuell konfigurierbare </w:t>
      </w:r>
      <w:proofErr w:type="spellStart"/>
      <w:r>
        <w:rPr>
          <w:rFonts w:eastAsia="Calibri"/>
          <w:b/>
          <w:lang w:eastAsia="en-US"/>
        </w:rPr>
        <w:t>Fireshield</w:t>
      </w:r>
      <w:proofErr w:type="spellEnd"/>
      <w:r>
        <w:rPr>
          <w:rFonts w:eastAsia="Calibri"/>
          <w:b/>
          <w:lang w:eastAsia="en-US"/>
        </w:rPr>
        <w:t xml:space="preserve"> Revisionstür</w:t>
      </w:r>
      <w:r>
        <w:rPr>
          <w:rFonts w:eastAsia="Calibri"/>
          <w:lang w:eastAsia="en-US"/>
        </w:rPr>
        <w:t xml:space="preserve"> zur Verfügung. Der zugelassene Revisionsöffnungsverschluss schließt Öffnungen in Installationsschächten brandschutztechnisch sicher und schützt über 90 Minuten vor Rauch und Feuer. Individuell in allen Größen und Formaten produziert, bietet </w:t>
      </w:r>
      <w:proofErr w:type="spellStart"/>
      <w:r>
        <w:rPr>
          <w:rFonts w:eastAsia="Calibri"/>
          <w:lang w:eastAsia="en-US"/>
        </w:rPr>
        <w:t>Fireshield</w:t>
      </w:r>
      <w:proofErr w:type="spellEnd"/>
      <w:r>
        <w:rPr>
          <w:rFonts w:eastAsia="Calibri"/>
          <w:lang w:eastAsia="en-US"/>
        </w:rPr>
        <w:t xml:space="preserve"> eine besondere Anpassungsfähigkeit an spezifische Projekt-Anforderungen.</w:t>
      </w:r>
    </w:p>
    <w:p>
      <w:pPr>
        <w:spacing w:line="240" w:lineRule="auto"/>
      </w:pPr>
    </w:p>
    <w:p>
      <w:pPr>
        <w:rPr>
          <w:rFonts w:eastAsia="Arial Unicode MS" w:cs="Arial Unicode MS"/>
          <w:b/>
          <w:bCs/>
          <w:color w:val="E00428"/>
          <w:u w:color="E00428"/>
        </w:rPr>
      </w:pPr>
      <w:r>
        <w:rPr>
          <w:rFonts w:eastAsia="Arial Unicode MS" w:cs="Arial Unicode MS"/>
          <w:b/>
          <w:bCs/>
          <w:color w:val="E00428"/>
          <w:u w:color="E00428"/>
        </w:rPr>
        <w:lastRenderedPageBreak/>
        <w:t>Bilder</w:t>
      </w:r>
    </w:p>
    <w:p>
      <w:r>
        <w:rPr>
          <w:rFonts w:eastAsia="Arial Unicode MS" w:cs="Arial Unicode MS"/>
        </w:rPr>
        <w:t>Bildverweise: © www.Lindner-Group.com</w:t>
      </w:r>
    </w:p>
    <w:p>
      <w:pPr>
        <w:rPr>
          <w:rFonts w:eastAsia="Arial Unicode MS" w:cs="Arial Unicode MS"/>
          <w:b/>
          <w:bCs/>
          <w:color w:val="E00428"/>
          <w:u w:color="E00428"/>
        </w:rPr>
      </w:pPr>
    </w:p>
    <w:p>
      <w:pPr>
        <w:rPr>
          <w:rFonts w:eastAsia="Arial Unicode MS" w:cs="Arial Unicode MS"/>
          <w:b/>
          <w:bCs/>
          <w:color w:val="E00428"/>
          <w:u w:color="E00428"/>
        </w:rPr>
      </w:pPr>
      <w:r>
        <w:rPr>
          <w:rFonts w:eastAsia="Arial Unicode MS" w:cs="Arial Unicode MS"/>
          <w:b/>
          <w:bCs/>
          <w:color w:val="E00428"/>
          <w:u w:color="E00428"/>
        </w:rPr>
        <w:pict>
          <v:shape id="_x0000_i1025" type="#_x0000_t75" style="width:226.6pt;height:170.3pt">
            <v:imagedata r:id="rId8" o:title="Lindner_Feuertrutz"/>
          </v:shape>
        </w:pict>
      </w:r>
    </w:p>
    <w:p>
      <w:r>
        <w:rPr>
          <w:rFonts w:eastAsia="Arial Unicode MS" w:cs="Arial Unicode MS"/>
        </w:rPr>
        <w:t>Lindner_Feuertrutz.jpeg</w:t>
      </w:r>
    </w:p>
    <w:p>
      <w:pPr>
        <w:rPr>
          <w:rFonts w:eastAsia="Arial Unicode MS" w:cs="Arial Unicode MS"/>
          <w:b/>
          <w:bCs/>
          <w:color w:val="E00428"/>
          <w:u w:color="E00428"/>
        </w:rPr>
      </w:pPr>
    </w:p>
    <w:p>
      <w:pPr>
        <w:rPr>
          <w:rFonts w:eastAsia="Arial Unicode MS" w:cs="Arial Unicode MS"/>
          <w:b/>
          <w:bCs/>
          <w:color w:val="E00428"/>
          <w:u w:color="E00428"/>
        </w:rPr>
      </w:pPr>
      <w:r>
        <w:rPr>
          <w:rFonts w:eastAsia="Arial Unicode MS" w:cs="Arial Unicode MS"/>
          <w:b/>
          <w:bCs/>
          <w:color w:val="E00428"/>
          <w:u w:color="E00428"/>
        </w:rPr>
        <w:pict>
          <v:shape id="_x0000_i1026" type="#_x0000_t75" style="width:226.6pt;height:151.4pt">
            <v:imagedata r:id="rId9" o:title="Lindner_Life_Fire_aok-bildungszentrum-rainer-taepper-architekturfotografie-006"/>
          </v:shape>
        </w:pict>
      </w:r>
    </w:p>
    <w:p>
      <w:pPr>
        <w:rPr>
          <w:rFonts w:eastAsia="Arial Unicode MS" w:cs="Arial Unicode MS"/>
        </w:rPr>
      </w:pPr>
      <w:r>
        <w:rPr>
          <w:rFonts w:eastAsia="Arial Unicode MS" w:cs="Arial Unicode MS"/>
        </w:rPr>
        <w:t>Lindner_Life_Fire_aok-bildungszentrum-rainer-taepper-architekturfotografie-006.jpg</w:t>
      </w:r>
    </w:p>
    <w:p>
      <w:pPr>
        <w:rPr>
          <w:rFonts w:eastAsia="Arial Unicode MS" w:cs="Arial Unicode MS"/>
        </w:rPr>
      </w:pPr>
    </w:p>
    <w:p>
      <w:pPr>
        <w:rPr>
          <w:rFonts w:eastAsia="Calibri"/>
          <w:lang w:eastAsia="en-US"/>
        </w:rPr>
      </w:pPr>
    </w:p>
    <w:p>
      <w:pPr>
        <w:rPr>
          <w:rFonts w:eastAsia="Calibri"/>
          <w:lang w:eastAsia="en-US"/>
        </w:rPr>
      </w:pPr>
      <w:r>
        <w:rPr>
          <w:rFonts w:eastAsia="Calibri"/>
          <w:lang w:eastAsia="en-US"/>
        </w:rPr>
        <w:pict>
          <v:shape id="_x0000_i1027" type="#_x0000_t75" style="width:170.3pt;height:113.1pt">
            <v:imagedata r:id="rId10" o:title="Lindner_Decke_F90_Senk-Schiebe_img_de_elkiz_16"/>
          </v:shape>
        </w:pict>
      </w:r>
    </w:p>
    <w:p>
      <w:pPr>
        <w:rPr>
          <w:rFonts w:eastAsia="Calibri"/>
          <w:lang w:eastAsia="en-US"/>
        </w:rPr>
      </w:pPr>
      <w:r>
        <w:rPr>
          <w:rFonts w:eastAsia="Calibri"/>
          <w:lang w:eastAsia="en-US"/>
        </w:rPr>
        <w:t>Lindner_Decke_F90_Senk-Schiebe_img_de_elkiz_16.jpeg</w:t>
      </w:r>
    </w:p>
    <w:p>
      <w:pPr>
        <w:rPr>
          <w:rFonts w:eastAsia="Calibri"/>
          <w:lang w:eastAsia="en-US"/>
        </w:rPr>
      </w:pPr>
    </w:p>
    <w:p>
      <w:pPr>
        <w:rPr>
          <w:rFonts w:eastAsia="Calibri"/>
          <w:lang w:eastAsia="en-US"/>
        </w:rPr>
      </w:pPr>
      <w:r>
        <w:rPr>
          <w:rFonts w:eastAsia="Calibri"/>
          <w:lang w:eastAsia="en-US"/>
        </w:rPr>
        <w:lastRenderedPageBreak/>
        <w:pict>
          <v:shape id="_x0000_i1028" type="#_x0000_t75" style="width:170.3pt;height:140.3pt">
            <v:imagedata r:id="rId11" o:title="Lindner_fireshield_13_00_low"/>
          </v:shape>
        </w:pict>
      </w:r>
    </w:p>
    <w:p>
      <w:pPr>
        <w:rPr>
          <w:rFonts w:eastAsia="Calibri"/>
          <w:lang w:eastAsia="en-US"/>
        </w:rPr>
      </w:pPr>
      <w:r>
        <w:rPr>
          <w:rFonts w:eastAsia="Calibri"/>
          <w:lang w:eastAsia="en-US"/>
        </w:rPr>
        <w:t>Lindner_fireshield_13_00_low.jpg</w:t>
      </w:r>
    </w:p>
    <w:p>
      <w:pPr>
        <w:rPr>
          <w:rFonts w:eastAsia="Calibri"/>
          <w:lang w:eastAsia="en-US"/>
        </w:rPr>
      </w:pPr>
    </w:p>
    <w:p>
      <w:pPr>
        <w:rPr>
          <w:rFonts w:eastAsia="Calibri"/>
          <w:lang w:eastAsia="en-US"/>
        </w:rPr>
      </w:pPr>
      <w:r>
        <w:rPr>
          <w:rFonts w:eastAsia="Calibri"/>
          <w:lang w:eastAsia="en-US"/>
        </w:rPr>
        <w:pict>
          <v:shape id="_x0000_i1029" type="#_x0000_t75" style="width:170.3pt;height:100.6pt">
            <v:imagedata r:id="rId12" o:title="Lindner_bs_fireport_tuer_04b_03"/>
          </v:shape>
        </w:pict>
      </w:r>
    </w:p>
    <w:p>
      <w:pPr>
        <w:rPr>
          <w:rFonts w:eastAsia="Calibri"/>
          <w:lang w:eastAsia="en-US"/>
        </w:rPr>
      </w:pPr>
      <w:r>
        <w:rPr>
          <w:rFonts w:eastAsia="Calibri"/>
          <w:lang w:eastAsia="en-US"/>
        </w:rPr>
        <w:t>Lindner_bs_fireport_tuer_04b_03.jpg</w:t>
      </w:r>
    </w:p>
    <w:p>
      <w:pPr>
        <w:rPr>
          <w:rFonts w:eastAsia="Calibri"/>
          <w:lang w:eastAsia="en-US"/>
        </w:rPr>
      </w:pPr>
    </w:p>
    <w:p>
      <w:pPr>
        <w:rPr>
          <w:rFonts w:eastAsia="Arial Unicode MS" w:cs="Arial Unicode MS"/>
          <w:b/>
          <w:bCs/>
          <w:color w:val="E00428"/>
          <w:u w:color="E00428"/>
        </w:rPr>
      </w:pPr>
    </w:p>
    <w:p>
      <w:pPr>
        <w:rPr>
          <w:b/>
          <w:bCs/>
          <w:color w:val="E00428"/>
          <w:u w:color="E00428"/>
        </w:rPr>
      </w:pPr>
      <w:r>
        <w:rPr>
          <w:rFonts w:eastAsia="Arial Unicode MS" w:cs="Arial Unicode MS"/>
          <w:b/>
          <w:bCs/>
          <w:color w:val="E00428"/>
          <w:u w:color="E00428"/>
        </w:rPr>
        <w:t>Lindner Group</w:t>
      </w:r>
    </w:p>
    <w:p>
      <w:r>
        <w:rPr>
          <w:rFonts w:eastAsia="Arial Unicode MS" w:cs="Arial Unicode MS"/>
        </w:rPr>
        <w:t>Die Lindner Group ist Europas führender Komplettanbieter im Innenausbau, Gebäudehülle, Gebäudetechnik und Isoliertechnik. Mit 60 Jahren Erfahrung im "Bauen mit neuen Lösungen" entwickelt und realisiert Lindner flexible, zukunftsfähige Projektlösungen, die nachhaltigen Mehr.Wert bieten. Mit weltweit 8.000 Mitarbeitern betreibt das Familienunternehmen vom bayerischen Arnstorf aus Produktionsstätten und Tochtergesellschaften in mehr als 40 Ländern.</w:t>
      </w:r>
    </w:p>
    <w:p/>
    <w:p>
      <w:pPr>
        <w:rPr>
          <w:rFonts w:eastAsia="Arial Unicode MS" w:cs="Arial Unicode MS"/>
          <w:b/>
          <w:bCs/>
          <w:color w:val="E00428"/>
          <w:u w:color="E00428"/>
        </w:rPr>
      </w:pPr>
      <w:r>
        <w:rPr>
          <w:rFonts w:eastAsia="Arial Unicode MS" w:cs="Arial Unicode MS"/>
          <w:b/>
          <w:bCs/>
          <w:color w:val="E00428"/>
          <w:u w:color="E00428"/>
        </w:rPr>
        <w:t>Lindner Group</w:t>
      </w:r>
    </w:p>
    <w:p>
      <w:pPr>
        <w:tabs>
          <w:tab w:val="left" w:pos="6663"/>
        </w:tabs>
        <w:ind w:firstLine="1"/>
        <w:rPr>
          <w:rFonts w:eastAsia="Arial Unicode MS" w:cs="Arial Unicode MS"/>
        </w:rPr>
      </w:pPr>
      <w:r>
        <w:rPr>
          <w:rFonts w:eastAsia="Arial Unicode MS" w:cs="Arial Unicode MS"/>
        </w:rPr>
        <w:t>Pressekontakt: Christina Rieger</w:t>
      </w:r>
    </w:p>
    <w:p>
      <w:pPr>
        <w:tabs>
          <w:tab w:val="left" w:pos="6663"/>
        </w:tabs>
        <w:ind w:firstLine="1"/>
        <w:rPr>
          <w:rFonts w:eastAsia="Arial Unicode MS" w:cs="Arial Unicode MS"/>
        </w:rPr>
      </w:pPr>
      <w:r>
        <w:rPr>
          <w:rFonts w:eastAsia="Arial Unicode MS" w:cs="Arial Unicode MS"/>
        </w:rPr>
        <w:t>Bahnhofstraße 29, 94424 Arnstorf</w:t>
      </w:r>
    </w:p>
    <w:p>
      <w:pPr>
        <w:tabs>
          <w:tab w:val="left" w:pos="6663"/>
        </w:tabs>
        <w:ind w:firstLine="1"/>
        <w:rPr>
          <w:rFonts w:eastAsia="Arial Unicode MS" w:cs="Arial Unicode MS"/>
        </w:rPr>
      </w:pPr>
      <w:r>
        <w:rPr>
          <w:rFonts w:eastAsia="Arial Unicode MS" w:cs="Arial Unicode MS"/>
        </w:rPr>
        <w:t>Telefon +49 8723 20-3148</w:t>
      </w:r>
    </w:p>
    <w:p>
      <w:pPr>
        <w:tabs>
          <w:tab w:val="left" w:pos="6663"/>
        </w:tabs>
        <w:ind w:firstLine="1"/>
        <w:rPr>
          <w:rFonts w:eastAsia="Arial Unicode MS" w:cs="Arial Unicode MS"/>
        </w:rPr>
      </w:pPr>
      <w:r>
        <w:rPr>
          <w:rFonts w:eastAsia="Arial Unicode MS" w:cs="Arial Unicode MS"/>
        </w:rPr>
        <w:t>Christina.Rieger@Lindner-Group.com</w:t>
      </w:r>
    </w:p>
    <w:p/>
    <w:p>
      <w:pPr>
        <w:rPr>
          <w:b/>
          <w:bCs/>
          <w:color w:val="E40428"/>
          <w:u w:color="E40428"/>
        </w:rPr>
      </w:pPr>
      <w:r>
        <w:rPr>
          <w:rFonts w:eastAsia="Arial Unicode MS" w:cs="Arial Unicode MS"/>
          <w:b/>
          <w:bCs/>
          <w:color w:val="E40428"/>
          <w:u w:color="E40428"/>
        </w:rPr>
        <w:t xml:space="preserve">Weitere Infos unter </w:t>
      </w:r>
      <w:hyperlink r:id="rId13" w:history="1">
        <w:r>
          <w:rPr>
            <w:rStyle w:val="Hyperlink0"/>
            <w:rFonts w:eastAsia="Arial Unicode MS" w:cs="Arial Unicode MS"/>
          </w:rPr>
          <w:t>www.Lindner-Group.com</w:t>
        </w:r>
      </w:hyperlink>
    </w:p>
    <w:p>
      <w:pPr>
        <w:pStyle w:val="EinfAbs"/>
        <w:rPr>
          <w:rFonts w:ascii="Arial" w:eastAsia="Arial" w:hAnsi="Arial" w:cs="Arial"/>
          <w:sz w:val="20"/>
          <w:szCs w:val="20"/>
          <w:lang w:val="en-US"/>
        </w:rPr>
      </w:pPr>
      <w:hyperlink r:id="rId14" w:history="1">
        <w:r>
          <w:rPr>
            <w:rStyle w:val="Hyperlink1"/>
          </w:rPr>
          <w:t>LinkedIn</w:t>
        </w:r>
      </w:hyperlink>
      <w:r>
        <w:rPr>
          <w:rFonts w:ascii="Arial" w:hAnsi="Arial"/>
          <w:sz w:val="20"/>
          <w:szCs w:val="20"/>
          <w:lang w:val="en-US"/>
        </w:rPr>
        <w:t xml:space="preserve"> | </w:t>
      </w:r>
      <w:hyperlink r:id="rId15" w:history="1">
        <w:r>
          <w:rPr>
            <w:rStyle w:val="Hyperlink1"/>
          </w:rPr>
          <w:t>Instagram</w:t>
        </w:r>
      </w:hyperlink>
      <w:r>
        <w:rPr>
          <w:rStyle w:val="Link"/>
          <w:rFonts w:ascii="Arial" w:hAnsi="Arial"/>
          <w:color w:val="000000"/>
          <w:sz w:val="20"/>
          <w:szCs w:val="20"/>
          <w:u w:val="none" w:color="000000"/>
          <w:lang w:val="en-US"/>
        </w:rPr>
        <w:t xml:space="preserve"> | </w:t>
      </w:r>
      <w:hyperlink r:id="rId16" w:history="1">
        <w:r>
          <w:rPr>
            <w:rStyle w:val="Hyperlink1"/>
          </w:rPr>
          <w:t>Facebook</w:t>
        </w:r>
      </w:hyperlink>
      <w:r>
        <w:rPr>
          <w:rStyle w:val="Link"/>
          <w:rFonts w:ascii="Arial" w:hAnsi="Arial"/>
          <w:color w:val="000000"/>
          <w:sz w:val="20"/>
          <w:szCs w:val="20"/>
          <w:u w:val="none" w:color="000000"/>
          <w:lang w:val="en-US"/>
        </w:rPr>
        <w:t xml:space="preserve"> | </w:t>
      </w:r>
      <w:hyperlink r:id="rId17" w:history="1">
        <w:r>
          <w:rPr>
            <w:rStyle w:val="Hyperlink1"/>
          </w:rPr>
          <w:t>Pinterest</w:t>
        </w:r>
      </w:hyperlink>
      <w:r>
        <w:rPr>
          <w:rFonts w:ascii="Arial" w:hAnsi="Arial"/>
          <w:sz w:val="20"/>
          <w:szCs w:val="20"/>
          <w:lang w:val="en-US"/>
        </w:rPr>
        <w:t xml:space="preserve"> | </w:t>
      </w:r>
      <w:hyperlink r:id="rId18" w:history="1">
        <w:r>
          <w:rPr>
            <w:rStyle w:val="Hyperlink1"/>
          </w:rPr>
          <w:t>YouTube</w:t>
        </w:r>
      </w:hyperlink>
    </w:p>
    <w:p>
      <w:pPr>
        <w:rPr>
          <w:lang w:val="en-GB"/>
        </w:rPr>
      </w:pPr>
    </w:p>
    <w:sectPr>
      <w:headerReference w:type="default" r:id="rId19"/>
      <w:footerReference w:type="default" r:id="rId20"/>
      <w:headerReference w:type="first" r:id="rId21"/>
      <w:footerReference w:type="first" r:id="rId22"/>
      <w:pgSz w:w="11900" w:h="16840"/>
      <w:pgMar w:top="2722" w:right="1247" w:bottom="1134" w:left="1247" w:header="3061"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Arial">
    <w:panose1 w:val="020B0604020202020204"/>
    <w:charset w:val="00"/>
    <w:family w:val="swiss"/>
    <w:pitch w:val="variable"/>
    <w:sig w:usb0="E0002EFF" w:usb1="C000785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Neue">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pBdr>
        <w:top w:val="single" w:sz="4" w:space="0" w:color="000000"/>
      </w:pBdr>
      <w:tabs>
        <w:tab w:val="clear" w:pos="4536"/>
        <w:tab w:val="clear" w:pos="9072"/>
        <w:tab w:val="center" w:pos="4820"/>
        <w:tab w:val="right" w:pos="9386"/>
      </w:tabs>
      <w:jc w:val="center"/>
    </w:pPr>
    <w:r>
      <w:rPr>
        <w:sz w:val="16"/>
        <w:szCs w:val="16"/>
      </w:rPr>
      <w:tab/>
      <w:t xml:space="preserve">Seite </w:t>
    </w:r>
    <w:r>
      <w:rPr>
        <w:sz w:val="16"/>
        <w:szCs w:val="16"/>
      </w:rPr>
      <w:fldChar w:fldCharType="begin"/>
    </w:r>
    <w:r>
      <w:rPr>
        <w:sz w:val="16"/>
        <w:szCs w:val="16"/>
      </w:rPr>
      <w:instrText xml:space="preserve"> PAGE </w:instrText>
    </w:r>
    <w:r>
      <w:rPr>
        <w:sz w:val="16"/>
        <w:szCs w:val="16"/>
      </w:rPr>
      <w:fldChar w:fldCharType="separate"/>
    </w:r>
    <w:r>
      <w:rPr>
        <w:noProof/>
        <w:sz w:val="16"/>
        <w:szCs w:val="16"/>
      </w:rPr>
      <w:t>3</w:t>
    </w:r>
    <w:r>
      <w:rPr>
        <w:sz w:val="16"/>
        <w:szCs w:val="16"/>
      </w:rPr>
      <w:fldChar w:fldCharType="end"/>
    </w:r>
    <w:r>
      <w:rPr>
        <w:sz w:val="16"/>
        <w:szCs w:val="16"/>
      </w:rPr>
      <w:t xml:space="preserve"> von </w:t>
    </w:r>
    <w:r>
      <w:rPr>
        <w:sz w:val="16"/>
        <w:szCs w:val="16"/>
      </w:rPr>
      <w:fldChar w:fldCharType="begin"/>
    </w:r>
    <w:r>
      <w:rPr>
        <w:sz w:val="16"/>
        <w:szCs w:val="16"/>
      </w:rPr>
      <w:instrText xml:space="preserve"> NUMPAGES </w:instrText>
    </w:r>
    <w:r>
      <w:rPr>
        <w:sz w:val="16"/>
        <w:szCs w:val="16"/>
      </w:rPr>
      <w:fldChar w:fldCharType="separate"/>
    </w:r>
    <w:r>
      <w:rPr>
        <w:noProof/>
        <w:sz w:val="16"/>
        <w:szCs w:val="16"/>
      </w:rPr>
      <w:t>3</w:t>
    </w:r>
    <w:r>
      <w:rPr>
        <w:sz w:val="16"/>
        <w:szCs w:val="16"/>
      </w:rPr>
      <w:fldChar w:fldCharType="end"/>
    </w:r>
    <w:r>
      <w:rPr>
        <w:sz w:val="16"/>
        <w:szCs w:val="16"/>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pBdr>
        <w:top w:val="single" w:sz="4" w:space="0" w:color="000000"/>
      </w:pBdr>
      <w:tabs>
        <w:tab w:val="clear" w:pos="4536"/>
        <w:tab w:val="clear" w:pos="9072"/>
        <w:tab w:val="center" w:pos="4820"/>
        <w:tab w:val="right" w:pos="9386"/>
      </w:tabs>
      <w:jc w:val="center"/>
    </w:pPr>
    <w:r>
      <w:rPr>
        <w:sz w:val="16"/>
        <w:szCs w:val="16"/>
      </w:rPr>
      <w:tab/>
      <w:t xml:space="preserve">Seite </w:t>
    </w:r>
    <w:r>
      <w:rPr>
        <w:sz w:val="16"/>
        <w:szCs w:val="16"/>
      </w:rPr>
      <w:fldChar w:fldCharType="begin"/>
    </w:r>
    <w:r>
      <w:rPr>
        <w:sz w:val="16"/>
        <w:szCs w:val="16"/>
      </w:rPr>
      <w:instrText xml:space="preserve"> PAGE </w:instrText>
    </w:r>
    <w:r>
      <w:rPr>
        <w:sz w:val="16"/>
        <w:szCs w:val="16"/>
      </w:rPr>
      <w:fldChar w:fldCharType="separate"/>
    </w:r>
    <w:r>
      <w:rPr>
        <w:noProof/>
        <w:sz w:val="16"/>
        <w:szCs w:val="16"/>
      </w:rPr>
      <w:t>1</w:t>
    </w:r>
    <w:r>
      <w:rPr>
        <w:sz w:val="16"/>
        <w:szCs w:val="16"/>
      </w:rPr>
      <w:fldChar w:fldCharType="end"/>
    </w:r>
    <w:r>
      <w:rPr>
        <w:sz w:val="16"/>
        <w:szCs w:val="16"/>
      </w:rPr>
      <w:t xml:space="preserve"> von </w:t>
    </w:r>
    <w:r>
      <w:rPr>
        <w:sz w:val="16"/>
        <w:szCs w:val="16"/>
      </w:rPr>
      <w:fldChar w:fldCharType="begin"/>
    </w:r>
    <w:r>
      <w:rPr>
        <w:sz w:val="16"/>
        <w:szCs w:val="16"/>
      </w:rPr>
      <w:instrText xml:space="preserve"> NUMPAGES </w:instrText>
    </w:r>
    <w:r>
      <w:rPr>
        <w:sz w:val="16"/>
        <w:szCs w:val="16"/>
      </w:rPr>
      <w:fldChar w:fldCharType="separate"/>
    </w:r>
    <w:r>
      <w:rPr>
        <w:noProof/>
        <w:sz w:val="16"/>
        <w:szCs w:val="16"/>
      </w:rPr>
      <w:t>3</w:t>
    </w:r>
    <w:r>
      <w:rPr>
        <w:sz w:val="16"/>
        <w:szCs w:val="16"/>
      </w:rPr>
      <w:fldChar w:fldCharType="end"/>
    </w:r>
    <w:r>
      <w:rPr>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pPr>
        <w:spacing w:line="240" w:lineRule="auto"/>
      </w:pPr>
      <w:r>
        <w:separator/>
      </w:r>
    </w:p>
  </w:footnote>
  <w:footnote w:type="continuationSeparator" w:id="0">
    <w:p>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jc w:val="right"/>
    </w:pPr>
    <w:r>
      <w:rPr>
        <w:noProof/>
      </w:rPr>
      <w:drawing>
        <wp:anchor distT="152400" distB="152400" distL="152400" distR="152400" simplePos="0" relativeHeight="251657216" behindDoc="1" locked="0" layoutInCell="1" allowOverlap="1">
          <wp:simplePos x="0" y="0"/>
          <wp:positionH relativeFrom="page">
            <wp:posOffset>791844</wp:posOffset>
          </wp:positionH>
          <wp:positionV relativeFrom="page">
            <wp:posOffset>791844</wp:posOffset>
          </wp:positionV>
          <wp:extent cx="1922400" cy="288001"/>
          <wp:effectExtent l="0" t="0" r="0" b="0"/>
          <wp:wrapNone/>
          <wp:docPr id="1073741825" name="officeArt object" descr="C:\temp\notes534BC8\Lindner_Logo_Rot.png"/>
          <wp:cNvGraphicFramePr/>
          <a:graphic xmlns:a="http://schemas.openxmlformats.org/drawingml/2006/main">
            <a:graphicData uri="http://schemas.openxmlformats.org/drawingml/2006/picture">
              <pic:pic xmlns:pic="http://schemas.openxmlformats.org/drawingml/2006/picture">
                <pic:nvPicPr>
                  <pic:cNvPr id="1073741825" name="C:\temp\notes534BC8\Lindner_Logo_Rot.png" descr="C:\temp\notes534BC8\Lindner_Logo_Rot.png"/>
                  <pic:cNvPicPr>
                    <a:picLocks noChangeAspect="1"/>
                  </pic:cNvPicPr>
                </pic:nvPicPr>
                <pic:blipFill>
                  <a:blip r:embed="rId1">
                    <a:extLst/>
                  </a:blip>
                  <a:stretch>
                    <a:fillRect/>
                  </a:stretch>
                </pic:blipFill>
                <pic:spPr>
                  <a:xfrm>
                    <a:off x="0" y="0"/>
                    <a:ext cx="1922400" cy="288001"/>
                  </a:xfrm>
                  <a:prstGeom prst="rect">
                    <a:avLst/>
                  </a:prstGeom>
                  <a:ln w="12700" cap="flat">
                    <a:noFill/>
                    <a:miter lim="400000"/>
                  </a:ln>
                  <a:effec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left" w:pos="6663"/>
      </w:tabs>
      <w:ind w:left="6237"/>
      <w:jc w:val="right"/>
    </w:pPr>
    <w:r>
      <w:rPr>
        <w:noProof/>
      </w:rPr>
      <w:drawing>
        <wp:anchor distT="152400" distB="152400" distL="152400" distR="152400" simplePos="0" relativeHeight="251658240" behindDoc="1" locked="0" layoutInCell="1" allowOverlap="1">
          <wp:simplePos x="0" y="0"/>
          <wp:positionH relativeFrom="page">
            <wp:posOffset>791844</wp:posOffset>
          </wp:positionH>
          <wp:positionV relativeFrom="page">
            <wp:posOffset>791844</wp:posOffset>
          </wp:positionV>
          <wp:extent cx="1922400" cy="288001"/>
          <wp:effectExtent l="0" t="0" r="0" b="0"/>
          <wp:wrapNone/>
          <wp:docPr id="1073741826" name="officeArt object" descr="C:\temp\notes534BC8\Lindner_Logo_Rot.png"/>
          <wp:cNvGraphicFramePr/>
          <a:graphic xmlns:a="http://schemas.openxmlformats.org/drawingml/2006/main">
            <a:graphicData uri="http://schemas.openxmlformats.org/drawingml/2006/picture">
              <pic:pic xmlns:pic="http://schemas.openxmlformats.org/drawingml/2006/picture">
                <pic:nvPicPr>
                  <pic:cNvPr id="1073741826" name="C:\temp\notes534BC8\Lindner_Logo_Rot.png" descr="C:\temp\notes534BC8\Lindner_Logo_Rot.png"/>
                  <pic:cNvPicPr>
                    <a:picLocks noChangeAspect="1"/>
                  </pic:cNvPicPr>
                </pic:nvPicPr>
                <pic:blipFill>
                  <a:blip r:embed="rId1">
                    <a:extLst/>
                  </a:blip>
                  <a:stretch>
                    <a:fillRect/>
                  </a:stretch>
                </pic:blipFill>
                <pic:spPr>
                  <a:xfrm>
                    <a:off x="0" y="0"/>
                    <a:ext cx="1922400" cy="288001"/>
                  </a:xfrm>
                  <a:prstGeom prst="rect">
                    <a:avLst/>
                  </a:prstGeom>
                  <a:ln w="12700" cap="flat">
                    <a:noFill/>
                    <a:miter lim="400000"/>
                  </a:ln>
                  <a:effectLst/>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isplayBackgroundShape/>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5:docId w15:val="{CA1C16C5-EBB7-4514-B912-03A4CB9C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pPr>
      <w:spacing w:line="276" w:lineRule="auto"/>
    </w:pPr>
    <w:rPr>
      <w:rFonts w:ascii="Arial" w:eastAsia="Arial" w:hAnsi="Arial" w:cs="Arial"/>
      <w:color w:val="000000"/>
      <w:sz w:val="22"/>
      <w:szCs w:val="22"/>
      <w:u w:color="000000"/>
      <w14:textOutline w14:w="0" w14:cap="flat" w14:cmpd="sng" w14:algn="ctr">
        <w14:noFill/>
        <w14:prstDash w14:val="solid"/>
        <w14:bevel/>
      </w14:textOutli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Kopfzeile">
    <w:name w:val="header"/>
    <w:pPr>
      <w:tabs>
        <w:tab w:val="center" w:pos="4536"/>
        <w:tab w:val="right" w:pos="9072"/>
      </w:tabs>
      <w:spacing w:line="276" w:lineRule="auto"/>
    </w:pPr>
    <w:rPr>
      <w:rFonts w:ascii="Arial" w:hAnsi="Arial" w:cs="Arial Unicode MS"/>
      <w:color w:val="000000"/>
      <w:sz w:val="22"/>
      <w:szCs w:val="22"/>
      <w:u w:color="000000"/>
    </w:rPr>
  </w:style>
  <w:style w:type="paragraph" w:styleId="Fuzeile">
    <w:name w:val="footer"/>
    <w:pPr>
      <w:tabs>
        <w:tab w:val="center" w:pos="4536"/>
        <w:tab w:val="right" w:pos="9072"/>
      </w:tabs>
      <w:spacing w:line="276" w:lineRule="auto"/>
    </w:pPr>
    <w:rPr>
      <w:rFonts w:ascii="Arial" w:hAnsi="Arial" w:cs="Arial Unicode MS"/>
      <w:color w:val="000000"/>
      <w:sz w:val="22"/>
      <w:szCs w:val="22"/>
      <w:u w:color="000000"/>
    </w:rPr>
  </w:style>
  <w:style w:type="paragraph" w:customStyle="1" w:styleId="H1">
    <w:name w:val="H1"/>
    <w:link w:val="H1Zchn"/>
    <w:qFormat/>
    <w:pPr>
      <w:ind w:left="20"/>
    </w:pPr>
    <w:rPr>
      <w:rFonts w:ascii="Arial" w:hAnsi="Arial" w:cs="Arial Unicode MS"/>
      <w:b/>
      <w:bCs/>
      <w:color w:val="E40428"/>
      <w:sz w:val="40"/>
      <w:szCs w:val="40"/>
      <w:u w:color="E40428"/>
    </w:rPr>
  </w:style>
  <w:style w:type="character" w:customStyle="1" w:styleId="Link">
    <w:name w:val="Link"/>
    <w:rPr>
      <w:outline w:val="0"/>
      <w:color w:val="0000FF"/>
      <w:u w:val="single" w:color="0000FF"/>
      <w:lang w:val="de-DE"/>
    </w:rPr>
  </w:style>
  <w:style w:type="paragraph" w:customStyle="1" w:styleId="H2">
    <w:name w:val="H2"/>
    <w:pPr>
      <w:ind w:left="20"/>
      <w:outlineLvl w:val="0"/>
    </w:pPr>
    <w:rPr>
      <w:rFonts w:ascii="Arial" w:hAnsi="Arial" w:cs="Arial Unicode MS"/>
      <w:color w:val="231F20"/>
      <w:sz w:val="28"/>
      <w:szCs w:val="28"/>
      <w:u w:color="231F20"/>
    </w:rPr>
  </w:style>
  <w:style w:type="character" w:customStyle="1" w:styleId="Hyperlink0">
    <w:name w:val="Hyperlink.0"/>
    <w:basedOn w:val="Link"/>
    <w:rPr>
      <w:rFonts w:ascii="Arial" w:eastAsia="Arial" w:hAnsi="Arial" w:cs="Arial"/>
      <w:b/>
      <w:bCs/>
      <w:outline w:val="0"/>
      <w:color w:val="E40428"/>
      <w:u w:val="none" w:color="E40428"/>
      <w:lang w:val="de-DE"/>
    </w:rPr>
  </w:style>
  <w:style w:type="character" w:customStyle="1" w:styleId="Hyperlink1">
    <w:name w:val="Hyperlink.1"/>
    <w:basedOn w:val="Link"/>
    <w:rPr>
      <w:rFonts w:ascii="Arial" w:eastAsia="Arial" w:hAnsi="Arial" w:cs="Arial"/>
      <w:outline w:val="0"/>
      <w:color w:val="000000"/>
      <w:sz w:val="20"/>
      <w:szCs w:val="20"/>
      <w:u w:val="single" w:color="000000"/>
      <w:lang w:val="en-US"/>
    </w:rPr>
  </w:style>
  <w:style w:type="paragraph" w:customStyle="1" w:styleId="EinfAbs">
    <w:name w:val="[Einf. Abs.]"/>
    <w:pPr>
      <w:spacing w:line="288" w:lineRule="auto"/>
    </w:pPr>
    <w:rPr>
      <w:rFonts w:ascii="MinionPro-Regular" w:eastAsia="MinionPro-Regular" w:hAnsi="MinionPro-Regular" w:cs="MinionPro-Regular"/>
      <w:color w:val="000000"/>
      <w:sz w:val="24"/>
      <w:szCs w:val="24"/>
      <w:u w:color="000000"/>
    </w:rPr>
  </w:style>
  <w:style w:type="character" w:customStyle="1" w:styleId="H1Zchn">
    <w:name w:val="H1 Zchn"/>
    <w:basedOn w:val="Absatz-Standardschriftart"/>
    <w:link w:val="H1"/>
    <w:rPr>
      <w:rFonts w:ascii="Arial" w:hAnsi="Arial" w:cs="Arial Unicode MS"/>
      <w:b/>
      <w:bCs/>
      <w:color w:val="E40428"/>
      <w:sz w:val="40"/>
      <w:szCs w:val="40"/>
      <w:u w:color="E40428"/>
    </w:rPr>
  </w:style>
  <w:style w:type="paragraph" w:styleId="Sprechblasentext">
    <w:name w:val="Balloon Text"/>
    <w:basedOn w:val="Standard"/>
    <w:link w:val="SprechblasentextZchn"/>
    <w:uiPriority w:val="99"/>
    <w:semiHidden/>
    <w:unhideWhenUsed/>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Pr>
      <w:rFonts w:ascii="Segoe UI" w:eastAsia="Arial" w:hAnsi="Segoe UI" w:cs="Segoe UI"/>
      <w:color w:val="000000"/>
      <w:sz w:val="18"/>
      <w:szCs w:val="18"/>
      <w:u w:color="000000"/>
      <w14:textOutline w14:w="0" w14:cap="flat" w14:cmpd="sng" w14:algn="ctr">
        <w14:noFill/>
        <w14:prstDash w14:val="solid"/>
        <w14:bevel/>
      </w14:textOutline>
    </w:rPr>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Arial" w:eastAsia="Arial" w:hAnsi="Arial" w:cs="Arial"/>
      <w:color w:val="000000"/>
      <w:u w:color="000000"/>
      <w14:textOutline w14:w="0" w14:cap="flat" w14:cmpd="sng" w14:algn="ctr">
        <w14:noFill/>
        <w14:prstDash w14:val="solid"/>
        <w14:bevel/>
      </w14:textOutline>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rFonts w:ascii="Arial" w:eastAsia="Arial" w:hAnsi="Arial" w:cs="Arial"/>
      <w:b/>
      <w:bCs/>
      <w:color w:val="000000"/>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Lindner-Group.com" TargetMode="External"/><Relationship Id="rId18" Type="http://schemas.openxmlformats.org/officeDocument/2006/relationships/hyperlink" Target="https://www.youtube.com/user/LindnerGroup" TargetMode="Externa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yperlink" Target="http://www.pinterest.de/lindnergroup" TargetMode="External"/><Relationship Id="rId2" Type="http://schemas.openxmlformats.org/officeDocument/2006/relationships/styles" Target="styles.xml"/><Relationship Id="rId16" Type="http://schemas.openxmlformats.org/officeDocument/2006/relationships/hyperlink" Target="https://www.facebook.com/LindnerGroup.Karrier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instagram.com/lindner_group" TargetMode="External"/><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linkedin.com/company/lindner-group"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1C66E-483C-4003-9011-083ECFE06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546</Words>
  <Characters>3440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 Rieger</dc:creator>
  <cp:lastModifiedBy>Christina Rieger</cp:lastModifiedBy>
  <cp:revision>7</cp:revision>
  <cp:lastPrinted>2025-04-30T09:58:00Z</cp:lastPrinted>
  <dcterms:created xsi:type="dcterms:W3CDTF">2025-04-30T07:51:00Z</dcterms:created>
  <dcterms:modified xsi:type="dcterms:W3CDTF">2025-04-30T10:56:00Z</dcterms:modified>
</cp:coreProperties>
</file>