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5CDDF" w14:textId="77777777" w:rsidR="00C96F9D" w:rsidRPr="0094703A" w:rsidRDefault="00C96F9D" w:rsidP="00BB72E7">
      <w:pPr>
        <w:rPr>
          <w:rFonts w:ascii="Verdana" w:hAnsi="Verdana"/>
          <w:sz w:val="20"/>
          <w:szCs w:val="22"/>
        </w:rPr>
        <w:sectPr w:rsidR="00C96F9D" w:rsidRPr="0094703A" w:rsidSect="00873D71">
          <w:headerReference w:type="default" r:id="rId7"/>
          <w:footerReference w:type="default" r:id="rId8"/>
          <w:type w:val="continuous"/>
          <w:pgSz w:w="11906" w:h="16838"/>
          <w:pgMar w:top="3119" w:right="1134" w:bottom="1701" w:left="1418" w:header="709" w:footer="474" w:gutter="0"/>
          <w:cols w:space="708"/>
          <w:formProt w:val="0"/>
          <w:docGrid w:linePitch="360"/>
        </w:sectPr>
      </w:pPr>
    </w:p>
    <w:p w14:paraId="560C600F" w14:textId="77777777" w:rsidR="00F7404D" w:rsidRPr="00F7404D" w:rsidRDefault="00F7404D" w:rsidP="00F7404D">
      <w:pPr>
        <w:pStyle w:val="Untertitel"/>
        <w:rPr>
          <w:rFonts w:ascii="Verdana" w:hAnsi="Verdana"/>
          <w:sz w:val="20"/>
          <w:szCs w:val="20"/>
          <w:lang w:val="de-DE"/>
        </w:rPr>
      </w:pPr>
      <w:r w:rsidRPr="00F7404D">
        <w:rPr>
          <w:rFonts w:ascii="Verdana" w:hAnsi="Verdana"/>
          <w:sz w:val="20"/>
          <w:szCs w:val="20"/>
          <w:lang w:val="de-DE"/>
        </w:rPr>
        <w:t>Medienmitteilung</w:t>
      </w:r>
    </w:p>
    <w:p w14:paraId="33CE159D" w14:textId="152C9DA4" w:rsidR="00F7404D" w:rsidRPr="00E011B9" w:rsidRDefault="00E011B9" w:rsidP="00F7404D">
      <w:pPr>
        <w:rPr>
          <w:rFonts w:ascii="Verdana" w:eastAsiaTheme="majorEastAsia" w:hAnsi="Verdana" w:cstheme="majorBidi"/>
          <w:b/>
          <w:kern w:val="28"/>
          <w:sz w:val="40"/>
          <w:szCs w:val="48"/>
          <w:lang w:val="de-CH"/>
        </w:rPr>
      </w:pPr>
      <w:r w:rsidRPr="00E011B9">
        <w:rPr>
          <w:rFonts w:ascii="Verdana" w:eastAsiaTheme="majorEastAsia" w:hAnsi="Verdana" w:cstheme="majorBidi"/>
          <w:b/>
          <w:kern w:val="28"/>
          <w:sz w:val="40"/>
          <w:szCs w:val="48"/>
          <w:lang w:val="de-CH"/>
        </w:rPr>
        <w:t>Im Casino Bad Ragaz kann ab</w:t>
      </w:r>
      <w:r>
        <w:rPr>
          <w:rFonts w:ascii="Verdana" w:eastAsiaTheme="majorEastAsia" w:hAnsi="Verdana" w:cstheme="majorBidi"/>
          <w:b/>
          <w:kern w:val="28"/>
          <w:sz w:val="40"/>
          <w:szCs w:val="48"/>
          <w:lang w:val="de-CH"/>
        </w:rPr>
        <w:t xml:space="preserve"> 6. Juni 2020 wieder gespielt werden</w:t>
      </w:r>
    </w:p>
    <w:p w14:paraId="041FECAC" w14:textId="77777777" w:rsidR="00F7404D" w:rsidRPr="00E011B9" w:rsidRDefault="00F7404D" w:rsidP="00F7404D">
      <w:pPr>
        <w:rPr>
          <w:lang w:val="de-CH"/>
        </w:rPr>
      </w:pPr>
    </w:p>
    <w:p w14:paraId="57C744A5" w14:textId="1F074273" w:rsidR="00F7404D" w:rsidRPr="002B00F9" w:rsidRDefault="00F7404D" w:rsidP="00F7404D">
      <w:pPr>
        <w:rPr>
          <w:color w:val="000000" w:themeColor="text1"/>
        </w:rPr>
      </w:pPr>
      <w:r w:rsidRPr="002B00F9">
        <w:rPr>
          <w:color w:val="000000" w:themeColor="text1"/>
        </w:rPr>
        <w:t>Bad Ragaz</w:t>
      </w:r>
      <w:r w:rsidRPr="002B00F9">
        <w:t xml:space="preserve">, </w:t>
      </w:r>
      <w:r>
        <w:t>3. Juni 2020</w:t>
      </w:r>
    </w:p>
    <w:p w14:paraId="12A156B2" w14:textId="77777777" w:rsidR="00F7404D" w:rsidRPr="002B00F9" w:rsidRDefault="00F7404D" w:rsidP="00F7404D">
      <w:pPr>
        <w:rPr>
          <w:color w:val="000000" w:themeColor="text1"/>
        </w:rPr>
      </w:pPr>
    </w:p>
    <w:p w14:paraId="75D5BC00" w14:textId="77777777" w:rsidR="00F7404D" w:rsidRPr="00F7404D" w:rsidRDefault="00F7404D" w:rsidP="00F7404D">
      <w:pPr>
        <w:rPr>
          <w:rFonts w:ascii="Verdana" w:hAnsi="Verdana"/>
          <w:b/>
          <w:iCs/>
          <w:sz w:val="20"/>
          <w:szCs w:val="20"/>
          <w:lang w:val="de-CH"/>
        </w:rPr>
      </w:pPr>
      <w:r w:rsidRPr="00F7404D">
        <w:rPr>
          <w:rFonts w:ascii="Verdana" w:hAnsi="Verdana"/>
          <w:b/>
          <w:iCs/>
          <w:sz w:val="20"/>
          <w:szCs w:val="20"/>
          <w:lang w:val="de-CH"/>
        </w:rPr>
        <w:t xml:space="preserve">Das Casino Bad Ragaz hat Grund zur Freude: Folgend der Entscheidung des Bundesrats darf dort ab dem 6. Juni 2020 wieder gespielt werden. Um die Schutzkonzepte der Branche umsetzen zu können, wurde im Casino in rund 500 Stunden Arbeit «umgebaut». «Der Casinobesuch wird sicherlich etwas anders aussehen als früher, aber unsere Gäste und Mitarbeitenden werden sich schnell an die Schutzmassnahmen gewöhnen», ist sich Christian Kusch, Geschäftsführer des Casino Bad Ragaz, sicher. </w:t>
      </w:r>
    </w:p>
    <w:p w14:paraId="239A3B45" w14:textId="77777777" w:rsidR="00F7404D" w:rsidRPr="00F7404D" w:rsidRDefault="00F7404D" w:rsidP="00F7404D">
      <w:pPr>
        <w:rPr>
          <w:rFonts w:ascii="Verdana" w:hAnsi="Verdana"/>
          <w:b/>
          <w:iCs/>
          <w:sz w:val="20"/>
          <w:szCs w:val="20"/>
          <w:lang w:val="de-CH"/>
        </w:rPr>
      </w:pPr>
    </w:p>
    <w:p w14:paraId="6EE095DD" w14:textId="77777777" w:rsidR="00F7404D" w:rsidRPr="00F7404D" w:rsidRDefault="00F7404D" w:rsidP="00F7404D">
      <w:pPr>
        <w:rPr>
          <w:rFonts w:ascii="Verdana" w:hAnsi="Verdana"/>
          <w:iCs/>
          <w:sz w:val="20"/>
          <w:szCs w:val="20"/>
          <w:lang w:val="de-CH"/>
        </w:rPr>
      </w:pPr>
      <w:r w:rsidRPr="00F7404D">
        <w:rPr>
          <w:rFonts w:ascii="Verdana" w:hAnsi="Verdana"/>
          <w:iCs/>
          <w:sz w:val="20"/>
          <w:szCs w:val="20"/>
          <w:lang w:val="de-CH"/>
        </w:rPr>
        <w:t xml:space="preserve">Aufatmen auch beim Casino Bad Ragaz: Mit der dritten Lockerungsetappe des Bundesrats kann nun auch das Spiellokal seine Türen wieder öffnen. Die Erleichterung über den Entscheid ist gross: «Dass die Schliessung Mitte März zu unser aller Schutz nötig war, steht für uns ausser Frage. Trotzdem freuen wir uns nach fast drei Monaten nun sehr darauf, endlich wieder Gäste im Casino begrüssen zu dürfen», sagt Geschäftsführer Christian Kusch. </w:t>
      </w:r>
    </w:p>
    <w:p w14:paraId="38E22A49" w14:textId="77777777" w:rsidR="00F7404D" w:rsidRPr="00F7404D" w:rsidRDefault="00F7404D" w:rsidP="00F7404D">
      <w:pPr>
        <w:rPr>
          <w:rFonts w:ascii="Verdana" w:hAnsi="Verdana"/>
          <w:iCs/>
          <w:sz w:val="20"/>
          <w:szCs w:val="20"/>
          <w:lang w:val="de-CH"/>
        </w:rPr>
      </w:pPr>
    </w:p>
    <w:p w14:paraId="577CF4AE" w14:textId="244593FD" w:rsidR="00F7404D" w:rsidRPr="00F7404D" w:rsidRDefault="00F7404D" w:rsidP="00F7404D">
      <w:pPr>
        <w:rPr>
          <w:rFonts w:ascii="Verdana" w:hAnsi="Verdana"/>
          <w:iCs/>
          <w:sz w:val="20"/>
          <w:szCs w:val="20"/>
          <w:lang w:val="de-CH"/>
        </w:rPr>
      </w:pPr>
      <w:r w:rsidRPr="00F7404D">
        <w:rPr>
          <w:rFonts w:ascii="Verdana" w:hAnsi="Verdana"/>
          <w:iCs/>
          <w:sz w:val="20"/>
          <w:szCs w:val="20"/>
          <w:lang w:val="de-CH"/>
        </w:rPr>
        <w:t xml:space="preserve">Die von der Branche erarbeiteten Schutzmassnahmen bedeuten einige Änderungen im Casino-Alltag. So werden beispielsweise Tischspiele vorerst nicht angeboten. Den Gästen stehen allerdings weiterhin alle Spielautomaten zur Verfügung - diese wurden so verschoben, dass die vorgeschriebene Distanz eingehalten werden kann. Wo das nicht möglich war wurden Trennwände aus Plexiglas installiert. In den gesamten «Umbau» wurden rund 500 Arbeitsstunden investiert. Zusätzlich wurden Anpassungen im Bereich der Hygiene vorgenommen. Jeder Automat wird nach der Benutzung durch einen Gast desinfiziert und im gesamten Innenbereich gibt es an verschiedenen Stellen Desinfektionsstationen für die Gäste. </w:t>
      </w:r>
    </w:p>
    <w:p w14:paraId="6FC39FF5" w14:textId="77777777" w:rsidR="00F7404D" w:rsidRPr="00F7404D" w:rsidRDefault="00F7404D" w:rsidP="00F7404D">
      <w:pPr>
        <w:rPr>
          <w:rFonts w:ascii="Verdana" w:hAnsi="Verdana"/>
          <w:iCs/>
          <w:sz w:val="20"/>
          <w:szCs w:val="20"/>
          <w:lang w:val="de-CH"/>
        </w:rPr>
      </w:pPr>
    </w:p>
    <w:p w14:paraId="3EDC77A9" w14:textId="4413825E" w:rsidR="00F7404D" w:rsidRPr="00F7404D" w:rsidRDefault="00F7404D" w:rsidP="00F7404D">
      <w:pPr>
        <w:rPr>
          <w:rFonts w:ascii="Verdana" w:hAnsi="Verdana"/>
          <w:iCs/>
          <w:sz w:val="20"/>
          <w:szCs w:val="20"/>
          <w:lang w:val="de-CH"/>
        </w:rPr>
      </w:pPr>
      <w:r w:rsidRPr="00F7404D">
        <w:rPr>
          <w:rFonts w:ascii="Verdana" w:hAnsi="Verdana"/>
          <w:iCs/>
          <w:sz w:val="20"/>
          <w:szCs w:val="20"/>
          <w:lang w:val="de-CH"/>
        </w:rPr>
        <w:t>Das Casino hat Glück, denn die Einschränkungen wirken sich nur mässig auf den Betrieb aus. «Unsere Grösse ermöglicht es uns, die Abstandregelungen komfortabel einhalten zu können», erzählt Christian Kusch. Natürlich sei es schade, dass vorerst keine Tischspiele angeboten werden könnten. «Aber die Sicherheit und Gesundheit unserer Gäste und Mitarbeitenden geht in jedem Fall vor.» Alles in allem ist der Geschäftsführer zufrieden mit den Lockerungen: «</w:t>
      </w:r>
      <w:r>
        <w:rPr>
          <w:rFonts w:ascii="Verdana" w:hAnsi="Verdana"/>
          <w:iCs/>
          <w:sz w:val="20"/>
          <w:szCs w:val="20"/>
          <w:lang w:val="de-CH"/>
        </w:rPr>
        <w:t>Wir sind froh, wieder da zu sein und werden uns sicher alle schnell an die neuen Gegebenheiten gewöhnen.</w:t>
      </w:r>
      <w:r w:rsidRPr="00F7404D">
        <w:rPr>
          <w:rFonts w:ascii="Verdana" w:hAnsi="Verdana"/>
          <w:iCs/>
          <w:sz w:val="20"/>
          <w:szCs w:val="20"/>
          <w:lang w:val="de-CH"/>
        </w:rPr>
        <w:t xml:space="preserve">» </w:t>
      </w:r>
    </w:p>
    <w:p w14:paraId="2AE75966" w14:textId="77777777" w:rsidR="00F7404D" w:rsidRPr="00F7404D" w:rsidRDefault="00F7404D" w:rsidP="00F7404D">
      <w:pPr>
        <w:rPr>
          <w:rFonts w:ascii="Verdana" w:hAnsi="Verdana"/>
          <w:iCs/>
          <w:sz w:val="20"/>
          <w:szCs w:val="20"/>
          <w:lang w:val="de-CH"/>
        </w:rPr>
      </w:pPr>
    </w:p>
    <w:p w14:paraId="085D7114" w14:textId="77777777" w:rsidR="00F7404D" w:rsidRPr="00F7404D" w:rsidRDefault="00F7404D" w:rsidP="00F7404D">
      <w:pPr>
        <w:rPr>
          <w:rFonts w:ascii="Verdana" w:hAnsi="Verdana"/>
          <w:b/>
          <w:iCs/>
          <w:sz w:val="20"/>
          <w:szCs w:val="20"/>
          <w:lang w:val="de-CH"/>
        </w:rPr>
      </w:pPr>
      <w:r w:rsidRPr="00F7404D">
        <w:rPr>
          <w:rFonts w:ascii="Verdana" w:hAnsi="Verdana"/>
          <w:b/>
          <w:iCs/>
          <w:sz w:val="20"/>
          <w:szCs w:val="20"/>
          <w:lang w:val="de-CH"/>
        </w:rPr>
        <w:t>Öffnungszeiten</w:t>
      </w:r>
    </w:p>
    <w:p w14:paraId="50579A69" w14:textId="0EDDEA2A" w:rsidR="00F95AC5" w:rsidRPr="00F7404D" w:rsidRDefault="00F7404D" w:rsidP="00F7404D">
      <w:pPr>
        <w:rPr>
          <w:rFonts w:ascii="Verdana" w:hAnsi="Verdana"/>
          <w:iCs/>
          <w:sz w:val="20"/>
          <w:szCs w:val="20"/>
          <w:lang w:val="de-CH"/>
        </w:rPr>
      </w:pPr>
      <w:r w:rsidRPr="00F7404D">
        <w:rPr>
          <w:rFonts w:ascii="Verdana" w:hAnsi="Verdana"/>
          <w:iCs/>
          <w:sz w:val="20"/>
          <w:szCs w:val="20"/>
          <w:lang w:val="de-CH"/>
        </w:rPr>
        <w:t>Das Casino Bad Ragaz ist ab dem 6. Juni 2020 zu den gewohnten Öffnungszeiten (Sonntag bis Donnerstag von 12.00 – 3.00 Uhr, Freitag und Samstag von 12.00 – 4.00 Uhr) für die Gäste da. Die Golden Wave Bar ist ab Mitternacht geschlossen und bietet</w:t>
      </w:r>
      <w:r>
        <w:rPr>
          <w:rFonts w:ascii="Verdana" w:hAnsi="Verdana"/>
          <w:iCs/>
          <w:sz w:val="20"/>
          <w:szCs w:val="20"/>
          <w:lang w:val="de-CH"/>
        </w:rPr>
        <w:t xml:space="preserve"> dann</w:t>
      </w:r>
      <w:r w:rsidRPr="00F7404D">
        <w:rPr>
          <w:rFonts w:ascii="Verdana" w:hAnsi="Verdana"/>
          <w:iCs/>
          <w:sz w:val="20"/>
          <w:szCs w:val="20"/>
          <w:lang w:val="de-CH"/>
        </w:rPr>
        <w:t xml:space="preserve"> nur noch einen Getränkeservice für spielende Gäste</w:t>
      </w:r>
      <w:r>
        <w:rPr>
          <w:rFonts w:ascii="Verdana" w:hAnsi="Verdana"/>
          <w:iCs/>
          <w:sz w:val="20"/>
          <w:szCs w:val="20"/>
          <w:lang w:val="de-CH"/>
        </w:rPr>
        <w:t xml:space="preserve"> an</w:t>
      </w:r>
      <w:r w:rsidRPr="00F7404D">
        <w:rPr>
          <w:rFonts w:ascii="Verdana" w:hAnsi="Verdana"/>
          <w:iCs/>
          <w:sz w:val="20"/>
          <w:szCs w:val="20"/>
          <w:lang w:val="de-CH"/>
        </w:rPr>
        <w:t xml:space="preserve">. Zutritt ab 18 Jahren mit gültiger ID. Weitere Informationen zu Öffnungszeiten und Schutzkonzept unter </w:t>
      </w:r>
      <w:hyperlink r:id="rId9" w:history="1">
        <w:r w:rsidRPr="00F7404D">
          <w:rPr>
            <w:rStyle w:val="Hyperlink"/>
            <w:rFonts w:ascii="Verdana" w:hAnsi="Verdana"/>
            <w:iCs/>
            <w:sz w:val="20"/>
            <w:szCs w:val="20"/>
            <w:lang w:val="de-CH"/>
          </w:rPr>
          <w:t>www.casinoragaz.ch</w:t>
        </w:r>
      </w:hyperlink>
      <w:r w:rsidRPr="00F7404D">
        <w:rPr>
          <w:rFonts w:ascii="Verdana" w:hAnsi="Verdana"/>
          <w:iCs/>
          <w:sz w:val="20"/>
          <w:szCs w:val="20"/>
          <w:lang w:val="de-CH"/>
        </w:rPr>
        <w:t xml:space="preserve">. </w:t>
      </w:r>
    </w:p>
    <w:sectPr w:rsidR="00F95AC5" w:rsidRPr="00F7404D" w:rsidSect="00873D71">
      <w:headerReference w:type="default" r:id="rId10"/>
      <w:footerReference w:type="default" r:id="rId11"/>
      <w:headerReference w:type="first" r:id="rId12"/>
      <w:footerReference w:type="first" r:id="rId13"/>
      <w:type w:val="continuous"/>
      <w:pgSz w:w="11906" w:h="16838" w:code="9"/>
      <w:pgMar w:top="3119" w:right="1134" w:bottom="1701" w:left="1418" w:header="567" w:footer="474" w:gutter="0"/>
      <w:paperSrc w:first="4" w:other="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D3114" w14:textId="77777777" w:rsidR="008F581C" w:rsidRDefault="008F581C">
      <w:r>
        <w:separator/>
      </w:r>
    </w:p>
  </w:endnote>
  <w:endnote w:type="continuationSeparator" w:id="0">
    <w:p w14:paraId="2BC285AA" w14:textId="77777777" w:rsidR="008F581C" w:rsidRDefault="008F5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embo">
    <w:altName w:val="Bembo"/>
    <w:charset w:val="00"/>
    <w:family w:val="roman"/>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552CA" w14:textId="77777777" w:rsidR="00325764" w:rsidRDefault="00325764">
    <w:pPr>
      <w:pStyle w:val="Fuzeile"/>
    </w:pPr>
    <w:r>
      <w:rPr>
        <w:noProof/>
      </w:rPr>
      <w:drawing>
        <wp:anchor distT="0" distB="0" distL="114300" distR="114300" simplePos="0" relativeHeight="251659264" behindDoc="1" locked="0" layoutInCell="1" allowOverlap="1" wp14:anchorId="0E606B04" wp14:editId="23F641CF">
          <wp:simplePos x="0" y="0"/>
          <wp:positionH relativeFrom="page">
            <wp:align>left</wp:align>
          </wp:positionH>
          <wp:positionV relativeFrom="paragraph">
            <wp:posOffset>-352425</wp:posOffset>
          </wp:positionV>
          <wp:extent cx="7559675" cy="428625"/>
          <wp:effectExtent l="0" t="0" r="3175" b="952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45608"/>
                  <a:stretch/>
                </pic:blipFill>
                <pic:spPr bwMode="auto">
                  <a:xfrm>
                    <a:off x="0" y="0"/>
                    <a:ext cx="7559675"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298" w14:textId="77777777" w:rsidR="00C96F9D" w:rsidRDefault="00C96F9D">
    <w:pPr>
      <w:pStyle w:val="Fuzeile"/>
      <w:tabs>
        <w:tab w:val="clear" w:pos="4536"/>
        <w:tab w:val="clear" w:pos="6804"/>
        <w:tab w:val="clear" w:pos="9072"/>
      </w:tabs>
    </w:pPr>
    <w:bookmarkStart w:id="1" w:name="Fax"/>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8CFDA" w14:textId="77777777" w:rsidR="00C96F9D" w:rsidRPr="00F22B6F" w:rsidRDefault="00C96F9D" w:rsidP="00C96F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B830A" w14:textId="77777777" w:rsidR="008F581C" w:rsidRDefault="008F581C">
      <w:r>
        <w:separator/>
      </w:r>
    </w:p>
  </w:footnote>
  <w:footnote w:type="continuationSeparator" w:id="0">
    <w:p w14:paraId="0EE410F4" w14:textId="77777777" w:rsidR="008F581C" w:rsidRDefault="008F5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0AB40" w14:textId="77777777" w:rsidR="00325764" w:rsidRDefault="00325764">
    <w:pPr>
      <w:pStyle w:val="Kopfzeile"/>
    </w:pPr>
    <w:r>
      <w:rPr>
        <w:noProof/>
      </w:rPr>
      <w:drawing>
        <wp:anchor distT="0" distB="0" distL="114300" distR="114300" simplePos="0" relativeHeight="251658240" behindDoc="1" locked="0" layoutInCell="1" allowOverlap="1" wp14:anchorId="054643FF" wp14:editId="73AB5172">
          <wp:simplePos x="0" y="0"/>
          <wp:positionH relativeFrom="page">
            <wp:align>center</wp:align>
          </wp:positionH>
          <wp:positionV relativeFrom="paragraph">
            <wp:posOffset>-441325</wp:posOffset>
          </wp:positionV>
          <wp:extent cx="7518400" cy="1400175"/>
          <wp:effectExtent l="0" t="0" r="6350" b="9525"/>
          <wp:wrapTight wrapText="bothSides">
            <wp:wrapPolygon edited="0">
              <wp:start x="0" y="0"/>
              <wp:lineTo x="0" y="21453"/>
              <wp:lineTo x="21564" y="21453"/>
              <wp:lineTo x="215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1884F" w14:textId="77777777" w:rsidR="00C96F9D" w:rsidRDefault="00C96F9D">
    <w:pPr>
      <w:pStyle w:val="Kopfzeile"/>
    </w:pPr>
  </w:p>
  <w:p w14:paraId="40E7280C" w14:textId="66AA211A" w:rsidR="00C96F9D" w:rsidRDefault="00C96F9D" w:rsidP="00C96F9D">
    <w:pPr>
      <w:pStyle w:val="Kopfzeile"/>
      <w:tabs>
        <w:tab w:val="clear" w:pos="4536"/>
        <w:tab w:val="clear" w:pos="9072"/>
        <w:tab w:val="right" w:pos="9356"/>
      </w:tabs>
    </w:pPr>
    <w:r>
      <w:fldChar w:fldCharType="begin"/>
    </w:r>
    <w:r>
      <w:instrText xml:space="preserve"> STYLEREF titel \* MERGEFORMAT </w:instrText>
    </w:r>
    <w:r>
      <w:fldChar w:fldCharType="separate"/>
    </w:r>
    <w:r w:rsidR="00F7404D">
      <w:rPr>
        <w:b/>
        <w:bCs/>
        <w:noProof/>
        <w:lang w:val="de-DE"/>
      </w:rPr>
      <w:t>Fehler! Verwenden Sie die Registerkarte 'Start', um titel dem Text zuzuweisen, der hier angezeigt werden soll.</w:t>
    </w:r>
    <w:r>
      <w:fldChar w:fldCharType="end"/>
    </w:r>
    <w:r>
      <w:tab/>
      <w:t xml:space="preserve">Seite </w:t>
    </w:r>
    <w:r>
      <w:fldChar w:fldCharType="begin"/>
    </w:r>
    <w:r>
      <w:instrText xml:space="preserve"> PAGE </w:instrText>
    </w:r>
    <w:r>
      <w:fldChar w:fldCharType="separate"/>
    </w:r>
    <w:r w:rsidR="00BB72E7">
      <w:rPr>
        <w:noProof/>
      </w:rPr>
      <w:t>2</w:t>
    </w:r>
    <w:r>
      <w:fldChar w:fldCharType="end"/>
    </w:r>
    <w:r>
      <w:t xml:space="preserve"> von </w:t>
    </w:r>
    <w:r w:rsidR="00847C50">
      <w:rPr>
        <w:noProof/>
      </w:rPr>
      <w:fldChar w:fldCharType="begin"/>
    </w:r>
    <w:r w:rsidR="00847C50">
      <w:rPr>
        <w:noProof/>
      </w:rPr>
      <w:instrText xml:space="preserve"> NUMPAGES </w:instrText>
    </w:r>
    <w:r w:rsidR="00847C50">
      <w:rPr>
        <w:noProof/>
      </w:rPr>
      <w:fldChar w:fldCharType="separate"/>
    </w:r>
    <w:r w:rsidR="00707864">
      <w:rPr>
        <w:noProof/>
      </w:rPr>
      <w:t>1</w:t>
    </w:r>
    <w:r w:rsidR="00847C50">
      <w:rPr>
        <w:noProof/>
      </w:rPr>
      <w:fldChar w:fldCharType="end"/>
    </w:r>
    <w:bookmarkStart w:id="0" w:name="Adressfeld1"/>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D02BF" w14:textId="77777777" w:rsidR="00C96F9D" w:rsidRDefault="00C96F9D">
    <w:pPr>
      <w:tabs>
        <w:tab w:val="left" w:pos="3402"/>
        <w:tab w:val="left" w:pos="6804"/>
      </w:tabs>
      <w:spacing w:before="40"/>
      <w:ind w:left="5103"/>
    </w:pPr>
  </w:p>
  <w:p w14:paraId="6BCF1E65" w14:textId="77777777" w:rsidR="00C96F9D" w:rsidRDefault="00C96F9D">
    <w:pPr>
      <w:tabs>
        <w:tab w:val="left" w:pos="3402"/>
        <w:tab w:val="left" w:pos="6804"/>
      </w:tabs>
      <w:spacing w:before="40"/>
      <w:ind w:left="5103"/>
    </w:pPr>
  </w:p>
  <w:p w14:paraId="03CE04B4" w14:textId="77777777" w:rsidR="00C96F9D" w:rsidRDefault="00C96F9D">
    <w:pPr>
      <w:tabs>
        <w:tab w:val="left" w:pos="3402"/>
        <w:tab w:val="left" w:pos="6804"/>
      </w:tabs>
      <w:spacing w:before="40"/>
      <w:ind w:left="5103"/>
    </w:pPr>
  </w:p>
  <w:p w14:paraId="1197122F" w14:textId="77777777" w:rsidR="00C96F9D" w:rsidRDefault="00C96F9D">
    <w:pPr>
      <w:tabs>
        <w:tab w:val="left" w:pos="3402"/>
        <w:tab w:val="left" w:pos="6804"/>
      </w:tabs>
      <w:spacing w:before="40"/>
      <w:ind w:left="5103"/>
    </w:pPr>
  </w:p>
  <w:p w14:paraId="6BA14FAA" w14:textId="77777777" w:rsidR="00C96F9D" w:rsidRDefault="00C96F9D">
    <w:pPr>
      <w:tabs>
        <w:tab w:val="left" w:pos="3402"/>
        <w:tab w:val="left" w:pos="6804"/>
      </w:tabs>
      <w:spacing w:before="40"/>
      <w:ind w:left="5103"/>
    </w:pPr>
  </w:p>
  <w:p w14:paraId="267A2E9C" w14:textId="77777777" w:rsidR="00C96F9D" w:rsidRDefault="00C96F9D">
    <w:pPr>
      <w:tabs>
        <w:tab w:val="left" w:pos="3402"/>
        <w:tab w:val="left" w:pos="6804"/>
      </w:tabs>
      <w:spacing w:before="40"/>
      <w:ind w:left="5103"/>
    </w:pPr>
  </w:p>
  <w:p w14:paraId="385AE845" w14:textId="77777777" w:rsidR="00C96F9D" w:rsidRDefault="00C96F9D">
    <w:pPr>
      <w:tabs>
        <w:tab w:val="left" w:pos="3402"/>
        <w:tab w:val="left" w:pos="6804"/>
      </w:tabs>
      <w:spacing w:before="40"/>
      <w:ind w:left="5103"/>
    </w:pPr>
  </w:p>
  <w:p w14:paraId="128D717E" w14:textId="77777777" w:rsidR="00C96F9D" w:rsidRDefault="00C96F9D">
    <w:pPr>
      <w:tabs>
        <w:tab w:val="left" w:pos="3402"/>
        <w:tab w:val="left" w:pos="6804"/>
      </w:tabs>
      <w:spacing w:before="40"/>
      <w:ind w:left="510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1347"/>
    <w:multiLevelType w:val="hybridMultilevel"/>
    <w:tmpl w:val="82D83D04"/>
    <w:lvl w:ilvl="0" w:tplc="1E3E903A">
      <w:start w:val="1"/>
      <w:numFmt w:val="bullet"/>
      <w:lvlText w:val="o"/>
      <w:lvlJc w:val="left"/>
      <w:pPr>
        <w:tabs>
          <w:tab w:val="num" w:pos="360"/>
        </w:tabs>
        <w:ind w:left="360" w:hanging="360"/>
      </w:pPr>
      <w:rPr>
        <w:rFonts w:ascii="Bembo" w:hAnsi="Bembo" w:hint="default"/>
        <w:b w:val="0"/>
        <w:i w:val="0"/>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0DE1EAC"/>
    <w:multiLevelType w:val="hybridMultilevel"/>
    <w:tmpl w:val="D4320FCC"/>
    <w:lvl w:ilvl="0" w:tplc="08070009">
      <w:start w:val="1"/>
      <w:numFmt w:val="bullet"/>
      <w:lvlText w:val=""/>
      <w:lvlJc w:val="left"/>
      <w:pPr>
        <w:tabs>
          <w:tab w:val="num" w:pos="360"/>
        </w:tabs>
        <w:ind w:left="360" w:hanging="360"/>
      </w:pPr>
      <w:rPr>
        <w:rFonts w:ascii="Wingdings" w:hAnsi="Wingdings" w:hint="default"/>
      </w:rPr>
    </w:lvl>
    <w:lvl w:ilvl="1" w:tplc="08070003" w:tentative="1">
      <w:start w:val="1"/>
      <w:numFmt w:val="bullet"/>
      <w:lvlText w:val="o"/>
      <w:lvlJc w:val="left"/>
      <w:pPr>
        <w:tabs>
          <w:tab w:val="num" w:pos="1080"/>
        </w:tabs>
        <w:ind w:left="1080" w:hanging="360"/>
      </w:pPr>
      <w:rPr>
        <w:rFonts w:ascii="Courier New" w:hAnsi="Courier New" w:cs="Courier New"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cs="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cs="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1C"/>
    <w:rsid w:val="000B705F"/>
    <w:rsid w:val="00115CFB"/>
    <w:rsid w:val="001228EB"/>
    <w:rsid w:val="00131CEF"/>
    <w:rsid w:val="001606FB"/>
    <w:rsid w:val="001A0AD5"/>
    <w:rsid w:val="001B5AE4"/>
    <w:rsid w:val="001C198E"/>
    <w:rsid w:val="00244469"/>
    <w:rsid w:val="002E497A"/>
    <w:rsid w:val="00303FE7"/>
    <w:rsid w:val="00325764"/>
    <w:rsid w:val="00357473"/>
    <w:rsid w:val="0042711C"/>
    <w:rsid w:val="00435634"/>
    <w:rsid w:val="005855EB"/>
    <w:rsid w:val="005B1A52"/>
    <w:rsid w:val="005C5974"/>
    <w:rsid w:val="006A78F0"/>
    <w:rsid w:val="00707864"/>
    <w:rsid w:val="00730ED8"/>
    <w:rsid w:val="00803751"/>
    <w:rsid w:val="00840DCD"/>
    <w:rsid w:val="00847C50"/>
    <w:rsid w:val="00873D71"/>
    <w:rsid w:val="0088175C"/>
    <w:rsid w:val="008854C2"/>
    <w:rsid w:val="008F581C"/>
    <w:rsid w:val="00911367"/>
    <w:rsid w:val="0094703A"/>
    <w:rsid w:val="00965ABE"/>
    <w:rsid w:val="00A03347"/>
    <w:rsid w:val="00A077FF"/>
    <w:rsid w:val="00A442F2"/>
    <w:rsid w:val="00B16966"/>
    <w:rsid w:val="00BB72E7"/>
    <w:rsid w:val="00BE0DDA"/>
    <w:rsid w:val="00BF0530"/>
    <w:rsid w:val="00C14B2C"/>
    <w:rsid w:val="00C6372A"/>
    <w:rsid w:val="00C96F9D"/>
    <w:rsid w:val="00CE7D7F"/>
    <w:rsid w:val="00D8381A"/>
    <w:rsid w:val="00D85C6D"/>
    <w:rsid w:val="00E011B9"/>
    <w:rsid w:val="00E721E4"/>
    <w:rsid w:val="00E80D7A"/>
    <w:rsid w:val="00E834F5"/>
    <w:rsid w:val="00EC1827"/>
    <w:rsid w:val="00EE4771"/>
    <w:rsid w:val="00F15E06"/>
    <w:rsid w:val="00F2696E"/>
    <w:rsid w:val="00F7404D"/>
    <w:rsid w:val="00F95AC5"/>
    <w:rsid w:val="00FE47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6E88D2"/>
  <w15:chartTrackingRefBased/>
  <w15:docId w15:val="{E7E53D02-1B79-4AFA-A380-DC9639076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BB72E7"/>
    <w:pPr>
      <w:tabs>
        <w:tab w:val="center" w:pos="4536"/>
        <w:tab w:val="right" w:pos="9072"/>
      </w:tabs>
    </w:pPr>
    <w:rPr>
      <w:rFonts w:ascii="Bembo" w:hAnsi="Bembo"/>
      <w:sz w:val="20"/>
      <w:szCs w:val="20"/>
      <w:lang w:val="de-CH"/>
    </w:rPr>
  </w:style>
  <w:style w:type="paragraph" w:styleId="Fuzeile">
    <w:name w:val="footer"/>
    <w:basedOn w:val="Standard"/>
    <w:rsid w:val="00BB72E7"/>
    <w:pPr>
      <w:tabs>
        <w:tab w:val="center" w:pos="4536"/>
        <w:tab w:val="left" w:pos="6804"/>
        <w:tab w:val="right" w:pos="9072"/>
      </w:tabs>
      <w:ind w:right="-1"/>
    </w:pPr>
    <w:rPr>
      <w:rFonts w:ascii="Bembo" w:hAnsi="Bembo"/>
      <w:sz w:val="18"/>
      <w:szCs w:val="20"/>
      <w:lang w:val="de-CH"/>
    </w:rPr>
  </w:style>
  <w:style w:type="paragraph" w:styleId="Dokumentstruktur">
    <w:name w:val="Document Map"/>
    <w:basedOn w:val="Standard"/>
    <w:semiHidden/>
    <w:rsid w:val="00BB72E7"/>
    <w:pPr>
      <w:shd w:val="clear" w:color="auto" w:fill="000080"/>
    </w:pPr>
    <w:rPr>
      <w:rFonts w:ascii="Tahoma" w:hAnsi="Tahoma" w:cs="Tahoma"/>
    </w:rPr>
  </w:style>
  <w:style w:type="paragraph" w:styleId="Sprechblasentext">
    <w:name w:val="Balloon Text"/>
    <w:basedOn w:val="Standard"/>
    <w:link w:val="SprechblasentextZchn"/>
    <w:rsid w:val="0094703A"/>
    <w:rPr>
      <w:rFonts w:ascii="Segoe UI" w:hAnsi="Segoe UI" w:cs="Segoe UI"/>
      <w:sz w:val="18"/>
      <w:szCs w:val="18"/>
    </w:rPr>
  </w:style>
  <w:style w:type="character" w:customStyle="1" w:styleId="SprechblasentextZchn">
    <w:name w:val="Sprechblasentext Zchn"/>
    <w:basedOn w:val="Absatz-Standardschriftart"/>
    <w:link w:val="Sprechblasentext"/>
    <w:rsid w:val="0094703A"/>
    <w:rPr>
      <w:rFonts w:ascii="Segoe UI" w:hAnsi="Segoe UI" w:cs="Segoe UI"/>
      <w:sz w:val="18"/>
      <w:szCs w:val="18"/>
      <w:lang w:val="de-DE" w:eastAsia="de-DE"/>
    </w:rPr>
  </w:style>
  <w:style w:type="paragraph" w:styleId="Untertitel">
    <w:name w:val="Subtitle"/>
    <w:basedOn w:val="Standard"/>
    <w:next w:val="Standard"/>
    <w:link w:val="UntertitelZchn"/>
    <w:uiPriority w:val="11"/>
    <w:rsid w:val="00F7404D"/>
    <w:pPr>
      <w:numPr>
        <w:ilvl w:val="1"/>
      </w:numPr>
      <w:spacing w:after="250" w:line="250" w:lineRule="atLeast"/>
    </w:pPr>
    <w:rPr>
      <w:rFonts w:asciiTheme="minorHAnsi" w:eastAsiaTheme="minorEastAsia" w:hAnsiTheme="minorHAnsi" w:cstheme="minorBidi"/>
      <w:b/>
      <w:caps/>
      <w:spacing w:val="4"/>
      <w:sz w:val="18"/>
      <w:szCs w:val="22"/>
      <w:lang w:val="de-CH" w:eastAsia="en-US"/>
    </w:rPr>
  </w:style>
  <w:style w:type="character" w:customStyle="1" w:styleId="UntertitelZchn">
    <w:name w:val="Untertitel Zchn"/>
    <w:basedOn w:val="Absatz-Standardschriftart"/>
    <w:link w:val="Untertitel"/>
    <w:uiPriority w:val="11"/>
    <w:rsid w:val="00F7404D"/>
    <w:rPr>
      <w:rFonts w:asciiTheme="minorHAnsi" w:eastAsiaTheme="minorEastAsia" w:hAnsiTheme="minorHAnsi" w:cstheme="minorBidi"/>
      <w:b/>
      <w:caps/>
      <w:spacing w:val="4"/>
      <w:sz w:val="18"/>
      <w:szCs w:val="22"/>
      <w:lang w:eastAsia="en-US"/>
    </w:rPr>
  </w:style>
  <w:style w:type="character" w:styleId="Hyperlink">
    <w:name w:val="Hyperlink"/>
    <w:basedOn w:val="Absatz-Standardschriftart"/>
    <w:rsid w:val="00F740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casinoragaz.ch"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394</Words>
  <Characters>2371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khug IT Solutions</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Annemarie</dc:creator>
  <cp:keywords/>
  <cp:lastModifiedBy>Kusterer Marianne</cp:lastModifiedBy>
  <cp:revision>3</cp:revision>
  <cp:lastPrinted>2019-12-10T08:32:00Z</cp:lastPrinted>
  <dcterms:created xsi:type="dcterms:W3CDTF">2020-06-03T10:42:00Z</dcterms:created>
  <dcterms:modified xsi:type="dcterms:W3CDTF">2020-06-03T11:30:00Z</dcterms:modified>
</cp:coreProperties>
</file>