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9E22" w14:textId="77777777" w:rsidR="00F91567" w:rsidRDefault="00F91567" w:rsidP="00F91567">
      <w:pPr>
        <w:spacing w:line="264" w:lineRule="auto"/>
        <w:rPr>
          <w:rFonts w:ascii="Plain Thin" w:hAnsi="Plain Thi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88BE06" wp14:editId="61D6E81C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106930" cy="940435"/>
            <wp:effectExtent l="0" t="0" r="762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lain Thin" w:hAnsi="Plain Thin"/>
          <w:sz w:val="24"/>
          <w:szCs w:val="24"/>
        </w:rPr>
        <w:t>PRESSEINFORMATION</w:t>
      </w:r>
      <w:r>
        <w:rPr>
          <w:rFonts w:ascii="Plain Thin" w:hAnsi="Plain Thin"/>
          <w:sz w:val="24"/>
          <w:szCs w:val="24"/>
        </w:rPr>
        <w:tab/>
      </w:r>
      <w:r>
        <w:rPr>
          <w:rFonts w:ascii="Plain Thin" w:hAnsi="Plain Thin"/>
          <w:sz w:val="24"/>
          <w:szCs w:val="24"/>
        </w:rPr>
        <w:tab/>
      </w:r>
      <w:r>
        <w:rPr>
          <w:rFonts w:ascii="Plain Thin" w:hAnsi="Plain Thin"/>
          <w:sz w:val="24"/>
          <w:szCs w:val="24"/>
        </w:rPr>
        <w:tab/>
      </w:r>
      <w:r>
        <w:rPr>
          <w:rFonts w:ascii="Plain Thin" w:hAnsi="Plain Thin"/>
          <w:sz w:val="24"/>
          <w:szCs w:val="24"/>
        </w:rPr>
        <w:tab/>
      </w:r>
      <w:r>
        <w:rPr>
          <w:rFonts w:ascii="Plain Thin" w:hAnsi="Plain Thin"/>
          <w:sz w:val="24"/>
          <w:szCs w:val="24"/>
        </w:rPr>
        <w:tab/>
      </w:r>
      <w:r>
        <w:rPr>
          <w:rFonts w:ascii="Plain Thin" w:hAnsi="Plain Thin"/>
          <w:sz w:val="24"/>
          <w:szCs w:val="24"/>
        </w:rPr>
        <w:tab/>
      </w:r>
    </w:p>
    <w:p w14:paraId="04D44FF4" w14:textId="23D2F2C0" w:rsidR="00F91567" w:rsidRDefault="00F91567" w:rsidP="00F91567">
      <w:pPr>
        <w:spacing w:line="264" w:lineRule="auto"/>
        <w:rPr>
          <w:sz w:val="32"/>
          <w:szCs w:val="32"/>
        </w:rPr>
      </w:pPr>
    </w:p>
    <w:p w14:paraId="6EB78637" w14:textId="77777777" w:rsidR="00AE235B" w:rsidRDefault="00AE235B" w:rsidP="00F91567">
      <w:pPr>
        <w:spacing w:line="264" w:lineRule="auto"/>
        <w:rPr>
          <w:sz w:val="32"/>
          <w:szCs w:val="32"/>
        </w:rPr>
      </w:pPr>
      <w:bookmarkStart w:id="0" w:name="_GoBack"/>
      <w:bookmarkEnd w:id="0"/>
    </w:p>
    <w:p w14:paraId="600BEFB2" w14:textId="3F47D1F4" w:rsidR="00D223AD" w:rsidRPr="00580278" w:rsidRDefault="00E44C15" w:rsidP="00F91567">
      <w:pPr>
        <w:rPr>
          <w:rFonts w:ascii="Plain Medium" w:hAnsi="Plain Medium"/>
          <w:b/>
          <w:bCs/>
          <w:i/>
          <w:iCs/>
          <w:sz w:val="20"/>
          <w:szCs w:val="20"/>
        </w:rPr>
      </w:pPr>
      <w:r>
        <w:rPr>
          <w:rFonts w:ascii="Plain Medium" w:hAnsi="Plain Medium"/>
          <w:b/>
        </w:rPr>
        <w:t xml:space="preserve">Studie zeigt: Erhebliche Mehrbelastung für </w:t>
      </w:r>
      <w:proofErr w:type="spellStart"/>
      <w:r>
        <w:rPr>
          <w:rFonts w:ascii="Plain Medium" w:hAnsi="Plain Medium"/>
          <w:b/>
        </w:rPr>
        <w:t>Online-</w:t>
      </w:r>
      <w:proofErr w:type="gramStart"/>
      <w:r>
        <w:rPr>
          <w:rFonts w:ascii="Plain Medium" w:hAnsi="Plain Medium"/>
          <w:b/>
        </w:rPr>
        <w:t>Händler:innen</w:t>
      </w:r>
      <w:proofErr w:type="spellEnd"/>
      <w:proofErr w:type="gramEnd"/>
      <w:r>
        <w:rPr>
          <w:rFonts w:ascii="Plain Medium" w:hAnsi="Plain Medium"/>
          <w:b/>
        </w:rPr>
        <w:t xml:space="preserve"> durch Umsatzsteuerreform</w:t>
      </w:r>
    </w:p>
    <w:p w14:paraId="44F77860" w14:textId="4FD5C60A" w:rsidR="00AB200F" w:rsidRPr="007457F6" w:rsidRDefault="00F91567" w:rsidP="00F91567">
      <w:pPr>
        <w:rPr>
          <w:rFonts w:ascii="Plain Light" w:hAnsi="Plain Light" w:cs="Arial"/>
          <w:b/>
          <w:shd w:val="clear" w:color="auto" w:fill="FFFFFF"/>
        </w:rPr>
      </w:pPr>
      <w:r>
        <w:rPr>
          <w:rFonts w:ascii="Plain Light" w:hAnsi="Plain Light"/>
          <w:b/>
          <w:bCs/>
          <w:i/>
          <w:iCs/>
          <w:sz w:val="20"/>
          <w:szCs w:val="20"/>
        </w:rPr>
        <w:t>Berlin</w:t>
      </w:r>
      <w:r w:rsidR="00E44C15">
        <w:rPr>
          <w:rFonts w:ascii="Plain Light" w:hAnsi="Plain Light"/>
          <w:b/>
          <w:bCs/>
          <w:i/>
          <w:iCs/>
          <w:sz w:val="20"/>
          <w:szCs w:val="20"/>
        </w:rPr>
        <w:t>/Essen.</w:t>
      </w:r>
      <w:r>
        <w:rPr>
          <w:rFonts w:ascii="Plain Light" w:hAnsi="Plain Light"/>
          <w:b/>
          <w:bCs/>
          <w:i/>
          <w:iCs/>
          <w:sz w:val="20"/>
          <w:szCs w:val="20"/>
        </w:rPr>
        <w:t xml:space="preserve"> </w:t>
      </w:r>
      <w:r w:rsidR="009B7548">
        <w:rPr>
          <w:rFonts w:ascii="Plain Light" w:hAnsi="Plain Light"/>
          <w:b/>
          <w:bCs/>
          <w:i/>
          <w:iCs/>
          <w:sz w:val="20"/>
          <w:szCs w:val="20"/>
        </w:rPr>
        <w:t>20</w:t>
      </w:r>
      <w:r>
        <w:rPr>
          <w:rFonts w:ascii="Plain Light" w:hAnsi="Plain Light"/>
          <w:b/>
          <w:bCs/>
          <w:i/>
          <w:iCs/>
          <w:sz w:val="20"/>
          <w:szCs w:val="20"/>
        </w:rPr>
        <w:t xml:space="preserve">.09.2022. </w:t>
      </w:r>
      <w:r w:rsidR="00D93EA3">
        <w:rPr>
          <w:rFonts w:ascii="Plain Light" w:hAnsi="Plain Light"/>
          <w:b/>
          <w:bCs/>
          <w:iCs/>
        </w:rPr>
        <w:t>Der Online-Handel in Deutschland stellt sich auf empfindlichen</w:t>
      </w:r>
      <w:r w:rsidR="00112184">
        <w:rPr>
          <w:rFonts w:ascii="Plain Light" w:hAnsi="Plain Light"/>
          <w:b/>
          <w:bCs/>
          <w:iCs/>
        </w:rPr>
        <w:t xml:space="preserve"> bürokratischen</w:t>
      </w:r>
      <w:r w:rsidR="00D93EA3">
        <w:rPr>
          <w:rFonts w:ascii="Plain Light" w:hAnsi="Plain Light"/>
          <w:b/>
          <w:bCs/>
          <w:iCs/>
        </w:rPr>
        <w:t xml:space="preserve"> Mehraufwand ein.</w:t>
      </w:r>
      <w:r w:rsidR="002269A4">
        <w:rPr>
          <w:rFonts w:ascii="Plain Light" w:hAnsi="Plain Light"/>
          <w:b/>
          <w:bCs/>
          <w:iCs/>
        </w:rPr>
        <w:t xml:space="preserve"> Grund dafür ist die</w:t>
      </w:r>
      <w:r w:rsidR="00D93EA3">
        <w:rPr>
          <w:rFonts w:ascii="Plain Light" w:hAnsi="Plain Light"/>
          <w:b/>
          <w:bCs/>
          <w:iCs/>
        </w:rPr>
        <w:t xml:space="preserve"> seit Juli 2021 in Kraft getretene</w:t>
      </w:r>
      <w:r w:rsidR="002269A4">
        <w:rPr>
          <w:rFonts w:ascii="Plain Light" w:hAnsi="Plain Light"/>
          <w:b/>
          <w:bCs/>
          <w:iCs/>
        </w:rPr>
        <w:t xml:space="preserve"> </w:t>
      </w:r>
      <w:r w:rsidR="00112184">
        <w:rPr>
          <w:rFonts w:ascii="Plain Light" w:hAnsi="Plain Light"/>
          <w:b/>
          <w:bCs/>
          <w:iCs/>
        </w:rPr>
        <w:t>EU-Umsatzsteuerreform</w:t>
      </w:r>
      <w:r w:rsidR="001A7247" w:rsidRPr="00AB200F">
        <w:rPr>
          <w:rFonts w:ascii="Plain Light" w:hAnsi="Plain Light"/>
          <w:b/>
          <w:bCs/>
          <w:iCs/>
        </w:rPr>
        <w:t xml:space="preserve">. </w:t>
      </w:r>
      <w:r w:rsidR="00AB200F" w:rsidRPr="00AB200F">
        <w:rPr>
          <w:rFonts w:ascii="Plain Light" w:hAnsi="Plain Light" w:cs="Arial"/>
          <w:b/>
          <w:shd w:val="clear" w:color="auto" w:fill="FFFFFF"/>
        </w:rPr>
        <w:t xml:space="preserve">Das belegt die heute im </w:t>
      </w:r>
      <w:r w:rsidR="00D62BE6">
        <w:rPr>
          <w:rFonts w:ascii="Plain Light" w:hAnsi="Plain Light" w:cs="Arial"/>
          <w:b/>
          <w:shd w:val="clear" w:color="auto" w:fill="FFFFFF"/>
        </w:rPr>
        <w:t>Händlerbund-</w:t>
      </w:r>
      <w:r w:rsidR="00AB200F" w:rsidRPr="00AB200F">
        <w:rPr>
          <w:rFonts w:ascii="Plain Light" w:hAnsi="Plain Light" w:cs="Arial"/>
          <w:b/>
          <w:shd w:val="clear" w:color="auto" w:fill="FFFFFF"/>
        </w:rPr>
        <w:t xml:space="preserve">Branchenreport 2022 veröffentlichte </w:t>
      </w:r>
      <w:proofErr w:type="spellStart"/>
      <w:r w:rsidR="00AB200F" w:rsidRPr="00AB200F">
        <w:rPr>
          <w:rFonts w:ascii="Plain Light" w:hAnsi="Plain Light" w:cs="Arial"/>
          <w:b/>
          <w:shd w:val="clear" w:color="auto" w:fill="FFFFFF"/>
        </w:rPr>
        <w:t>fynax</w:t>
      </w:r>
      <w:proofErr w:type="spellEnd"/>
      <w:r w:rsidR="00AB200F" w:rsidRPr="00AB200F">
        <w:rPr>
          <w:rFonts w:ascii="Plain Light" w:hAnsi="Plain Light" w:cs="Arial"/>
          <w:b/>
          <w:shd w:val="clear" w:color="auto" w:fill="FFFFFF"/>
        </w:rPr>
        <w:t>-Studie zu den steuerlichen Herausforderungen im Online-Handel, eine Studie in Kooperation mit der Händlerbund Management AG, dem größten Onlinehandelsverbands Europas.</w:t>
      </w:r>
      <w:r w:rsidR="00AB200F">
        <w:rPr>
          <w:rFonts w:ascii="Plain Light" w:hAnsi="Plain Light" w:cs="Arial"/>
          <w:b/>
          <w:shd w:val="clear" w:color="auto" w:fill="FFFFFF"/>
        </w:rPr>
        <w:t xml:space="preserve"> </w:t>
      </w:r>
      <w:r w:rsidR="002468F1">
        <w:rPr>
          <w:rFonts w:ascii="Plain Light" w:hAnsi="Plain Light" w:cs="Arial"/>
          <w:b/>
          <w:shd w:val="clear" w:color="auto" w:fill="FFFFFF"/>
        </w:rPr>
        <w:t>Demnach berichten über 60 Prozent von Problemen bei der technischen Umstellung</w:t>
      </w:r>
      <w:r w:rsidR="008F6204">
        <w:rPr>
          <w:rFonts w:ascii="Plain Light" w:hAnsi="Plain Light" w:cs="Arial"/>
          <w:b/>
          <w:shd w:val="clear" w:color="auto" w:fill="FFFFFF"/>
        </w:rPr>
        <w:t xml:space="preserve"> auf das sogenannte </w:t>
      </w:r>
      <w:proofErr w:type="spellStart"/>
      <w:r w:rsidR="008F6204">
        <w:rPr>
          <w:rFonts w:ascii="Plain Light" w:hAnsi="Plain Light" w:cs="Arial"/>
          <w:b/>
          <w:shd w:val="clear" w:color="auto" w:fill="FFFFFF"/>
        </w:rPr>
        <w:t>One</w:t>
      </w:r>
      <w:proofErr w:type="spellEnd"/>
      <w:r w:rsidR="008F6204">
        <w:rPr>
          <w:rFonts w:ascii="Plain Light" w:hAnsi="Plain Light" w:cs="Arial"/>
          <w:b/>
          <w:shd w:val="clear" w:color="auto" w:fill="FFFFFF"/>
        </w:rPr>
        <w:t>-</w:t>
      </w:r>
      <w:proofErr w:type="spellStart"/>
      <w:r w:rsidR="008F6204">
        <w:rPr>
          <w:rFonts w:ascii="Plain Light" w:hAnsi="Plain Light" w:cs="Arial"/>
          <w:b/>
          <w:shd w:val="clear" w:color="auto" w:fill="FFFFFF"/>
        </w:rPr>
        <w:t>Stop</w:t>
      </w:r>
      <w:proofErr w:type="spellEnd"/>
      <w:r w:rsidR="008F6204">
        <w:rPr>
          <w:rFonts w:ascii="Plain Light" w:hAnsi="Plain Light" w:cs="Arial"/>
          <w:b/>
          <w:shd w:val="clear" w:color="auto" w:fill="FFFFFF"/>
        </w:rPr>
        <w:t xml:space="preserve">-Shop-System (OSS). </w:t>
      </w:r>
      <w:r w:rsidR="00026839">
        <w:rPr>
          <w:rFonts w:ascii="Plain Light" w:hAnsi="Plain Light" w:cs="Arial"/>
          <w:b/>
          <w:shd w:val="clear" w:color="auto" w:fill="FFFFFF"/>
        </w:rPr>
        <w:t xml:space="preserve">Zudem sei der Aufwand bei </w:t>
      </w:r>
      <w:r w:rsidR="00026839" w:rsidRPr="00026839">
        <w:rPr>
          <w:rFonts w:ascii="Plain Light" w:hAnsi="Plain Light" w:cs="Arial"/>
          <w:b/>
          <w:shd w:val="clear" w:color="auto" w:fill="FFFFFF"/>
        </w:rPr>
        <w:t>de</w:t>
      </w:r>
      <w:r w:rsidR="00026839">
        <w:rPr>
          <w:rFonts w:ascii="Plain Light" w:hAnsi="Plain Light" w:cs="Arial"/>
          <w:b/>
          <w:shd w:val="clear" w:color="auto" w:fill="FFFFFF"/>
        </w:rPr>
        <w:t>n</w:t>
      </w:r>
      <w:r w:rsidR="00026839" w:rsidRPr="00026839">
        <w:rPr>
          <w:rFonts w:ascii="Plain Light" w:hAnsi="Plain Light" w:cs="Arial"/>
          <w:b/>
          <w:shd w:val="clear" w:color="auto" w:fill="FFFFFF"/>
        </w:rPr>
        <w:t xml:space="preserve"> steuerrechtlichen Meldepflichten</w:t>
      </w:r>
      <w:r w:rsidR="00026839">
        <w:rPr>
          <w:rFonts w:ascii="Plain Light" w:hAnsi="Plain Light" w:cs="Arial"/>
          <w:b/>
          <w:shd w:val="clear" w:color="auto" w:fill="FFFFFF"/>
        </w:rPr>
        <w:t xml:space="preserve"> deutlich </w:t>
      </w:r>
      <w:r w:rsidR="007457F6">
        <w:rPr>
          <w:rFonts w:ascii="Plain Light" w:hAnsi="Plain Light" w:cs="Arial"/>
          <w:b/>
          <w:shd w:val="clear" w:color="auto" w:fill="FFFFFF"/>
        </w:rPr>
        <w:t>gestiegen</w:t>
      </w:r>
      <w:r w:rsidR="00026839">
        <w:rPr>
          <w:rFonts w:ascii="Plain Light" w:hAnsi="Plain Light" w:cs="Arial"/>
          <w:b/>
          <w:shd w:val="clear" w:color="auto" w:fill="FFFFFF"/>
        </w:rPr>
        <w:t xml:space="preserve">. </w:t>
      </w:r>
      <w:r w:rsidR="00AB200F">
        <w:rPr>
          <w:rFonts w:ascii="Plain Light" w:hAnsi="Plain Light" w:cs="Arial"/>
          <w:b/>
          <w:shd w:val="clear" w:color="auto" w:fill="FFFFFF"/>
        </w:rPr>
        <w:t xml:space="preserve">Für die Studie wurden rund 500 </w:t>
      </w:r>
      <w:proofErr w:type="spellStart"/>
      <w:r w:rsidR="00AB200F">
        <w:rPr>
          <w:rFonts w:ascii="Plain Light" w:hAnsi="Plain Light" w:cs="Arial"/>
          <w:b/>
          <w:shd w:val="clear" w:color="auto" w:fill="FFFFFF"/>
        </w:rPr>
        <w:t>Online-</w:t>
      </w:r>
      <w:proofErr w:type="gramStart"/>
      <w:r w:rsidR="00AB200F">
        <w:rPr>
          <w:rFonts w:ascii="Plain Light" w:hAnsi="Plain Light" w:cs="Arial"/>
          <w:b/>
          <w:shd w:val="clear" w:color="auto" w:fill="FFFFFF"/>
        </w:rPr>
        <w:t>Händler:innen</w:t>
      </w:r>
      <w:proofErr w:type="spellEnd"/>
      <w:proofErr w:type="gramEnd"/>
      <w:r w:rsidR="00AB200F">
        <w:rPr>
          <w:rFonts w:ascii="Plain Light" w:hAnsi="Plain Light" w:cs="Arial"/>
          <w:b/>
          <w:shd w:val="clear" w:color="auto" w:fill="FFFFFF"/>
        </w:rPr>
        <w:t xml:space="preserve"> in einem Zeitraum vom 9. Mai-31. Juli</w:t>
      </w:r>
      <w:r w:rsidR="007457F6">
        <w:rPr>
          <w:rFonts w:ascii="Plain Light" w:hAnsi="Plain Light" w:cs="Arial"/>
          <w:b/>
          <w:shd w:val="clear" w:color="auto" w:fill="FFFFFF"/>
        </w:rPr>
        <w:t xml:space="preserve"> 2022</w:t>
      </w:r>
      <w:r w:rsidR="00AB200F">
        <w:rPr>
          <w:rFonts w:ascii="Plain Light" w:hAnsi="Plain Light" w:cs="Arial"/>
          <w:b/>
          <w:shd w:val="clear" w:color="auto" w:fill="FFFFFF"/>
        </w:rPr>
        <w:t xml:space="preserve"> befragt.</w:t>
      </w:r>
    </w:p>
    <w:p w14:paraId="2540A435" w14:textId="1B484DC8" w:rsidR="004D640C" w:rsidRPr="00A31B5E" w:rsidRDefault="006174F2" w:rsidP="004D640C">
      <w:pPr>
        <w:rPr>
          <w:rFonts w:ascii="Plain Thin" w:hAnsi="Plain Thin"/>
        </w:rPr>
      </w:pPr>
      <w:bookmarkStart w:id="1" w:name="_Hlk95729971"/>
      <w:proofErr w:type="spellStart"/>
      <w:r w:rsidRPr="00A31B5E">
        <w:rPr>
          <w:rFonts w:ascii="Plain Thin" w:hAnsi="Plain Thin"/>
        </w:rPr>
        <w:t>One</w:t>
      </w:r>
      <w:proofErr w:type="spellEnd"/>
      <w:r w:rsidRPr="00A31B5E">
        <w:rPr>
          <w:rFonts w:ascii="Plain Thin" w:hAnsi="Plain Thin"/>
        </w:rPr>
        <w:t>-</w:t>
      </w:r>
      <w:proofErr w:type="spellStart"/>
      <w:r w:rsidRPr="00A31B5E">
        <w:rPr>
          <w:rFonts w:ascii="Plain Thin" w:hAnsi="Plain Thin"/>
        </w:rPr>
        <w:t>Stop</w:t>
      </w:r>
      <w:proofErr w:type="spellEnd"/>
      <w:r w:rsidRPr="00A31B5E">
        <w:rPr>
          <w:rFonts w:ascii="Plain Thin" w:hAnsi="Plain Thin"/>
        </w:rPr>
        <w:t>-Shop (OSS), Import-</w:t>
      </w:r>
      <w:proofErr w:type="spellStart"/>
      <w:r w:rsidRPr="00A31B5E">
        <w:rPr>
          <w:rFonts w:ascii="Plain Thin" w:hAnsi="Plain Thin"/>
        </w:rPr>
        <w:t>One</w:t>
      </w:r>
      <w:proofErr w:type="spellEnd"/>
      <w:r w:rsidRPr="00A31B5E">
        <w:rPr>
          <w:rFonts w:ascii="Plain Thin" w:hAnsi="Plain Thin"/>
        </w:rPr>
        <w:t>-</w:t>
      </w:r>
      <w:proofErr w:type="spellStart"/>
      <w:r w:rsidRPr="00A31B5E">
        <w:rPr>
          <w:rFonts w:ascii="Plain Thin" w:hAnsi="Plain Thin"/>
        </w:rPr>
        <w:t>Stop</w:t>
      </w:r>
      <w:proofErr w:type="spellEnd"/>
      <w:r w:rsidRPr="00A31B5E">
        <w:rPr>
          <w:rFonts w:ascii="Plain Thin" w:hAnsi="Plain Thin"/>
        </w:rPr>
        <w:t xml:space="preserve">-Shop (IOSS), Fernverkauf und eine einheitliche Lieferschwelle – mit der zweiten Stufe des sogenannten Mehrwertsteuer-Digitalpakets der Europäischen Union trat im Juli 2021 die größte Umsatzsteuerreform seit 1993 in Kraft, </w:t>
      </w:r>
      <w:r w:rsidR="00D873D0">
        <w:rPr>
          <w:rFonts w:ascii="Plain Thin" w:hAnsi="Plain Thin"/>
        </w:rPr>
        <w:t>u.</w:t>
      </w:r>
      <w:r w:rsidR="00A26444">
        <w:rPr>
          <w:rFonts w:ascii="Plain Thin" w:hAnsi="Plain Thin"/>
        </w:rPr>
        <w:t xml:space="preserve"> </w:t>
      </w:r>
      <w:r w:rsidR="00D873D0">
        <w:rPr>
          <w:rFonts w:ascii="Plain Thin" w:hAnsi="Plain Thin"/>
        </w:rPr>
        <w:t xml:space="preserve">a. </w:t>
      </w:r>
      <w:r w:rsidRPr="00A31B5E">
        <w:rPr>
          <w:rFonts w:ascii="Plain Thin" w:hAnsi="Plain Thin"/>
        </w:rPr>
        <w:t>mit dem Ziel</w:t>
      </w:r>
      <w:r w:rsidR="007F3CAA">
        <w:rPr>
          <w:rFonts w:ascii="Plain Thin" w:hAnsi="Plain Thin"/>
        </w:rPr>
        <w:t>,</w:t>
      </w:r>
      <w:r w:rsidR="008F1F44" w:rsidRPr="00A31B5E">
        <w:rPr>
          <w:rFonts w:ascii="Plain Thin" w:hAnsi="Plain Thin"/>
        </w:rPr>
        <w:t xml:space="preserve"> </w:t>
      </w:r>
      <w:r w:rsidRPr="00A31B5E">
        <w:rPr>
          <w:rFonts w:ascii="Plain Thin" w:hAnsi="Plain Thin"/>
        </w:rPr>
        <w:t xml:space="preserve">Vorschriften und Prozesse für </w:t>
      </w:r>
      <w:proofErr w:type="spellStart"/>
      <w:r w:rsidR="008F1F44" w:rsidRPr="00A31B5E">
        <w:rPr>
          <w:rFonts w:ascii="Plain Thin" w:hAnsi="Plain Thin"/>
        </w:rPr>
        <w:t>Händler:innen</w:t>
      </w:r>
      <w:proofErr w:type="spellEnd"/>
      <w:r w:rsidRPr="00A31B5E">
        <w:rPr>
          <w:rFonts w:ascii="Plain Thin" w:hAnsi="Plain Thin"/>
        </w:rPr>
        <w:t xml:space="preserve"> zu vereinfachen</w:t>
      </w:r>
      <w:r w:rsidR="008F1F44" w:rsidRPr="00A31B5E">
        <w:rPr>
          <w:rFonts w:ascii="Plain Thin" w:hAnsi="Plain Thin"/>
        </w:rPr>
        <w:t xml:space="preserve"> und für Entlastung im unternehmerischen Alltag zu sorgen</w:t>
      </w:r>
      <w:r w:rsidR="004D640C" w:rsidRPr="00CF493C">
        <w:rPr>
          <w:rFonts w:ascii="Plain Thin" w:hAnsi="Plain Thin"/>
        </w:rPr>
        <w:t xml:space="preserve">. Im Zuge des </w:t>
      </w:r>
      <w:proofErr w:type="spellStart"/>
      <w:r w:rsidR="004D640C" w:rsidRPr="00CF493C">
        <w:rPr>
          <w:rFonts w:ascii="Plain Thin" w:hAnsi="Plain Thin"/>
        </w:rPr>
        <w:t>One</w:t>
      </w:r>
      <w:proofErr w:type="spellEnd"/>
      <w:r w:rsidR="004D640C" w:rsidRPr="00CF493C">
        <w:rPr>
          <w:rFonts w:ascii="Plain Thin" w:hAnsi="Plain Thin"/>
        </w:rPr>
        <w:t>-</w:t>
      </w:r>
      <w:proofErr w:type="spellStart"/>
      <w:r w:rsidR="004D640C" w:rsidRPr="00CF493C">
        <w:rPr>
          <w:rFonts w:ascii="Plain Thin" w:hAnsi="Plain Thin"/>
        </w:rPr>
        <w:t>Stop</w:t>
      </w:r>
      <w:proofErr w:type="spellEnd"/>
      <w:r w:rsidR="004D640C" w:rsidRPr="00CF493C">
        <w:rPr>
          <w:rFonts w:ascii="Plain Thin" w:hAnsi="Plain Thin"/>
        </w:rPr>
        <w:t>-Shop</w:t>
      </w:r>
      <w:r w:rsidR="004D640C">
        <w:rPr>
          <w:rFonts w:ascii="Plain Thin" w:hAnsi="Plain Thin"/>
        </w:rPr>
        <w:t xml:space="preserve">-Verfahrens </w:t>
      </w:r>
      <w:r w:rsidR="004D640C" w:rsidRPr="00CF493C">
        <w:rPr>
          <w:rFonts w:ascii="Plain Thin" w:hAnsi="Plain Thin"/>
        </w:rPr>
        <w:t>wurde zeitgleich auch das V</w:t>
      </w:r>
      <w:r w:rsidR="004D640C">
        <w:rPr>
          <w:rFonts w:ascii="Plain Thin" w:hAnsi="Plain Thin"/>
        </w:rPr>
        <w:t xml:space="preserve">erfahren </w:t>
      </w:r>
      <w:r w:rsidR="004D640C" w:rsidRPr="00CF493C">
        <w:rPr>
          <w:rFonts w:ascii="Plain Thin" w:hAnsi="Plain Thin"/>
        </w:rPr>
        <w:t>Import-</w:t>
      </w:r>
      <w:proofErr w:type="spellStart"/>
      <w:r w:rsidR="004D640C" w:rsidRPr="00CF493C">
        <w:rPr>
          <w:rFonts w:ascii="Plain Thin" w:hAnsi="Plain Thin"/>
        </w:rPr>
        <w:t>One</w:t>
      </w:r>
      <w:proofErr w:type="spellEnd"/>
      <w:r w:rsidR="004D640C" w:rsidRPr="00CF493C">
        <w:rPr>
          <w:rFonts w:ascii="Plain Thin" w:hAnsi="Plain Thin"/>
        </w:rPr>
        <w:t>-</w:t>
      </w:r>
      <w:proofErr w:type="spellStart"/>
      <w:r w:rsidR="004D640C" w:rsidRPr="00CF493C">
        <w:rPr>
          <w:rFonts w:ascii="Plain Thin" w:hAnsi="Plain Thin"/>
        </w:rPr>
        <w:t>Stop</w:t>
      </w:r>
      <w:proofErr w:type="spellEnd"/>
      <w:r w:rsidR="004D640C" w:rsidRPr="00CF493C">
        <w:rPr>
          <w:rFonts w:ascii="Plain Thin" w:hAnsi="Plain Thin"/>
        </w:rPr>
        <w:t>-Shop</w:t>
      </w:r>
      <w:r w:rsidR="004D640C">
        <w:rPr>
          <w:rFonts w:ascii="Plain Thin" w:hAnsi="Plain Thin"/>
        </w:rPr>
        <w:t xml:space="preserve"> (kurz: IOSS) eingerichtet, d</w:t>
      </w:r>
      <w:r w:rsidR="00BF6336">
        <w:rPr>
          <w:rFonts w:ascii="Plain Thin" w:hAnsi="Plain Thin"/>
        </w:rPr>
        <w:t>as</w:t>
      </w:r>
      <w:r w:rsidR="004D640C">
        <w:rPr>
          <w:rFonts w:ascii="Plain Thin" w:hAnsi="Plain Thin"/>
        </w:rPr>
        <w:t xml:space="preserve"> sich </w:t>
      </w:r>
      <w:r w:rsidR="004D640C" w:rsidRPr="00CF493C">
        <w:rPr>
          <w:rFonts w:ascii="Plain Thin" w:hAnsi="Plain Thin"/>
        </w:rPr>
        <w:t xml:space="preserve">explizit an </w:t>
      </w:r>
      <w:r w:rsidR="004D640C">
        <w:rPr>
          <w:rFonts w:ascii="Plain Thin" w:hAnsi="Plain Thin"/>
        </w:rPr>
        <w:t xml:space="preserve">jene </w:t>
      </w:r>
      <w:r w:rsidR="004D640C" w:rsidRPr="00CF493C">
        <w:rPr>
          <w:rFonts w:ascii="Plain Thin" w:hAnsi="Plain Thin"/>
        </w:rPr>
        <w:t>Unternehmen</w:t>
      </w:r>
      <w:r w:rsidR="00BF6336">
        <w:rPr>
          <w:rFonts w:ascii="Plain Thin" w:hAnsi="Plain Thin"/>
        </w:rPr>
        <w:t xml:space="preserve"> </w:t>
      </w:r>
      <w:r w:rsidR="004D640C" w:rsidRPr="00CF493C">
        <w:rPr>
          <w:rFonts w:ascii="Plain Thin" w:hAnsi="Plain Thin"/>
        </w:rPr>
        <w:t>richtet, die Waren von außerhalb der EU einführen</w:t>
      </w:r>
      <w:r w:rsidR="004D640C">
        <w:rPr>
          <w:rFonts w:ascii="Plain Thin" w:hAnsi="Plain Thin"/>
        </w:rPr>
        <w:t>.</w:t>
      </w:r>
    </w:p>
    <w:p w14:paraId="3B5C38E6" w14:textId="1BF32BF6" w:rsidR="004D640C" w:rsidRDefault="00A26444" w:rsidP="004D640C">
      <w:pPr>
        <w:rPr>
          <w:rFonts w:ascii="Plain Thin" w:hAnsi="Plain Thin"/>
          <w:noProof/>
        </w:rPr>
      </w:pPr>
      <w:r>
        <w:rPr>
          <w:rFonts w:ascii="Plain Thin" w:hAnsi="Plain Thin"/>
        </w:rPr>
        <w:t xml:space="preserve">Die Ergebnisse </w:t>
      </w:r>
      <w:r w:rsidR="00BE0FA0">
        <w:rPr>
          <w:rFonts w:ascii="Plain Thin" w:hAnsi="Plain Thin"/>
        </w:rPr>
        <w:t>einer</w:t>
      </w:r>
      <w:r>
        <w:rPr>
          <w:rFonts w:ascii="Plain Thin" w:hAnsi="Plain Thin"/>
        </w:rPr>
        <w:t xml:space="preserve"> </w:t>
      </w:r>
      <w:r w:rsidR="00BE0FA0">
        <w:rPr>
          <w:rFonts w:ascii="Plain Thin" w:hAnsi="Plain Thin"/>
        </w:rPr>
        <w:t>nun veröffentlichten</w:t>
      </w:r>
      <w:r w:rsidR="004D640C">
        <w:rPr>
          <w:rFonts w:ascii="Plain Thin" w:hAnsi="Plain Thin"/>
        </w:rPr>
        <w:t xml:space="preserve"> gemeinsamen</w:t>
      </w:r>
      <w:r w:rsidR="00BE0FA0">
        <w:rPr>
          <w:rFonts w:ascii="Plain Thin" w:hAnsi="Plain Thin"/>
        </w:rPr>
        <w:t xml:space="preserve"> Studie</w:t>
      </w:r>
      <w:r w:rsidR="004D640C">
        <w:rPr>
          <w:rFonts w:ascii="Plain Thin" w:hAnsi="Plain Thin"/>
        </w:rPr>
        <w:t xml:space="preserve"> von </w:t>
      </w:r>
      <w:proofErr w:type="spellStart"/>
      <w:r w:rsidR="004D640C">
        <w:rPr>
          <w:rFonts w:ascii="Plain Thin" w:hAnsi="Plain Thin"/>
        </w:rPr>
        <w:t>fynax</w:t>
      </w:r>
      <w:proofErr w:type="spellEnd"/>
      <w:r w:rsidR="004D640C">
        <w:rPr>
          <w:rFonts w:ascii="Plain Thin" w:hAnsi="Plain Thin"/>
        </w:rPr>
        <w:t xml:space="preserve"> und dem Händlerbund </w:t>
      </w:r>
      <w:r w:rsidR="00112184" w:rsidRPr="00CF493C">
        <w:rPr>
          <w:rFonts w:ascii="Plain Thin" w:hAnsi="Plain Thin"/>
        </w:rPr>
        <w:t>zeigen</w:t>
      </w:r>
      <w:r w:rsidR="00BE0FA0">
        <w:rPr>
          <w:rFonts w:ascii="Plain Thin" w:hAnsi="Plain Thin"/>
        </w:rPr>
        <w:t xml:space="preserve"> allerdings</w:t>
      </w:r>
      <w:r w:rsidR="00112184" w:rsidRPr="00CF493C">
        <w:rPr>
          <w:rFonts w:ascii="Plain Thin" w:hAnsi="Plain Thin"/>
        </w:rPr>
        <w:t xml:space="preserve">, dass offenbar ein erstaunlich hoher Anteil von </w:t>
      </w:r>
      <w:proofErr w:type="spellStart"/>
      <w:r w:rsidR="00112184" w:rsidRPr="00CF493C">
        <w:rPr>
          <w:rFonts w:ascii="Plain Thin" w:hAnsi="Plain Thin"/>
        </w:rPr>
        <w:t>Händler</w:t>
      </w:r>
      <w:r w:rsidR="00112184">
        <w:rPr>
          <w:rFonts w:ascii="Plain Thin" w:hAnsi="Plain Thin"/>
        </w:rPr>
        <w:t>:</w:t>
      </w:r>
      <w:r w:rsidR="00112184" w:rsidRPr="00CF493C">
        <w:rPr>
          <w:rFonts w:ascii="Plain Thin" w:hAnsi="Plain Thin"/>
        </w:rPr>
        <w:t>innen</w:t>
      </w:r>
      <w:proofErr w:type="spellEnd"/>
      <w:r w:rsidR="00112184" w:rsidRPr="00CF493C">
        <w:rPr>
          <w:rFonts w:ascii="Plain Thin" w:hAnsi="Plain Thin"/>
        </w:rPr>
        <w:t xml:space="preserve"> noch nicht mit allen Formalien und Möglichkeiten vertraut </w:t>
      </w:r>
      <w:r w:rsidR="00FD4B67">
        <w:rPr>
          <w:rFonts w:ascii="Plain Thin" w:hAnsi="Plain Thin"/>
        </w:rPr>
        <w:t>ist</w:t>
      </w:r>
      <w:r w:rsidR="00112184">
        <w:rPr>
          <w:rFonts w:ascii="Plain Thin" w:hAnsi="Plain Thin"/>
        </w:rPr>
        <w:t>, die die Reform mit sich bringt</w:t>
      </w:r>
      <w:r w:rsidR="00112184" w:rsidRPr="00CF493C">
        <w:rPr>
          <w:rFonts w:ascii="Plain Thin" w:hAnsi="Plain Thin"/>
        </w:rPr>
        <w:t xml:space="preserve">: Deutlich mehr als die Hälfte der Befragten weiß demnach nichts mit dem </w:t>
      </w:r>
      <w:r w:rsidR="00BF6336">
        <w:rPr>
          <w:rFonts w:ascii="Plain Thin" w:hAnsi="Plain Thin"/>
        </w:rPr>
        <w:t>IOSS</w:t>
      </w:r>
      <w:r w:rsidR="00112184" w:rsidRPr="00CF493C">
        <w:rPr>
          <w:rFonts w:ascii="Plain Thin" w:hAnsi="Plain Thin"/>
        </w:rPr>
        <w:t xml:space="preserve"> anzufangen</w:t>
      </w:r>
      <w:r w:rsidR="00A726E6">
        <w:rPr>
          <w:rFonts w:ascii="Plain Thin" w:hAnsi="Plain Thin"/>
        </w:rPr>
        <w:t>.</w:t>
      </w:r>
      <w:r w:rsidR="004D640C">
        <w:rPr>
          <w:rFonts w:ascii="Plain Thin" w:hAnsi="Plain Thin"/>
        </w:rPr>
        <w:t xml:space="preserve"> </w:t>
      </w:r>
      <w:r w:rsidR="004D640C">
        <w:rPr>
          <w:rFonts w:ascii="Plain Thin" w:hAnsi="Plain Thin" w:cs="DIN Pro Light"/>
        </w:rPr>
        <w:t>Auch bei</w:t>
      </w:r>
      <w:r w:rsidR="004D640C" w:rsidRPr="00A31B5E">
        <w:rPr>
          <w:rFonts w:ascii="Plain Thin" w:hAnsi="Plain Thin" w:cs="DIN Pro Light"/>
        </w:rPr>
        <w:t xml:space="preserve"> der technischen Umstellung hatte die deutliche Mehrheit offenbar Probleme: Für</w:t>
      </w:r>
      <w:r w:rsidR="004D640C" w:rsidRPr="00A31B5E">
        <w:rPr>
          <w:rFonts w:ascii="Plain Thin" w:hAnsi="Plain Thin"/>
        </w:rPr>
        <w:t xml:space="preserve"> 62 Prozent der Unternehmen gestaltete sich </w:t>
      </w:r>
      <w:r w:rsidR="00A726E6">
        <w:rPr>
          <w:rFonts w:ascii="Plain Thin" w:hAnsi="Plain Thin"/>
        </w:rPr>
        <w:t>diese</w:t>
      </w:r>
      <w:r w:rsidR="004D640C" w:rsidRPr="00A31B5E">
        <w:rPr>
          <w:rFonts w:ascii="Plain Thin" w:hAnsi="Plain Thin"/>
        </w:rPr>
        <w:t xml:space="preserve"> (sehr oder eher) problematisch.</w:t>
      </w:r>
      <w:r w:rsidR="004D640C" w:rsidRPr="00A31B5E">
        <w:rPr>
          <w:rStyle w:val="A7"/>
          <w:rFonts w:ascii="Plain Thin" w:hAnsi="Plain Thin"/>
          <w:sz w:val="22"/>
          <w:szCs w:val="22"/>
        </w:rPr>
        <w:t xml:space="preserve"> Die Studie zeigt, dass f</w:t>
      </w:r>
      <w:r w:rsidR="004D640C" w:rsidRPr="00A31B5E">
        <w:rPr>
          <w:rFonts w:ascii="Plain Thin" w:hAnsi="Plain Thin"/>
        </w:rPr>
        <w:t xml:space="preserve">ür viele Firmen der Aufwand in zahlreichen Fällen nicht gesunken, sondern spürbar gestiegen ist. Zusätzlich ist der </w:t>
      </w:r>
      <w:r w:rsidR="004D640C" w:rsidRPr="00A31B5E">
        <w:rPr>
          <w:rFonts w:ascii="Plain Thin" w:hAnsi="Plain Thin" w:cs="DIN Pro Light"/>
        </w:rPr>
        <w:t xml:space="preserve">bürokratische und administrative </w:t>
      </w:r>
      <w:r w:rsidR="004D640C" w:rsidRPr="00A31B5E">
        <w:rPr>
          <w:rFonts w:ascii="Plain Thin" w:hAnsi="Plain Thin"/>
        </w:rPr>
        <w:t xml:space="preserve">Aufwand im Rahmen </w:t>
      </w:r>
      <w:bookmarkStart w:id="2" w:name="_Hlk114212110"/>
      <w:r w:rsidR="004D640C" w:rsidRPr="00A31B5E">
        <w:rPr>
          <w:rFonts w:ascii="Plain Thin" w:hAnsi="Plain Thin"/>
        </w:rPr>
        <w:t xml:space="preserve">der steuerrechtlichen Meldepflichten </w:t>
      </w:r>
      <w:bookmarkEnd w:id="2"/>
      <w:r w:rsidR="004D640C" w:rsidRPr="00A31B5E">
        <w:rPr>
          <w:rFonts w:ascii="Plain Thin" w:hAnsi="Plain Thin"/>
        </w:rPr>
        <w:t xml:space="preserve">für die meisten </w:t>
      </w:r>
      <w:proofErr w:type="spellStart"/>
      <w:proofErr w:type="gramStart"/>
      <w:r w:rsidR="004D640C" w:rsidRPr="00A31B5E">
        <w:rPr>
          <w:rFonts w:ascii="Plain Thin" w:hAnsi="Plain Thin"/>
        </w:rPr>
        <w:t>Händler:innen</w:t>
      </w:r>
      <w:proofErr w:type="spellEnd"/>
      <w:proofErr w:type="gramEnd"/>
      <w:r w:rsidR="004D640C" w:rsidRPr="00A31B5E">
        <w:rPr>
          <w:rFonts w:ascii="Plain Thin" w:hAnsi="Plain Thin"/>
        </w:rPr>
        <w:t xml:space="preserve"> größer geworden. </w:t>
      </w:r>
    </w:p>
    <w:p w14:paraId="3DA8D5AF" w14:textId="09B92FB4" w:rsidR="004D640C" w:rsidRDefault="00BF6336" w:rsidP="004D640C">
      <w:pPr>
        <w:rPr>
          <w:rFonts w:ascii="Plain Thin" w:hAnsi="Plain Thin"/>
          <w:noProof/>
        </w:rPr>
      </w:pPr>
      <w:r>
        <w:rPr>
          <w:rFonts w:ascii="Plain Thin" w:hAnsi="Plain Thin"/>
        </w:rPr>
        <w:t xml:space="preserve">Der OSS hingegen ist im Arbeitsalltag der meisten </w:t>
      </w:r>
      <w:proofErr w:type="spellStart"/>
      <w:proofErr w:type="gramStart"/>
      <w:r>
        <w:rPr>
          <w:rFonts w:ascii="Plain Thin" w:hAnsi="Plain Thin"/>
        </w:rPr>
        <w:t>Händler:innen</w:t>
      </w:r>
      <w:proofErr w:type="spellEnd"/>
      <w:proofErr w:type="gramEnd"/>
      <w:r>
        <w:rPr>
          <w:rFonts w:ascii="Plain Thin" w:hAnsi="Plain Thin"/>
        </w:rPr>
        <w:t xml:space="preserve"> angekommen</w:t>
      </w:r>
      <w:r w:rsidR="004D640C" w:rsidRPr="00A31B5E">
        <w:rPr>
          <w:rFonts w:ascii="Plain Thin" w:hAnsi="Plain Thin"/>
        </w:rPr>
        <w:t xml:space="preserve">: Zwei Drittel der Befragten nutzen die Plattform. Sie dient als zentrale Anlaufstelle, über die Steuerpflichtige ihre Umsatzsteuererklärungen für ausländische Märkte innerhalb der EU </w:t>
      </w:r>
      <w:r>
        <w:rPr>
          <w:rFonts w:ascii="Plain Thin" w:hAnsi="Plain Thin"/>
        </w:rPr>
        <w:t>abgeben</w:t>
      </w:r>
      <w:r w:rsidR="004D640C" w:rsidRPr="00A31B5E">
        <w:rPr>
          <w:rFonts w:ascii="Plain Thin" w:hAnsi="Plain Thin"/>
        </w:rPr>
        <w:t xml:space="preserve"> können. </w:t>
      </w:r>
    </w:p>
    <w:p w14:paraId="270A04E5" w14:textId="77777777" w:rsidR="00A158CC" w:rsidRDefault="004D640C" w:rsidP="00A31B5E">
      <w:pPr>
        <w:rPr>
          <w:rFonts w:ascii="Plain Thin" w:hAnsi="Plain Thin" w:cs="DIN Pro Light"/>
        </w:rPr>
      </w:pPr>
      <w:r w:rsidRPr="00CF493C">
        <w:rPr>
          <w:rFonts w:ascii="Plain Thin" w:hAnsi="Plain Thin" w:cs="DIN Pro Light"/>
        </w:rPr>
        <w:t xml:space="preserve">Immerhin jeder fünfte Befragte </w:t>
      </w:r>
      <w:r>
        <w:rPr>
          <w:rFonts w:ascii="Plain Thin" w:hAnsi="Plain Thin" w:cs="DIN Pro Light"/>
        </w:rPr>
        <w:t>gab an</w:t>
      </w:r>
      <w:r w:rsidRPr="00CF493C">
        <w:rPr>
          <w:rFonts w:ascii="Plain Thin" w:hAnsi="Plain Thin" w:cs="DIN Pro Light"/>
        </w:rPr>
        <w:t xml:space="preserve">, das hauseigene Fulfillment-Angebot von Amazon (FBA) zu nutzen. Mit den entsprechenden Lagerländern kennt sich nur die Hälfte aus und </w:t>
      </w:r>
      <w:r w:rsidRPr="00CF493C">
        <w:rPr>
          <w:rFonts w:ascii="Plain Thin" w:hAnsi="Plain Thin" w:cs="DIN Pro Light"/>
        </w:rPr>
        <w:lastRenderedPageBreak/>
        <w:t xml:space="preserve">ebenso </w:t>
      </w:r>
      <w:r>
        <w:rPr>
          <w:rFonts w:ascii="Plain Thin" w:hAnsi="Plain Thin" w:cs="DIN Pro Light"/>
        </w:rPr>
        <w:t>viele</w:t>
      </w:r>
      <w:r w:rsidRPr="00CF493C">
        <w:rPr>
          <w:rFonts w:ascii="Plain Thin" w:hAnsi="Plain Thin" w:cs="DIN Pro Light"/>
        </w:rPr>
        <w:t xml:space="preserve"> </w:t>
      </w:r>
      <w:proofErr w:type="spellStart"/>
      <w:proofErr w:type="gramStart"/>
      <w:r w:rsidRPr="00CF493C">
        <w:rPr>
          <w:rFonts w:ascii="Plain Thin" w:hAnsi="Plain Thin" w:cs="DIN Pro Light"/>
        </w:rPr>
        <w:t>Unternehmer</w:t>
      </w:r>
      <w:r>
        <w:rPr>
          <w:rFonts w:ascii="Plain Thin" w:hAnsi="Plain Thin" w:cs="DIN Pro Light"/>
        </w:rPr>
        <w:t>:</w:t>
      </w:r>
      <w:r w:rsidRPr="00CF493C">
        <w:rPr>
          <w:rFonts w:ascii="Plain Thin" w:hAnsi="Plain Thin" w:cs="DIN Pro Light"/>
        </w:rPr>
        <w:t>innen</w:t>
      </w:r>
      <w:proofErr w:type="spellEnd"/>
      <w:proofErr w:type="gramEnd"/>
      <w:r w:rsidRPr="00CF493C">
        <w:rPr>
          <w:rFonts w:ascii="Plain Thin" w:hAnsi="Plain Thin" w:cs="DIN Pro Light"/>
        </w:rPr>
        <w:t xml:space="preserve"> meinen, über die steuerrechtlichen Auswirkungen einer internationalen Warenumlagerung Bescheid zu wissen.</w:t>
      </w:r>
    </w:p>
    <w:p w14:paraId="421DD57B" w14:textId="5C78F2DE" w:rsidR="00A31B5E" w:rsidRPr="00A158CC" w:rsidRDefault="00A31B5E" w:rsidP="00A31B5E">
      <w:pPr>
        <w:rPr>
          <w:rFonts w:ascii="Plain Thin" w:hAnsi="Plain Thin" w:cs="DIN Pro Light"/>
        </w:rPr>
      </w:pPr>
      <w:r w:rsidRPr="00CF493C">
        <w:rPr>
          <w:rFonts w:ascii="Plain Thin" w:hAnsi="Plain Thin" w:cs="DIN Pro Light"/>
        </w:rPr>
        <w:t xml:space="preserve">Die </w:t>
      </w:r>
      <w:r w:rsidR="006E7A8B">
        <w:rPr>
          <w:rFonts w:ascii="Plain Thin" w:hAnsi="Plain Thin" w:cs="DIN Pro Light"/>
        </w:rPr>
        <w:t>Studienergebnisse belegen</w:t>
      </w:r>
      <w:r w:rsidRPr="00CF493C">
        <w:rPr>
          <w:rFonts w:ascii="Plain Thin" w:hAnsi="Plain Thin" w:cs="DIN Pro Light"/>
        </w:rPr>
        <w:t xml:space="preserve">, dass </w:t>
      </w:r>
      <w:r>
        <w:rPr>
          <w:rFonts w:ascii="Plain Thin" w:hAnsi="Plain Thin" w:cs="DIN Pro Light"/>
        </w:rPr>
        <w:t xml:space="preserve">es </w:t>
      </w:r>
      <w:r w:rsidRPr="00CF493C">
        <w:rPr>
          <w:rFonts w:ascii="Plain Thin" w:hAnsi="Plain Thin" w:cs="DIN Pro Light"/>
        </w:rPr>
        <w:t xml:space="preserve">mit der Vielzahl an umsatzsteuerlichen </w:t>
      </w:r>
      <w:r w:rsidR="00BF6336">
        <w:rPr>
          <w:rFonts w:ascii="Plain Thin" w:hAnsi="Plain Thin" w:cs="DIN Pro Light"/>
        </w:rPr>
        <w:t>N</w:t>
      </w:r>
      <w:r w:rsidRPr="00CF493C">
        <w:rPr>
          <w:rFonts w:ascii="Plain Thin" w:hAnsi="Plain Thin" w:cs="DIN Pro Light"/>
        </w:rPr>
        <w:t>euerungen zunehmend schwieriger</w:t>
      </w:r>
      <w:r>
        <w:rPr>
          <w:rFonts w:ascii="Plain Thin" w:hAnsi="Plain Thin" w:cs="DIN Pro Light"/>
        </w:rPr>
        <w:t xml:space="preserve"> wird</w:t>
      </w:r>
      <w:r w:rsidRPr="00CF493C">
        <w:rPr>
          <w:rFonts w:ascii="Plain Thin" w:hAnsi="Plain Thin" w:cs="DIN Pro Light"/>
        </w:rPr>
        <w:t xml:space="preserve">, die Steuererklärung durch die interne Buchhaltung selbst zu erledigen. </w:t>
      </w:r>
      <w:r w:rsidR="006E7A8B">
        <w:rPr>
          <w:rFonts w:ascii="Plain Thin" w:hAnsi="Plain Thin" w:cs="DIN Pro Light"/>
        </w:rPr>
        <w:t>„</w:t>
      </w:r>
      <w:r w:rsidR="001970BA">
        <w:rPr>
          <w:rFonts w:ascii="Plain Thin" w:hAnsi="Plain Thin" w:cs="DIN Pro Light"/>
        </w:rPr>
        <w:t xml:space="preserve">Die </w:t>
      </w:r>
      <w:r w:rsidRPr="00CF493C">
        <w:rPr>
          <w:rFonts w:ascii="Plain Thin" w:hAnsi="Plain Thin" w:cs="DIN Pro Light"/>
        </w:rPr>
        <w:t xml:space="preserve">6,3 Prozent der </w:t>
      </w:r>
      <w:proofErr w:type="spellStart"/>
      <w:proofErr w:type="gramStart"/>
      <w:r w:rsidRPr="00CF493C">
        <w:rPr>
          <w:rFonts w:ascii="Plain Thin" w:hAnsi="Plain Thin" w:cs="DIN Pro Light"/>
        </w:rPr>
        <w:t>Onlinehändler:innen</w:t>
      </w:r>
      <w:proofErr w:type="spellEnd"/>
      <w:proofErr w:type="gramEnd"/>
      <w:r w:rsidRPr="00CF493C">
        <w:rPr>
          <w:rFonts w:ascii="Plain Thin" w:hAnsi="Plain Thin" w:cs="DIN Pro Light"/>
        </w:rPr>
        <w:t xml:space="preserve">, die sich </w:t>
      </w:r>
      <w:r>
        <w:rPr>
          <w:rFonts w:ascii="Plain Thin" w:hAnsi="Plain Thin" w:cs="DIN Pro Light"/>
        </w:rPr>
        <w:t xml:space="preserve">mittlerweile </w:t>
      </w:r>
      <w:r w:rsidRPr="00CF493C">
        <w:rPr>
          <w:rFonts w:ascii="Plain Thin" w:hAnsi="Plain Thin" w:cs="DIN Pro Light"/>
        </w:rPr>
        <w:t xml:space="preserve">von </w:t>
      </w:r>
      <w:proofErr w:type="spellStart"/>
      <w:r w:rsidRPr="00CF493C">
        <w:rPr>
          <w:rFonts w:ascii="Plain Thin" w:hAnsi="Plain Thin" w:cs="DIN Pro Light"/>
        </w:rPr>
        <w:t>Online-Steuerberater:innen</w:t>
      </w:r>
      <w:proofErr w:type="spellEnd"/>
      <w:r w:rsidRPr="00CF493C">
        <w:rPr>
          <w:rFonts w:ascii="Plain Thin" w:hAnsi="Plain Thin" w:cs="DIN Pro Light"/>
        </w:rPr>
        <w:t xml:space="preserve"> unterstützen lassen, </w:t>
      </w:r>
      <w:r>
        <w:rPr>
          <w:rFonts w:ascii="Plain Thin" w:hAnsi="Plain Thin" w:cs="DIN Pro Light"/>
        </w:rPr>
        <w:t>legen dar</w:t>
      </w:r>
      <w:r w:rsidRPr="00CF493C">
        <w:rPr>
          <w:rFonts w:ascii="Plain Thin" w:hAnsi="Plain Thin" w:cs="DIN Pro Light"/>
        </w:rPr>
        <w:t>, dass</w:t>
      </w:r>
      <w:r w:rsidRPr="00CF493C">
        <w:rPr>
          <w:rFonts w:ascii="Plain Thin" w:hAnsi="Plain Thin" w:cs="Arial"/>
          <w:shd w:val="clear" w:color="auto" w:fill="FFFFFF"/>
        </w:rPr>
        <w:t xml:space="preserve"> die branchenspezifische Expertise im E-Commerce Entwicklungspotenzial mit sich bringt</w:t>
      </w:r>
      <w:r w:rsidR="006E7A8B">
        <w:rPr>
          <w:rFonts w:ascii="Plain Thin" w:hAnsi="Plain Thin" w:cs="DIN Pro Light"/>
        </w:rPr>
        <w:t xml:space="preserve">,“ </w:t>
      </w:r>
      <w:r w:rsidR="00D873D0">
        <w:rPr>
          <w:rFonts w:ascii="Plain Thin" w:hAnsi="Plain Thin" w:cs="DIN Pro Light"/>
        </w:rPr>
        <w:t>kommentier</w:t>
      </w:r>
      <w:r w:rsidR="007457F6">
        <w:rPr>
          <w:rFonts w:ascii="Plain Thin" w:hAnsi="Plain Thin" w:cs="DIN Pro Light"/>
        </w:rPr>
        <w:t>en</w:t>
      </w:r>
      <w:r w:rsidR="006E7A8B">
        <w:rPr>
          <w:rFonts w:ascii="Plain Thin" w:hAnsi="Plain Thin" w:cs="DIN Pro Light"/>
        </w:rPr>
        <w:t xml:space="preserve"> </w:t>
      </w:r>
      <w:proofErr w:type="spellStart"/>
      <w:r w:rsidR="006E7A8B">
        <w:rPr>
          <w:rFonts w:ascii="Plain Thin" w:hAnsi="Plain Thin" w:cs="DIN Pro Light"/>
        </w:rPr>
        <w:t>fynax-Leiter</w:t>
      </w:r>
      <w:r w:rsidR="007457F6">
        <w:rPr>
          <w:rFonts w:ascii="Plain Thin" w:hAnsi="Plain Thin" w:cs="DIN Pro Light"/>
        </w:rPr>
        <w:t>:innen</w:t>
      </w:r>
      <w:proofErr w:type="spellEnd"/>
      <w:r w:rsidR="006E7A8B">
        <w:rPr>
          <w:rFonts w:ascii="Plain Thin" w:hAnsi="Plain Thin" w:cs="DIN Pro Light"/>
        </w:rPr>
        <w:t xml:space="preserve"> und Steuerberaterin Nadja Müller</w:t>
      </w:r>
      <w:r w:rsidR="007457F6">
        <w:rPr>
          <w:rFonts w:ascii="Plain Thin" w:hAnsi="Plain Thin" w:cs="DIN Pro Light"/>
        </w:rPr>
        <w:t xml:space="preserve"> und Saravanan Sundaram</w:t>
      </w:r>
      <w:r w:rsidR="006E7A8B">
        <w:rPr>
          <w:rFonts w:ascii="Plain Thin" w:hAnsi="Plain Thin" w:cs="DIN Pro Light"/>
        </w:rPr>
        <w:t xml:space="preserve"> die Befunde. </w:t>
      </w:r>
    </w:p>
    <w:p w14:paraId="0D93A063" w14:textId="77777777" w:rsidR="00A31B5E" w:rsidRPr="00A31B5E" w:rsidRDefault="00A31B5E" w:rsidP="001D1A4B">
      <w:pPr>
        <w:rPr>
          <w:rFonts w:ascii="Plain Thin" w:hAnsi="Plain Thin"/>
        </w:rPr>
      </w:pPr>
    </w:p>
    <w:bookmarkEnd w:id="1"/>
    <w:p w14:paraId="737C9B20" w14:textId="77777777" w:rsidR="00F91567" w:rsidRDefault="00F91567" w:rsidP="00F91567">
      <w:pPr>
        <w:rPr>
          <w:rFonts w:ascii="Plain" w:hAnsi="Plain"/>
        </w:rPr>
      </w:pPr>
      <w:r>
        <w:rPr>
          <w:rFonts w:ascii="Plain" w:hAnsi="Plain"/>
        </w:rPr>
        <w:t xml:space="preserve">Über </w:t>
      </w:r>
      <w:proofErr w:type="spellStart"/>
      <w:r>
        <w:rPr>
          <w:rFonts w:ascii="Plain" w:hAnsi="Plain"/>
        </w:rPr>
        <w:t>fynax</w:t>
      </w:r>
      <w:proofErr w:type="spellEnd"/>
      <w:r>
        <w:rPr>
          <w:rFonts w:ascii="Plain" w:hAnsi="Plain"/>
        </w:rPr>
        <w:t>:</w:t>
      </w:r>
    </w:p>
    <w:p w14:paraId="0E581E6D" w14:textId="77777777" w:rsidR="00F91567" w:rsidRDefault="00F91567" w:rsidP="00F91567">
      <w:pPr>
        <w:rPr>
          <w:rFonts w:ascii="Plain Thin" w:hAnsi="Plain Thin"/>
          <w:sz w:val="16"/>
          <w:szCs w:val="16"/>
        </w:rPr>
      </w:pPr>
      <w:proofErr w:type="spellStart"/>
      <w:r>
        <w:rPr>
          <w:rFonts w:ascii="Plain Thin" w:hAnsi="Plain Thin"/>
          <w:sz w:val="16"/>
          <w:szCs w:val="16"/>
        </w:rPr>
        <w:t>fynax</w:t>
      </w:r>
      <w:proofErr w:type="spellEnd"/>
      <w:r>
        <w:rPr>
          <w:rFonts w:ascii="Plain Thin" w:hAnsi="Plain Thin"/>
          <w:sz w:val="16"/>
          <w:szCs w:val="16"/>
        </w:rPr>
        <w:t xml:space="preserve"> ist die digitale Marke der ETL-Gruppe für die Steuerberatung und Finanzbuchhaltung im E-Commerce. </w:t>
      </w:r>
      <w:proofErr w:type="spellStart"/>
      <w:r>
        <w:rPr>
          <w:rFonts w:ascii="Plain Thin" w:hAnsi="Plain Thin"/>
          <w:sz w:val="16"/>
          <w:szCs w:val="16"/>
        </w:rPr>
        <w:t>fynax</w:t>
      </w:r>
      <w:proofErr w:type="spellEnd"/>
      <w:r>
        <w:rPr>
          <w:rFonts w:ascii="Plain Thin" w:hAnsi="Plain Thin"/>
          <w:sz w:val="16"/>
          <w:szCs w:val="16"/>
        </w:rPr>
        <w:t xml:space="preserve"> richtet sich an Onlinehändler, die im nationalen und internationalen Warenverkehr tätig sind. Für diese Unternehmer entwickelt </w:t>
      </w:r>
      <w:proofErr w:type="spellStart"/>
      <w:r>
        <w:rPr>
          <w:rFonts w:ascii="Plain Thin" w:hAnsi="Plain Thin"/>
          <w:sz w:val="16"/>
          <w:szCs w:val="16"/>
        </w:rPr>
        <w:t>fynax</w:t>
      </w:r>
      <w:proofErr w:type="spellEnd"/>
      <w:r>
        <w:rPr>
          <w:rFonts w:ascii="Plain Thin" w:hAnsi="Plain Thin"/>
          <w:sz w:val="16"/>
          <w:szCs w:val="16"/>
        </w:rPr>
        <w:t xml:space="preserve"> eine </w:t>
      </w:r>
      <w:proofErr w:type="spellStart"/>
      <w:r>
        <w:rPr>
          <w:rFonts w:ascii="Plain Thin" w:hAnsi="Plain Thin"/>
          <w:sz w:val="16"/>
          <w:szCs w:val="16"/>
        </w:rPr>
        <w:t>Tax</w:t>
      </w:r>
      <w:proofErr w:type="spellEnd"/>
      <w:r>
        <w:rPr>
          <w:rFonts w:ascii="Plain Thin" w:hAnsi="Plain Thin"/>
          <w:sz w:val="16"/>
          <w:szCs w:val="16"/>
        </w:rPr>
        <w:t xml:space="preserve"> Compliance Plattform. </w:t>
      </w:r>
      <w:proofErr w:type="spellStart"/>
      <w:r>
        <w:rPr>
          <w:rFonts w:ascii="Plain Thin" w:hAnsi="Plain Thin"/>
          <w:sz w:val="16"/>
          <w:szCs w:val="16"/>
        </w:rPr>
        <w:t>fynax</w:t>
      </w:r>
      <w:proofErr w:type="spellEnd"/>
      <w:r>
        <w:rPr>
          <w:rFonts w:ascii="Plain Thin" w:hAnsi="Plain Thin"/>
          <w:sz w:val="16"/>
          <w:szCs w:val="16"/>
        </w:rPr>
        <w:t xml:space="preserve"> erfüllt dabei alle steuerlichen Anforderungen wie Buchhaltung, Jahresabschlüsse und Steuererklärungen, damit sich der Onlinehändler auf sein Kerngeschäft konzentrieren kann. Als Teil der ETL-Gruppe greift </w:t>
      </w:r>
      <w:proofErr w:type="spellStart"/>
      <w:r>
        <w:rPr>
          <w:rFonts w:ascii="Plain Thin" w:hAnsi="Plain Thin"/>
          <w:sz w:val="16"/>
          <w:szCs w:val="16"/>
        </w:rPr>
        <w:t>fynax</w:t>
      </w:r>
      <w:proofErr w:type="spellEnd"/>
      <w:r>
        <w:rPr>
          <w:rFonts w:ascii="Plain Thin" w:hAnsi="Plain Thin"/>
          <w:sz w:val="16"/>
          <w:szCs w:val="16"/>
        </w:rPr>
        <w:t xml:space="preserve"> auf das internationale ETL- Netzwerk mit weltweit 250 ETL-Standorten zurück.</w:t>
      </w:r>
    </w:p>
    <w:p w14:paraId="6594028E" w14:textId="77777777" w:rsidR="00F91567" w:rsidRDefault="00F91567" w:rsidP="00F91567">
      <w:pPr>
        <w:spacing w:before="360" w:after="0" w:line="240" w:lineRule="auto"/>
        <w:contextualSpacing/>
        <w:jc w:val="both"/>
        <w:rPr>
          <w:rFonts w:ascii="Plain Thin" w:hAnsi="Plain Thin"/>
          <w:b/>
          <w:sz w:val="16"/>
          <w:szCs w:val="16"/>
        </w:rPr>
      </w:pPr>
      <w:r>
        <w:rPr>
          <w:rFonts w:ascii="Plain Thin" w:hAnsi="Plain Thin"/>
          <w:b/>
          <w:sz w:val="16"/>
          <w:szCs w:val="16"/>
        </w:rPr>
        <w:t>Pressekontakt</w:t>
      </w:r>
    </w:p>
    <w:p w14:paraId="7A32DBF2" w14:textId="71A8F745" w:rsidR="001970BA" w:rsidRPr="006A6F6B" w:rsidRDefault="001970BA" w:rsidP="001970BA">
      <w:pPr>
        <w:spacing w:after="0" w:line="240" w:lineRule="auto"/>
        <w:contextualSpacing/>
        <w:jc w:val="both"/>
        <w:rPr>
          <w:rFonts w:ascii="Plain Thin" w:hAnsi="Plain Thin" w:cs="Calibri Light"/>
          <w:sz w:val="16"/>
          <w:szCs w:val="16"/>
        </w:rPr>
      </w:pPr>
      <w:r>
        <w:rPr>
          <w:rFonts w:ascii="Plain Thin" w:hAnsi="Plain Thin" w:cs="Calibri Light"/>
          <w:sz w:val="16"/>
          <w:szCs w:val="16"/>
        </w:rPr>
        <w:t>Danyal Alaybeyoglu, Tel.: 030 22 64 02 30, E-Mail: danyal.alaybeyoglu@etl.de</w:t>
      </w:r>
      <w:r w:rsidR="00934D9F">
        <w:rPr>
          <w:rFonts w:ascii="Plain Thin" w:hAnsi="Plain Thin" w:cs="Calibri Light"/>
          <w:sz w:val="16"/>
          <w:szCs w:val="16"/>
        </w:rPr>
        <w:t>;</w:t>
      </w:r>
      <w:r>
        <w:rPr>
          <w:rFonts w:ascii="Plain Thin" w:hAnsi="Plain Thin" w:cs="Calibri Light"/>
          <w:sz w:val="16"/>
          <w:szCs w:val="16"/>
        </w:rPr>
        <w:t xml:space="preserve"> </w:t>
      </w:r>
      <w:r w:rsidR="00934D9F">
        <w:rPr>
          <w:rFonts w:ascii="Plain Thin" w:hAnsi="Plain Thin" w:cs="Calibri Light"/>
          <w:sz w:val="16"/>
          <w:szCs w:val="16"/>
        </w:rPr>
        <w:t xml:space="preserve">Isabelle Broszat, </w:t>
      </w:r>
      <w:r w:rsidR="00934D9F" w:rsidRPr="00232E75">
        <w:rPr>
          <w:rFonts w:ascii="Plain Thin" w:hAnsi="Plain Thin" w:cs="Calibri Light"/>
          <w:sz w:val="16"/>
          <w:szCs w:val="16"/>
        </w:rPr>
        <w:t>Tel:</w:t>
      </w:r>
      <w:r w:rsidR="00934D9F" w:rsidRPr="00232E75">
        <w:rPr>
          <w:rFonts w:ascii="Plain Thin" w:hAnsi="Plain Thin" w:cs="Arial"/>
          <w:color w:val="000000"/>
          <w:sz w:val="16"/>
          <w:szCs w:val="16"/>
          <w:lang w:eastAsia="de-DE"/>
        </w:rPr>
        <w:t xml:space="preserve"> +49 30 2264 </w:t>
      </w:r>
      <w:r w:rsidR="00934D9F" w:rsidRPr="00232E75">
        <w:rPr>
          <w:rFonts w:ascii="Plain Thin" w:hAnsi="Plain Thin"/>
          <w:sz w:val="16"/>
          <w:szCs w:val="16"/>
        </w:rPr>
        <w:t>0226,</w:t>
      </w:r>
      <w:r w:rsidR="00934D9F">
        <w:rPr>
          <w:rFonts w:ascii="Plain Thin" w:hAnsi="Plain Thin"/>
          <w:sz w:val="16"/>
          <w:szCs w:val="16"/>
        </w:rPr>
        <w:t xml:space="preserve"> E-Mail:</w:t>
      </w:r>
      <w:r w:rsidR="00934D9F" w:rsidRPr="00232E75">
        <w:rPr>
          <w:rFonts w:ascii="Plain Thin" w:hAnsi="Plain Thin"/>
          <w:sz w:val="16"/>
          <w:szCs w:val="16"/>
        </w:rPr>
        <w:t xml:space="preserve"> </w:t>
      </w:r>
      <w:hyperlink r:id="rId5" w:history="1">
        <w:r w:rsidR="00934D9F" w:rsidRPr="00232E75">
          <w:rPr>
            <w:rStyle w:val="Hyperlink"/>
            <w:rFonts w:ascii="Plain Thin" w:hAnsi="Plain Thin"/>
            <w:color w:val="auto"/>
            <w:sz w:val="16"/>
            <w:szCs w:val="16"/>
            <w:u w:val="none"/>
          </w:rPr>
          <w:t>isabelle.broszat@fynax.io</w:t>
        </w:r>
      </w:hyperlink>
      <w:r w:rsidR="00934D9F">
        <w:rPr>
          <w:rFonts w:ascii="Plain Thin" w:hAnsi="Plain Thin"/>
          <w:sz w:val="16"/>
          <w:szCs w:val="16"/>
        </w:rPr>
        <w:t xml:space="preserve">, </w:t>
      </w:r>
      <w:r>
        <w:rPr>
          <w:rFonts w:ascii="Plain Thin" w:hAnsi="Plain Thin" w:cs="Calibri Light"/>
          <w:sz w:val="16"/>
          <w:szCs w:val="16"/>
        </w:rPr>
        <w:t xml:space="preserve">ETL, Mauerstraße 86-88, 10117 Berlin, </w:t>
      </w:r>
      <w:hyperlink r:id="rId6" w:history="1">
        <w:r w:rsidR="00232E75" w:rsidRPr="00232E75">
          <w:rPr>
            <w:rStyle w:val="Hyperlink"/>
            <w:rFonts w:ascii="Plain Thin" w:hAnsi="Plain Thin" w:cs="Calibri Light"/>
            <w:color w:val="auto"/>
            <w:sz w:val="16"/>
            <w:szCs w:val="16"/>
            <w:u w:val="none"/>
          </w:rPr>
          <w:t>www.etl.de</w:t>
        </w:r>
      </w:hyperlink>
    </w:p>
    <w:p w14:paraId="0C2CD55E" w14:textId="77777777" w:rsidR="00F91567" w:rsidRDefault="00F91567" w:rsidP="00F91567"/>
    <w:p w14:paraId="2F0233C4" w14:textId="77777777" w:rsidR="00250BFC" w:rsidRDefault="00AE235B"/>
    <w:sectPr w:rsidR="00250B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in Thin">
    <w:panose1 w:val="020B0403020202020204"/>
    <w:charset w:val="00"/>
    <w:family w:val="swiss"/>
    <w:notTrueType/>
    <w:pitch w:val="variable"/>
    <w:sig w:usb0="8000002F" w:usb1="00002000" w:usb2="00000000" w:usb3="00000000" w:csb0="00000093" w:csb1="00000000"/>
  </w:font>
  <w:font w:name="Plain Medium">
    <w:panose1 w:val="020B0603020202020204"/>
    <w:charset w:val="00"/>
    <w:family w:val="swiss"/>
    <w:notTrueType/>
    <w:pitch w:val="variable"/>
    <w:sig w:usb0="8000002F" w:usb1="00002000" w:usb2="00000000" w:usb3="00000000" w:csb0="00000093" w:csb1="00000000"/>
  </w:font>
  <w:font w:name="Plain Light">
    <w:panose1 w:val="020B0403020202020204"/>
    <w:charset w:val="00"/>
    <w:family w:val="swiss"/>
    <w:notTrueType/>
    <w:pitch w:val="variable"/>
    <w:sig w:usb0="8000002F" w:usb1="0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Light">
    <w:altName w:val="DIN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in">
    <w:panose1 w:val="020B0503020202020204"/>
    <w:charset w:val="00"/>
    <w:family w:val="swiss"/>
    <w:notTrueType/>
    <w:pitch w:val="variable"/>
    <w:sig w:usb0="8000002F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67"/>
    <w:rsid w:val="00002B8C"/>
    <w:rsid w:val="00026839"/>
    <w:rsid w:val="00112184"/>
    <w:rsid w:val="001433F2"/>
    <w:rsid w:val="00161BEB"/>
    <w:rsid w:val="001970BA"/>
    <w:rsid w:val="001A7247"/>
    <w:rsid w:val="001D1A4B"/>
    <w:rsid w:val="00207891"/>
    <w:rsid w:val="0021039E"/>
    <w:rsid w:val="002269A4"/>
    <w:rsid w:val="00232E75"/>
    <w:rsid w:val="002468F1"/>
    <w:rsid w:val="003A66CD"/>
    <w:rsid w:val="00403D42"/>
    <w:rsid w:val="00422B63"/>
    <w:rsid w:val="004D640C"/>
    <w:rsid w:val="00580278"/>
    <w:rsid w:val="006174F2"/>
    <w:rsid w:val="0067353E"/>
    <w:rsid w:val="0068070E"/>
    <w:rsid w:val="00681791"/>
    <w:rsid w:val="00694464"/>
    <w:rsid w:val="006E3203"/>
    <w:rsid w:val="006E7A8B"/>
    <w:rsid w:val="00713013"/>
    <w:rsid w:val="00724931"/>
    <w:rsid w:val="007457F6"/>
    <w:rsid w:val="00785A70"/>
    <w:rsid w:val="007D0BA1"/>
    <w:rsid w:val="007F3CAA"/>
    <w:rsid w:val="00822589"/>
    <w:rsid w:val="00841A47"/>
    <w:rsid w:val="008F1F44"/>
    <w:rsid w:val="008F6204"/>
    <w:rsid w:val="00934D9F"/>
    <w:rsid w:val="00944B5B"/>
    <w:rsid w:val="00967A26"/>
    <w:rsid w:val="0098364E"/>
    <w:rsid w:val="00990432"/>
    <w:rsid w:val="00993EBF"/>
    <w:rsid w:val="009B7548"/>
    <w:rsid w:val="009E394E"/>
    <w:rsid w:val="00A158CC"/>
    <w:rsid w:val="00A17EA5"/>
    <w:rsid w:val="00A26444"/>
    <w:rsid w:val="00A31B5E"/>
    <w:rsid w:val="00A726E6"/>
    <w:rsid w:val="00AB200F"/>
    <w:rsid w:val="00AE235B"/>
    <w:rsid w:val="00B85748"/>
    <w:rsid w:val="00BC6EA0"/>
    <w:rsid w:val="00BE0FA0"/>
    <w:rsid w:val="00BF6336"/>
    <w:rsid w:val="00CA5DCF"/>
    <w:rsid w:val="00D223AD"/>
    <w:rsid w:val="00D62BE6"/>
    <w:rsid w:val="00D873D0"/>
    <w:rsid w:val="00D87495"/>
    <w:rsid w:val="00D93EA3"/>
    <w:rsid w:val="00DA65C4"/>
    <w:rsid w:val="00DC0927"/>
    <w:rsid w:val="00DD30B7"/>
    <w:rsid w:val="00DE6901"/>
    <w:rsid w:val="00E32CBC"/>
    <w:rsid w:val="00E44C15"/>
    <w:rsid w:val="00E91E22"/>
    <w:rsid w:val="00EB1251"/>
    <w:rsid w:val="00EF38EB"/>
    <w:rsid w:val="00F65896"/>
    <w:rsid w:val="00F91567"/>
    <w:rsid w:val="00F92844"/>
    <w:rsid w:val="00F96753"/>
    <w:rsid w:val="00F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A367"/>
  <w15:chartTrackingRefBased/>
  <w15:docId w15:val="{B5F21F9A-71DF-46C7-BF61-D6A3B138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156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-center">
    <w:name w:val="text-center"/>
    <w:basedOn w:val="Absatz-Standardschriftart"/>
    <w:rsid w:val="00F91567"/>
  </w:style>
  <w:style w:type="character" w:customStyle="1" w:styleId="A7">
    <w:name w:val="A7"/>
    <w:uiPriority w:val="99"/>
    <w:rsid w:val="001D1A4B"/>
    <w:rPr>
      <w:rFonts w:cs="DIN Pro Regular"/>
      <w:color w:val="273445"/>
      <w:sz w:val="32"/>
      <w:szCs w:val="32"/>
    </w:rPr>
  </w:style>
  <w:style w:type="character" w:customStyle="1" w:styleId="A1">
    <w:name w:val="A1"/>
    <w:uiPriority w:val="99"/>
    <w:rsid w:val="001D1A4B"/>
    <w:rPr>
      <w:rFonts w:cs="DIN Pro Regular"/>
      <w:color w:val="273445"/>
      <w:sz w:val="36"/>
      <w:szCs w:val="3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73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73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73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73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73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3D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44C1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32E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2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l.de" TargetMode="External"/><Relationship Id="rId5" Type="http://schemas.openxmlformats.org/officeDocument/2006/relationships/hyperlink" Target="mailto:isabelle.broszat@fynax.i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Heil</dc:creator>
  <cp:keywords/>
  <dc:description/>
  <cp:lastModifiedBy>Isabelle Broszat</cp:lastModifiedBy>
  <cp:revision>6</cp:revision>
  <dcterms:created xsi:type="dcterms:W3CDTF">2022-09-16T11:22:00Z</dcterms:created>
  <dcterms:modified xsi:type="dcterms:W3CDTF">2022-09-19T12:13:00Z</dcterms:modified>
</cp:coreProperties>
</file>