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EF" w:rsidRPr="002011C2" w:rsidRDefault="000D0868" w:rsidP="00F744EF">
      <w:pPr>
        <w:tabs>
          <w:tab w:val="right" w:pos="7088"/>
        </w:tabs>
      </w:pPr>
      <w:r>
        <w:rPr>
          <w:b/>
          <w:sz w:val="28"/>
          <w:szCs w:val="28"/>
        </w:rPr>
        <w:t>9</w:t>
      </w:r>
      <w:r w:rsidR="00F744EF" w:rsidRPr="002011C2">
        <w:rPr>
          <w:b/>
          <w:sz w:val="28"/>
          <w:szCs w:val="28"/>
        </w:rPr>
        <w:t>/20</w:t>
      </w:r>
      <w:r w:rsidR="009B42FC">
        <w:rPr>
          <w:b/>
          <w:sz w:val="28"/>
          <w:szCs w:val="28"/>
        </w:rPr>
        <w:t>20</w:t>
      </w:r>
      <w:r w:rsidR="00226B27">
        <w:tab/>
      </w:r>
      <w:r>
        <w:t>04</w:t>
      </w:r>
      <w:r w:rsidR="00572B3D">
        <w:t>.11.20</w:t>
      </w:r>
      <w:r w:rsidR="009B42FC">
        <w:t>20</w:t>
      </w:r>
      <w:r w:rsidR="00F744EF" w:rsidRPr="002011C2">
        <w:tab/>
      </w:r>
      <w:r w:rsidR="00F744EF" w:rsidRPr="002011C2">
        <w:tab/>
      </w:r>
    </w:p>
    <w:p w:rsidR="00F744EF" w:rsidRPr="002011C2" w:rsidRDefault="00F744EF" w:rsidP="00F744EF">
      <w:pPr>
        <w:tabs>
          <w:tab w:val="right" w:pos="7088"/>
        </w:tabs>
      </w:pPr>
    </w:p>
    <w:p w:rsidR="000D0868" w:rsidRDefault="009B42FC" w:rsidP="002F7B1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Primärenergiefaktor für Strom: </w:t>
      </w:r>
    </w:p>
    <w:p w:rsidR="002F7B16" w:rsidRPr="007F610C" w:rsidRDefault="00D16E50" w:rsidP="002F7B1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Neues </w:t>
      </w:r>
      <w:r w:rsidR="009B42FC">
        <w:rPr>
          <w:rFonts w:cs="Arial"/>
          <w:b/>
          <w:sz w:val="28"/>
          <w:szCs w:val="28"/>
        </w:rPr>
        <w:t>Gebäudeenergiegesetz</w:t>
      </w:r>
      <w:r>
        <w:rPr>
          <w:rFonts w:cs="Arial"/>
          <w:b/>
          <w:sz w:val="28"/>
          <w:szCs w:val="28"/>
        </w:rPr>
        <w:t xml:space="preserve"> benötigt Update</w:t>
      </w:r>
    </w:p>
    <w:p w:rsidR="00F744EF" w:rsidRPr="0050529E" w:rsidRDefault="00F744EF" w:rsidP="00F744EF">
      <w:pPr>
        <w:rPr>
          <w:rFonts w:cs="Arial"/>
          <w:sz w:val="28"/>
          <w:szCs w:val="28"/>
        </w:rPr>
      </w:pPr>
    </w:p>
    <w:p w:rsidR="00C716FE" w:rsidRDefault="002F7B16" w:rsidP="00C716FE">
      <w:pPr>
        <w:jc w:val="both"/>
        <w:rPr>
          <w:rFonts w:cs="Arial"/>
          <w:szCs w:val="22"/>
        </w:rPr>
      </w:pPr>
      <w:r w:rsidRPr="002F7B16">
        <w:rPr>
          <w:rFonts w:cs="Arial"/>
          <w:szCs w:val="22"/>
        </w:rPr>
        <w:t xml:space="preserve">Seit 2010 untersucht das Internationale Institut für Nachhaltigkeitsanalysen und -strategien (IINAS) aus Darmstadt im Auftrag der HEA anhand von </w:t>
      </w:r>
      <w:r w:rsidR="00C716FE">
        <w:rPr>
          <w:rFonts w:cs="Arial"/>
          <w:szCs w:val="22"/>
        </w:rPr>
        <w:br/>
      </w:r>
      <w:r w:rsidRPr="002F7B16">
        <w:rPr>
          <w:rFonts w:cs="Arial"/>
          <w:szCs w:val="22"/>
        </w:rPr>
        <w:t xml:space="preserve">Lebenswegdaten für Energie-, </w:t>
      </w:r>
      <w:r w:rsidR="00C04892">
        <w:rPr>
          <w:rFonts w:cs="Arial"/>
          <w:szCs w:val="22"/>
        </w:rPr>
        <w:t>Stoff- und Transportsysteme die</w:t>
      </w:r>
      <w:r w:rsidR="00C04892">
        <w:rPr>
          <w:rFonts w:cs="Arial"/>
          <w:szCs w:val="22"/>
        </w:rPr>
        <w:br/>
      </w:r>
      <w:r w:rsidRPr="002F7B16">
        <w:rPr>
          <w:rFonts w:cs="Arial"/>
          <w:szCs w:val="22"/>
        </w:rPr>
        <w:t>Ressourcennutzung und Umwelteffekte der deutschen Stromerzeugung. Jetzt liegen die Daten für das Basisjahr 201</w:t>
      </w:r>
      <w:r w:rsidR="00C46F8E">
        <w:rPr>
          <w:rFonts w:cs="Arial"/>
          <w:szCs w:val="22"/>
        </w:rPr>
        <w:t>9</w:t>
      </w:r>
      <w:r w:rsidRPr="002F7B16">
        <w:rPr>
          <w:rFonts w:cs="Arial"/>
          <w:szCs w:val="22"/>
        </w:rPr>
        <w:t xml:space="preserve"> vor. Für 201</w:t>
      </w:r>
      <w:r w:rsidR="00C46F8E">
        <w:rPr>
          <w:rFonts w:cs="Arial"/>
          <w:szCs w:val="22"/>
        </w:rPr>
        <w:t>9</w:t>
      </w:r>
      <w:r w:rsidRPr="002F7B16">
        <w:rPr>
          <w:rFonts w:cs="Arial"/>
          <w:szCs w:val="22"/>
        </w:rPr>
        <w:t xml:space="preserve"> beträgt der nichterneuerbare kumulierte Energieverbrauch (KEV</w:t>
      </w:r>
      <w:r w:rsidR="00C80E2B">
        <w:rPr>
          <w:rFonts w:cs="Arial"/>
          <w:szCs w:val="22"/>
          <w:vertAlign w:val="subscript"/>
        </w:rPr>
        <w:t>ne</w:t>
      </w:r>
      <w:r w:rsidRPr="002F7B16">
        <w:rPr>
          <w:rFonts w:cs="Arial"/>
          <w:szCs w:val="22"/>
        </w:rPr>
        <w:t xml:space="preserve">) für die Abgabe aus dem lokalen Stromnetz </w:t>
      </w:r>
      <w:r w:rsidRPr="00F16E98">
        <w:rPr>
          <w:rFonts w:cs="Arial"/>
          <w:szCs w:val="22"/>
        </w:rPr>
        <w:t>1,</w:t>
      </w:r>
      <w:r w:rsidR="00C46F8E" w:rsidRPr="00F16E98">
        <w:rPr>
          <w:rFonts w:cs="Arial"/>
          <w:szCs w:val="22"/>
        </w:rPr>
        <w:t>55</w:t>
      </w:r>
      <w:r w:rsidRPr="00F16E98">
        <w:rPr>
          <w:rFonts w:cs="Arial"/>
          <w:szCs w:val="22"/>
        </w:rPr>
        <w:t xml:space="preserve"> kWh</w:t>
      </w:r>
      <w:r w:rsidRPr="00F16E98">
        <w:rPr>
          <w:rFonts w:cs="Arial"/>
          <w:szCs w:val="22"/>
          <w:vertAlign w:val="subscript"/>
        </w:rPr>
        <w:t>primär</w:t>
      </w:r>
      <w:r w:rsidRPr="00F16E98">
        <w:rPr>
          <w:rFonts w:cs="Arial"/>
          <w:szCs w:val="22"/>
        </w:rPr>
        <w:t>/kWh</w:t>
      </w:r>
      <w:r w:rsidRPr="00F16E98">
        <w:rPr>
          <w:rFonts w:cs="Arial"/>
          <w:szCs w:val="22"/>
          <w:vertAlign w:val="subscript"/>
        </w:rPr>
        <w:t>el</w:t>
      </w:r>
      <w:r w:rsidRPr="00F16E98">
        <w:rPr>
          <w:rFonts w:cs="Arial"/>
          <w:szCs w:val="22"/>
        </w:rPr>
        <w:t>.</w:t>
      </w:r>
      <w:r w:rsidRPr="002F7B16">
        <w:rPr>
          <w:rFonts w:cs="Arial"/>
          <w:szCs w:val="22"/>
        </w:rPr>
        <w:t xml:space="preserve"> </w:t>
      </w:r>
    </w:p>
    <w:p w:rsidR="000679E2" w:rsidRDefault="00C716FE" w:rsidP="00F16E9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 </w:t>
      </w:r>
      <w:r w:rsidRPr="002F7B16">
        <w:rPr>
          <w:rFonts w:cs="Arial"/>
          <w:szCs w:val="22"/>
        </w:rPr>
        <w:t>KEV</w:t>
      </w:r>
      <w:r w:rsidR="00C80E2B">
        <w:rPr>
          <w:rFonts w:cs="Arial"/>
          <w:szCs w:val="22"/>
          <w:vertAlign w:val="subscript"/>
        </w:rPr>
        <w:t>ne</w:t>
      </w:r>
      <w:r>
        <w:rPr>
          <w:rFonts w:cs="Arial"/>
          <w:szCs w:val="22"/>
        </w:rPr>
        <w:t xml:space="preserve"> stellt das</w:t>
      </w:r>
      <w:r w:rsidR="002F7B16" w:rsidRPr="002F7B16">
        <w:rPr>
          <w:rFonts w:cs="Arial"/>
          <w:szCs w:val="22"/>
        </w:rPr>
        <w:t xml:space="preserve"> Verhältnis</w:t>
      </w:r>
      <w:r>
        <w:rPr>
          <w:rFonts w:cs="Arial"/>
          <w:szCs w:val="22"/>
        </w:rPr>
        <w:t xml:space="preserve"> dar</w:t>
      </w:r>
      <w:r w:rsidR="002F7B16" w:rsidRPr="002F7B16">
        <w:rPr>
          <w:rFonts w:cs="Arial"/>
          <w:szCs w:val="22"/>
        </w:rPr>
        <w:t>, welche Menge an Primäre</w:t>
      </w:r>
      <w:r w:rsidR="00C04892">
        <w:rPr>
          <w:rFonts w:cs="Arial"/>
          <w:szCs w:val="22"/>
        </w:rPr>
        <w:t>nergie aufzuwenden ist, um eine</w:t>
      </w:r>
      <w:r>
        <w:rPr>
          <w:rFonts w:cs="Arial"/>
          <w:szCs w:val="22"/>
        </w:rPr>
        <w:t xml:space="preserve"> </w:t>
      </w:r>
      <w:r w:rsidR="002F7B16" w:rsidRPr="002F7B16">
        <w:rPr>
          <w:rFonts w:cs="Arial"/>
          <w:szCs w:val="22"/>
        </w:rPr>
        <w:t xml:space="preserve">Kilowattstunde elektrische </w:t>
      </w:r>
      <w:r w:rsidR="00041BEB">
        <w:rPr>
          <w:rFonts w:cs="Arial"/>
          <w:szCs w:val="22"/>
        </w:rPr>
        <w:t>E</w:t>
      </w:r>
      <w:r w:rsidR="002F7B16" w:rsidRPr="002F7B16">
        <w:rPr>
          <w:rFonts w:cs="Arial"/>
          <w:szCs w:val="22"/>
        </w:rPr>
        <w:t>nergie</w:t>
      </w:r>
      <w:r w:rsidR="00041BEB">
        <w:rPr>
          <w:rFonts w:cs="Arial"/>
          <w:szCs w:val="22"/>
        </w:rPr>
        <w:t xml:space="preserve"> an Endkunden</w:t>
      </w:r>
      <w:r w:rsidR="002F7B16" w:rsidRPr="002F7B16">
        <w:rPr>
          <w:rFonts w:cs="Arial"/>
          <w:szCs w:val="22"/>
        </w:rPr>
        <w:t xml:space="preserve"> </w:t>
      </w:r>
      <w:r w:rsidR="00041BEB">
        <w:rPr>
          <w:rFonts w:cs="Arial"/>
          <w:szCs w:val="22"/>
        </w:rPr>
        <w:t>zu liefern</w:t>
      </w:r>
      <w:r w:rsidR="002F7B16" w:rsidRPr="002F7B16">
        <w:rPr>
          <w:rFonts w:cs="Arial"/>
          <w:szCs w:val="22"/>
        </w:rPr>
        <w:t>.</w:t>
      </w:r>
      <w:r w:rsidR="00114D50">
        <w:rPr>
          <w:rFonts w:cs="Arial"/>
          <w:szCs w:val="22"/>
        </w:rPr>
        <w:t xml:space="preserve"> Je mehr Erneuerbare Energien im Strommix integriert sind und je geringer die Umwandlungs- und Verteilungsverluste in den Kraftwerken und Netzen sind, desto kleiner wird dieses Verhältnis. </w:t>
      </w:r>
      <w:r w:rsidRPr="00170D64">
        <w:rPr>
          <w:rFonts w:cs="Arial"/>
          <w:szCs w:val="22"/>
        </w:rPr>
        <w:t xml:space="preserve">In den Jahren 2010 und 2016 betrug </w:t>
      </w:r>
      <w:r w:rsidR="00114D50" w:rsidRPr="00170D64">
        <w:rPr>
          <w:rFonts w:cs="Arial"/>
          <w:szCs w:val="22"/>
        </w:rPr>
        <w:t xml:space="preserve">dieser Wert </w:t>
      </w:r>
      <w:r w:rsidRPr="00170D64">
        <w:rPr>
          <w:rFonts w:cs="Arial"/>
          <w:szCs w:val="22"/>
        </w:rPr>
        <w:t>noch 2,</w:t>
      </w:r>
      <w:r w:rsidR="00170D64" w:rsidRPr="00170D64">
        <w:rPr>
          <w:rFonts w:cs="Arial"/>
          <w:szCs w:val="22"/>
        </w:rPr>
        <w:t>34</w:t>
      </w:r>
      <w:r w:rsidRPr="00170D64">
        <w:rPr>
          <w:rFonts w:cs="Arial"/>
          <w:szCs w:val="22"/>
        </w:rPr>
        <w:t xml:space="preserve"> bzw. </w:t>
      </w:r>
      <w:r w:rsidR="00170D64" w:rsidRPr="00170D64">
        <w:rPr>
          <w:rFonts w:cs="Arial"/>
          <w:szCs w:val="22"/>
        </w:rPr>
        <w:t>1,92</w:t>
      </w:r>
      <w:r w:rsidRPr="00170D6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0679E2" w:rsidRDefault="00C46F8E" w:rsidP="00DB4A8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 </w:t>
      </w:r>
      <w:r w:rsidRPr="002F7B16">
        <w:rPr>
          <w:rFonts w:cs="Arial"/>
          <w:szCs w:val="22"/>
        </w:rPr>
        <w:t>KEV</w:t>
      </w:r>
      <w:r>
        <w:rPr>
          <w:rFonts w:cs="Arial"/>
          <w:szCs w:val="22"/>
          <w:vertAlign w:val="subscript"/>
        </w:rPr>
        <w:t xml:space="preserve"> </w:t>
      </w:r>
      <w:r w:rsidR="00A634D1">
        <w:rPr>
          <w:rFonts w:cs="Arial"/>
          <w:szCs w:val="22"/>
        </w:rPr>
        <w:t>dient als Brücke zu den sogenannten Primärenergiefaktoren (PEF)</w:t>
      </w:r>
      <w:r w:rsidR="00D66D65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463A67">
        <w:rPr>
          <w:rFonts w:cs="Arial"/>
          <w:szCs w:val="22"/>
        </w:rPr>
        <w:t>Der</w:t>
      </w:r>
      <w:r w:rsidR="00F16E98">
        <w:rPr>
          <w:rFonts w:cs="Arial"/>
          <w:szCs w:val="22"/>
        </w:rPr>
        <w:t>en</w:t>
      </w:r>
      <w:r w:rsidR="00463A67">
        <w:rPr>
          <w:rFonts w:cs="Arial"/>
          <w:szCs w:val="22"/>
        </w:rPr>
        <w:t xml:space="preserve"> </w:t>
      </w:r>
      <w:r w:rsidR="00D66D65">
        <w:rPr>
          <w:rFonts w:cs="Arial"/>
          <w:szCs w:val="22"/>
        </w:rPr>
        <w:t>nichterneuerbare</w:t>
      </w:r>
      <w:r w:rsidR="00F16E98">
        <w:rPr>
          <w:rFonts w:cs="Arial"/>
          <w:szCs w:val="22"/>
        </w:rPr>
        <w:t>r</w:t>
      </w:r>
      <w:r w:rsidR="00D66D65">
        <w:rPr>
          <w:rFonts w:cs="Arial"/>
          <w:szCs w:val="22"/>
        </w:rPr>
        <w:t xml:space="preserve"> Anteil (PEF</w:t>
      </w:r>
      <w:r w:rsidR="00170D64">
        <w:rPr>
          <w:rFonts w:cs="Arial"/>
          <w:szCs w:val="22"/>
          <w:vertAlign w:val="subscript"/>
        </w:rPr>
        <w:t>ne</w:t>
      </w:r>
      <w:r w:rsidR="00D66D65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</w:t>
      </w:r>
      <w:r w:rsidR="00463A67">
        <w:rPr>
          <w:rFonts w:cs="Arial"/>
          <w:szCs w:val="22"/>
        </w:rPr>
        <w:t>wird im</w:t>
      </w:r>
      <w:r>
        <w:rPr>
          <w:rFonts w:cs="Arial"/>
          <w:szCs w:val="22"/>
        </w:rPr>
        <w:t xml:space="preserve"> neuen Gebäudeenergiegesetz (GEG) </w:t>
      </w:r>
      <w:r w:rsidR="00A634D1">
        <w:rPr>
          <w:rFonts w:cs="Arial"/>
          <w:szCs w:val="22"/>
        </w:rPr>
        <w:t xml:space="preserve">für die energetische Bilanzierung </w:t>
      </w:r>
      <w:r>
        <w:rPr>
          <w:rFonts w:cs="Arial"/>
          <w:szCs w:val="22"/>
        </w:rPr>
        <w:t>herangezogen</w:t>
      </w:r>
      <w:r w:rsidR="00A634D1">
        <w:rPr>
          <w:rFonts w:cs="Arial"/>
          <w:szCs w:val="22"/>
        </w:rPr>
        <w:t>.</w:t>
      </w:r>
      <w:r w:rsidR="000679E2">
        <w:rPr>
          <w:rFonts w:cs="Arial"/>
          <w:szCs w:val="22"/>
        </w:rPr>
        <w:t xml:space="preserve"> </w:t>
      </w:r>
      <w:r w:rsidR="00DB4A8E">
        <w:rPr>
          <w:rFonts w:cs="Arial"/>
          <w:szCs w:val="22"/>
        </w:rPr>
        <w:t xml:space="preserve">„Der Zubau der Erneuerbaren Energien im Strombereich wächst weiter“, so Dr. Jan Witt, Geschäftsführer der HEA-Fachgemeinschaft. </w:t>
      </w:r>
    </w:p>
    <w:p w:rsidR="00DB4A8E" w:rsidRPr="00C46F8E" w:rsidRDefault="00DB4A8E" w:rsidP="00DB4A8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Dieser Fortschritt werde jedoch im neuen Gebäudeenergiegesetz so nicht abgebildet, das für netzbezogenen Strom einen PEF</w:t>
      </w:r>
      <w:r w:rsidR="00170D64">
        <w:rPr>
          <w:rFonts w:cs="Arial"/>
          <w:szCs w:val="22"/>
          <w:vertAlign w:val="subscript"/>
        </w:rPr>
        <w:t>ne</w:t>
      </w:r>
      <w:r>
        <w:rPr>
          <w:rFonts w:cs="Arial"/>
          <w:szCs w:val="22"/>
        </w:rPr>
        <w:t xml:space="preserve"> von 1,8 festgelegt hat. Die Berechnungen der Studie legen </w:t>
      </w:r>
      <w:r w:rsidR="00041BEB">
        <w:rPr>
          <w:rFonts w:cs="Arial"/>
          <w:szCs w:val="22"/>
        </w:rPr>
        <w:t xml:space="preserve">für das Jahr 2020 bereits </w:t>
      </w:r>
      <w:r>
        <w:rPr>
          <w:rFonts w:cs="Arial"/>
          <w:szCs w:val="22"/>
        </w:rPr>
        <w:t xml:space="preserve">einen Faktor von 1,3 nahe. Das bedeutet einen um 28 Prozent geringeren Primärenergieaufwand für Strom aus dem lokalen Netz als das neue Gebäudeenergiegesetz </w:t>
      </w:r>
      <w:r w:rsidR="00041BEB">
        <w:rPr>
          <w:rFonts w:cs="Arial"/>
          <w:szCs w:val="22"/>
        </w:rPr>
        <w:t xml:space="preserve">aktuell </w:t>
      </w:r>
      <w:r>
        <w:rPr>
          <w:rFonts w:cs="Arial"/>
          <w:szCs w:val="22"/>
        </w:rPr>
        <w:t xml:space="preserve">ausweist. </w:t>
      </w:r>
    </w:p>
    <w:p w:rsidR="00DB4A8E" w:rsidRDefault="00DB4A8E" w:rsidP="00DB4A8E">
      <w:pPr>
        <w:rPr>
          <w:rFonts w:cs="Arial"/>
          <w:szCs w:val="22"/>
        </w:rPr>
      </w:pPr>
      <w:r w:rsidRPr="00E82029">
        <w:rPr>
          <w:rFonts w:cs="Arial"/>
        </w:rPr>
        <w:t xml:space="preserve">Die </w:t>
      </w:r>
      <w:r>
        <w:rPr>
          <w:rFonts w:cs="Arial"/>
        </w:rPr>
        <w:t>Studie wird</w:t>
      </w:r>
      <w:r w:rsidRPr="00E82029">
        <w:rPr>
          <w:rFonts w:cs="Arial"/>
        </w:rPr>
        <w:t xml:space="preserve"> </w:t>
      </w:r>
      <w:r>
        <w:rPr>
          <w:rFonts w:cs="Arial"/>
        </w:rPr>
        <w:t xml:space="preserve">von der HEA für die Fachwelt, die Politik und die interessierte Öffentlichkeit </w:t>
      </w:r>
      <w:r w:rsidRPr="00E82029">
        <w:rPr>
          <w:rFonts w:cs="Arial"/>
        </w:rPr>
        <w:t>kosten</w:t>
      </w:r>
      <w:r>
        <w:rPr>
          <w:rFonts w:cs="Arial"/>
        </w:rPr>
        <w:t>frei</w:t>
      </w:r>
      <w:r w:rsidRPr="00E82029">
        <w:rPr>
          <w:rFonts w:cs="Arial"/>
        </w:rPr>
        <w:t xml:space="preserve"> </w:t>
      </w:r>
      <w:r w:rsidRPr="002F7B16">
        <w:rPr>
          <w:rFonts w:cs="Arial"/>
        </w:rPr>
        <w:t>unter</w:t>
      </w:r>
      <w:r>
        <w:rPr>
          <w:rFonts w:cs="Arial"/>
        </w:rPr>
        <w:t xml:space="preserve"> </w:t>
      </w:r>
      <w:hyperlink r:id="rId8" w:history="1">
        <w:r w:rsidR="00170D64">
          <w:rPr>
            <w:rStyle w:val="Hyperlink"/>
          </w:rPr>
          <w:t>https://www.hea.de/projekte/wie-viel-energie-verbraucht-die-erzeugung-einer-kilowattstunde-strom</w:t>
        </w:r>
      </w:hyperlink>
      <w:r>
        <w:rPr>
          <w:rFonts w:cs="Arial"/>
        </w:rPr>
        <w:t xml:space="preserve"> </w:t>
      </w:r>
      <w:r w:rsidRPr="00E82029">
        <w:rPr>
          <w:rFonts w:cs="Arial"/>
        </w:rPr>
        <w:t>zur Verfügung gestellt.</w:t>
      </w:r>
    </w:p>
    <w:p w:rsidR="002F7B16" w:rsidRDefault="002F7B16" w:rsidP="00DB4A8E">
      <w:pPr>
        <w:jc w:val="both"/>
        <w:rPr>
          <w:rFonts w:cs="Arial"/>
          <w:szCs w:val="22"/>
        </w:rPr>
      </w:pPr>
    </w:p>
    <w:p w:rsidR="006A76A4" w:rsidRDefault="006A76A4" w:rsidP="004354CC">
      <w:pPr>
        <w:rPr>
          <w:rFonts w:cs="Arial"/>
          <w:szCs w:val="22"/>
        </w:rPr>
      </w:pPr>
    </w:p>
    <w:p w:rsidR="006A76A4" w:rsidRDefault="006A76A4" w:rsidP="004354CC">
      <w:pPr>
        <w:rPr>
          <w:rFonts w:cs="Arial"/>
          <w:szCs w:val="22"/>
        </w:rPr>
      </w:pPr>
      <w:r w:rsidRPr="006A76A4">
        <w:rPr>
          <w:rFonts w:cs="Arial"/>
          <w:szCs w:val="22"/>
        </w:rPr>
        <w:drawing>
          <wp:inline distT="0" distB="0" distL="0" distR="0" wp14:anchorId="3E2D38CE" wp14:editId="339BFBF5">
            <wp:extent cx="6039104" cy="423418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4457" cy="425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1B4" w:rsidRDefault="005301B4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Bildquelle: </w:t>
      </w:r>
      <w:r w:rsidR="005A50A9">
        <w:rPr>
          <w:rFonts w:cs="Arial"/>
          <w:szCs w:val="22"/>
        </w:rPr>
        <w:t>HEA</w:t>
      </w:r>
    </w:p>
    <w:p w:rsidR="005725EA" w:rsidRDefault="005725EA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5725EA" w:rsidRPr="004354CC" w:rsidRDefault="005725EA" w:rsidP="004354CC">
      <w:pPr>
        <w:rPr>
          <w:rFonts w:cs="Arial"/>
          <w:szCs w:val="22"/>
        </w:rPr>
      </w:pPr>
    </w:p>
    <w:p w:rsidR="00F744EF" w:rsidRPr="00B46600" w:rsidRDefault="00F744EF" w:rsidP="004354CC">
      <w:pPr>
        <w:rPr>
          <w:rFonts w:cs="Arial"/>
          <w:szCs w:val="22"/>
        </w:rPr>
      </w:pPr>
      <w:r w:rsidRPr="004354CC">
        <w:rPr>
          <w:rFonts w:cs="Arial"/>
          <w:b/>
          <w:szCs w:val="22"/>
        </w:rPr>
        <w:t>Über die HEA:</w:t>
      </w:r>
      <w:r w:rsidRPr="00B46600">
        <w:rPr>
          <w:rFonts w:cs="Arial"/>
          <w:szCs w:val="22"/>
        </w:rPr>
        <w:t xml:space="preserve"> Die HEA – Fachgemeinschaft für effiziente Energieanwendung e.V. hat ihren Sitz in Berlin. Sie ist der Marktpartnerverbund der Energiewirtschaft. Mitglieder sind Energieversorger, Unternehmen der Geräteindustrie, die Spitzenverbände der Energie- und Wasserwirtschaft BDEW, der Elektro- und Elektronikindustrie ZVEI, der Elektro- und Sanitärfachhandwerke ZVEH und ZVSHK sowie des Fachgroßhandels VEG und DGH.</w:t>
      </w:r>
    </w:p>
    <w:p w:rsidR="00F744EF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>Weiter</w:t>
      </w:r>
      <w:r w:rsidR="005301B4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Pressemeldungen und umfangreiches Bildmaterial finden Sie im </w:t>
      </w:r>
      <w:r w:rsidRPr="00B51A24">
        <w:rPr>
          <w:rFonts w:cs="Arial"/>
          <w:b/>
          <w:szCs w:val="22"/>
        </w:rPr>
        <w:t>HEA-Pressebereich</w:t>
      </w:r>
      <w:r>
        <w:rPr>
          <w:rFonts w:cs="Arial"/>
          <w:szCs w:val="22"/>
        </w:rPr>
        <w:t>.</w:t>
      </w:r>
    </w:p>
    <w:p w:rsidR="00730907" w:rsidRDefault="00730907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Die HEA bei </w:t>
      </w:r>
      <w:r w:rsidRPr="00730907">
        <w:rPr>
          <w:rFonts w:cs="Arial"/>
          <w:b/>
          <w:szCs w:val="22"/>
        </w:rPr>
        <w:t>Twitter</w:t>
      </w:r>
      <w:r>
        <w:rPr>
          <w:rFonts w:cs="Arial"/>
          <w:szCs w:val="22"/>
        </w:rPr>
        <w:t>: Lassen Sie sich die aktuellen Nachrichten per Tweet zusenden.</w:t>
      </w:r>
    </w:p>
    <w:p w:rsidR="00B46600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>Im Falle eines Abdrucks bitten wir um Zusendung an die untenstehende Adresse.</w:t>
      </w:r>
    </w:p>
    <w:p w:rsidR="00F744EF" w:rsidRPr="00B46600" w:rsidRDefault="00B51A24" w:rsidP="004354CC">
      <w:pPr>
        <w:rPr>
          <w:rFonts w:cs="Arial"/>
          <w:szCs w:val="22"/>
        </w:rPr>
      </w:pPr>
      <w:r w:rsidRPr="00B51A24">
        <w:rPr>
          <w:rFonts w:cs="Arial"/>
          <w:b/>
          <w:szCs w:val="22"/>
        </w:rPr>
        <w:t>Verantwortlich für den Inhalt:</w:t>
      </w:r>
      <w:r>
        <w:rPr>
          <w:rFonts w:cs="Arial"/>
          <w:szCs w:val="22"/>
        </w:rPr>
        <w:br/>
      </w:r>
      <w:r w:rsidR="00B46600">
        <w:rPr>
          <w:rFonts w:cs="Arial"/>
          <w:szCs w:val="22"/>
        </w:rPr>
        <w:t>HEA – Fachgemeinschaft für effiziente Energieanwendung e.V. Reinhardtstraße 32, 10117 Berlin, Geschäftsführer: Dr. Jan Witt, Eingetragen ins Vereinsregister am Amtsgericht Charlottenburg: VR 27893 B</w:t>
      </w:r>
    </w:p>
    <w:sectPr w:rsidR="00F744EF" w:rsidRPr="00B46600" w:rsidSect="00263C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2694" w:right="3243" w:bottom="2155" w:left="1389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52D" w:rsidRDefault="008E452D">
      <w:r>
        <w:separator/>
      </w:r>
    </w:p>
  </w:endnote>
  <w:endnote w:type="continuationSeparator" w:id="0">
    <w:p w:rsidR="008E452D" w:rsidRDefault="008E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BB9" w:rsidRDefault="006E7BC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C6BB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6BB9" w:rsidRDefault="006C6BB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BB9" w:rsidRDefault="006C6BB9" w:rsidP="00263C56">
    <w:pPr>
      <w:pStyle w:val="Paginierung"/>
      <w:framePr w:wrap="around" w:x="9331" w:y="14881"/>
    </w:pPr>
    <w:r>
      <w:t xml:space="preserve">Seite </w:t>
    </w:r>
    <w:r w:rsidR="006E7BC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E7BC0">
      <w:rPr>
        <w:rStyle w:val="Seitenzahl"/>
      </w:rPr>
      <w:fldChar w:fldCharType="separate"/>
    </w:r>
    <w:r w:rsidR="00C04892">
      <w:rPr>
        <w:rStyle w:val="Seitenzahl"/>
      </w:rPr>
      <w:t>1</w:t>
    </w:r>
    <w:r w:rsidR="006E7BC0">
      <w:rPr>
        <w:rStyle w:val="Seitenzahl"/>
      </w:rPr>
      <w:fldChar w:fldCharType="end"/>
    </w:r>
    <w:r>
      <w:rPr>
        <w:rStyle w:val="Seitenzahl"/>
      </w:rPr>
      <w:t xml:space="preserve"> von </w:t>
    </w:r>
    <w:r w:rsidR="006E7BC0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6E7BC0">
      <w:rPr>
        <w:rStyle w:val="Seitenzahl"/>
      </w:rPr>
      <w:fldChar w:fldCharType="separate"/>
    </w:r>
    <w:r w:rsidR="00C04892">
      <w:rPr>
        <w:rStyle w:val="Seitenzahl"/>
      </w:rPr>
      <w:t>2</w:t>
    </w:r>
    <w:r w:rsidR="006E7BC0">
      <w:rPr>
        <w:rStyle w:val="Seitenzahl"/>
      </w:rPr>
      <w:fldChar w:fldCharType="end"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6"/>
      <w:gridCol w:w="3638"/>
    </w:tblGrid>
    <w:tr w:rsidR="00263C56" w:rsidTr="00263C56">
      <w:tc>
        <w:tcPr>
          <w:tcW w:w="3707" w:type="dxa"/>
        </w:tcPr>
        <w:p w:rsidR="00263C56" w:rsidRDefault="00263C56" w:rsidP="00A05584">
          <w:pPr>
            <w:pStyle w:val="Paginierung"/>
            <w:framePr w:w="0" w:hRule="auto" w:wrap="auto" w:vAnchor="margin" w:hAnchor="text" w:xAlign="left" w:yAlign="inline"/>
          </w:pPr>
          <w:r>
            <w:rPr>
              <w:rFonts w:cs="Arial"/>
              <w:sz w:val="18"/>
              <w:szCs w:val="18"/>
            </w:rPr>
            <w:t xml:space="preserve">HEA – Fachgemeinschaft für </w:t>
          </w:r>
          <w:r>
            <w:rPr>
              <w:rFonts w:cs="Arial"/>
              <w:sz w:val="18"/>
              <w:szCs w:val="18"/>
            </w:rPr>
            <w:br/>
            <w:t>effiziente Energieanwendung e.V.</w:t>
          </w:r>
          <w:r>
            <w:rPr>
              <w:rFonts w:cs="Arial"/>
              <w:sz w:val="18"/>
              <w:szCs w:val="18"/>
            </w:rPr>
            <w:br/>
            <w:t>Reinhardtstraße 32</w:t>
          </w:r>
          <w:r>
            <w:rPr>
              <w:rFonts w:cs="Arial"/>
              <w:sz w:val="18"/>
              <w:szCs w:val="18"/>
            </w:rPr>
            <w:br/>
            <w:t>10117 Berlin</w:t>
          </w:r>
          <w:r>
            <w:rPr>
              <w:rFonts w:cs="Arial"/>
              <w:sz w:val="18"/>
              <w:szCs w:val="18"/>
            </w:rPr>
            <w:br/>
            <w:t>www.hea.de</w:t>
          </w:r>
        </w:p>
      </w:tc>
      <w:tc>
        <w:tcPr>
          <w:tcW w:w="3707" w:type="dxa"/>
        </w:tcPr>
        <w:p w:rsidR="00263C56" w:rsidRDefault="00263C56" w:rsidP="00A5710C">
          <w:pPr>
            <w:pStyle w:val="Paginierung"/>
            <w:framePr w:w="0" w:hRule="auto" w:wrap="auto" w:vAnchor="margin" w:hAnchor="text" w:xAlign="left" w:yAlign="inline"/>
          </w:pPr>
          <w:r>
            <w:rPr>
              <w:rFonts w:cs="Arial"/>
              <w:sz w:val="18"/>
              <w:szCs w:val="18"/>
            </w:rPr>
            <w:t>Ansprechpartner: Michael Conradi</w:t>
          </w:r>
          <w:r>
            <w:rPr>
              <w:rFonts w:cs="Arial"/>
              <w:sz w:val="18"/>
              <w:szCs w:val="18"/>
            </w:rPr>
            <w:br/>
            <w:t>Telefon: 030 300199-1374</w:t>
          </w:r>
          <w:r>
            <w:rPr>
              <w:rFonts w:cs="Arial"/>
              <w:sz w:val="18"/>
              <w:szCs w:val="18"/>
            </w:rPr>
            <w:br/>
            <w:t>E-Mail:</w:t>
          </w:r>
          <w:r w:rsidRPr="002B48F7">
            <w:rPr>
              <w:rFonts w:cs="Arial"/>
              <w:sz w:val="18"/>
              <w:szCs w:val="18"/>
            </w:rPr>
            <w:t xml:space="preserve"> </w:t>
          </w:r>
          <w:hyperlink r:id="rId1" w:history="1">
            <w:r w:rsidRPr="002B48F7">
              <w:rPr>
                <w:rStyle w:val="Hyperlink"/>
                <w:rFonts w:cs="Arial"/>
                <w:color w:val="auto"/>
                <w:sz w:val="18"/>
                <w:szCs w:val="18"/>
                <w:u w:val="none"/>
              </w:rPr>
              <w:t>conradi@hea.de</w:t>
            </w:r>
          </w:hyperlink>
          <w:r>
            <w:rPr>
              <w:rFonts w:cs="Arial"/>
              <w:sz w:val="18"/>
              <w:szCs w:val="18"/>
            </w:rPr>
            <w:br/>
            <w:t>HEA-Pressemeldun</w:t>
          </w:r>
          <w:r w:rsidR="00A5710C">
            <w:rPr>
              <w:rFonts w:cs="Arial"/>
              <w:sz w:val="18"/>
              <w:szCs w:val="18"/>
            </w:rPr>
            <w:t>gen unter:</w:t>
          </w:r>
          <w:r w:rsidR="00A5710C">
            <w:rPr>
              <w:rFonts w:cs="Arial"/>
              <w:sz w:val="18"/>
              <w:szCs w:val="18"/>
            </w:rPr>
            <w:br/>
            <w:t>http://hea.de/presse</w:t>
          </w:r>
        </w:p>
      </w:tc>
    </w:tr>
  </w:tbl>
  <w:p w:rsidR="006C6BB9" w:rsidRDefault="006C6BB9">
    <w:pPr>
      <w:pStyle w:val="Paginierung"/>
      <w:framePr w:w="0" w:hRule="auto" w:wrap="auto" w:vAnchor="margin" w:hAnchor="text" w:xAlign="left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BB9" w:rsidRDefault="006E7BC0">
    <w:pPr>
      <w:pStyle w:val="Paginierung"/>
      <w:framePr w:wrap="around"/>
    </w:pPr>
    <w:r>
      <w:fldChar w:fldCharType="begin"/>
    </w:r>
    <w:r w:rsidR="006C6BB9">
      <w:instrText>IF</w:instrText>
    </w:r>
    <w:r w:rsidR="00572B3D">
      <w:fldChar w:fldCharType="begin"/>
    </w:r>
    <w:r w:rsidR="00572B3D">
      <w:instrText>PAGE</w:instrText>
    </w:r>
    <w:r w:rsidR="00572B3D">
      <w:fldChar w:fldCharType="separate"/>
    </w:r>
    <w:r w:rsidR="00263C56">
      <w:instrText>1</w:instrText>
    </w:r>
    <w:r w:rsidR="00572B3D">
      <w:fldChar w:fldCharType="end"/>
    </w:r>
    <w:r w:rsidR="006C6BB9">
      <w:instrText>&lt;&gt;</w:instrText>
    </w:r>
    <w:r w:rsidR="00572B3D">
      <w:fldChar w:fldCharType="begin"/>
    </w:r>
    <w:r w:rsidR="00572B3D">
      <w:instrText>NUMPAGES</w:instrText>
    </w:r>
    <w:r w:rsidR="00572B3D">
      <w:fldChar w:fldCharType="separate"/>
    </w:r>
    <w:r w:rsidR="00F33864">
      <w:instrText>2</w:instrText>
    </w:r>
    <w:r w:rsidR="00572B3D">
      <w:fldChar w:fldCharType="end"/>
    </w:r>
    <w:r w:rsidR="006C6BB9">
      <w:instrText xml:space="preserve">"Seite </w:instrText>
    </w:r>
    <w:r w:rsidR="00572B3D">
      <w:fldChar w:fldCharType="begin"/>
    </w:r>
    <w:r w:rsidR="00572B3D">
      <w:instrText xml:space="preserve"> PAGE </w:instrText>
    </w:r>
    <w:r w:rsidR="00572B3D">
      <w:fldChar w:fldCharType="separate"/>
    </w:r>
    <w:r w:rsidR="00263C56">
      <w:instrText>1</w:instrText>
    </w:r>
    <w:r w:rsidR="00572B3D">
      <w:fldChar w:fldCharType="end"/>
    </w:r>
    <w:r w:rsidR="006C6BB9">
      <w:instrText xml:space="preserve"> von </w:instrText>
    </w:r>
    <w:r w:rsidR="00572B3D">
      <w:fldChar w:fldCharType="begin"/>
    </w:r>
    <w:r w:rsidR="00572B3D">
      <w:instrText xml:space="preserve"> NUMPAGES </w:instrText>
    </w:r>
    <w:r w:rsidR="00572B3D">
      <w:fldChar w:fldCharType="separate"/>
    </w:r>
    <w:r w:rsidR="00F33864">
      <w:instrText>2</w:instrText>
    </w:r>
    <w:r w:rsidR="00572B3D">
      <w:fldChar w:fldCharType="end"/>
    </w:r>
    <w:r w:rsidR="006C6BB9">
      <w:instrText>"</w:instrText>
    </w:r>
    <w:r>
      <w:fldChar w:fldCharType="separate"/>
    </w:r>
    <w:r w:rsidR="00F33864">
      <w:t>Seite 1 von 2</w:t>
    </w:r>
    <w:r>
      <w:fldChar w:fldCharType="end"/>
    </w:r>
  </w:p>
  <w:p w:rsidR="006C6BB9" w:rsidRDefault="006C6B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52D" w:rsidRDefault="008E452D">
      <w:r>
        <w:separator/>
      </w:r>
    </w:p>
  </w:footnote>
  <w:footnote w:type="continuationSeparator" w:id="0">
    <w:p w:rsidR="008E452D" w:rsidRDefault="008E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FC" w:rsidRDefault="009B42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BB9" w:rsidRDefault="002F7B16">
    <w:pPr>
      <w:pStyle w:val="Kopfzeile"/>
      <w:spacing w:after="1984"/>
      <w:ind w:right="-228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376555</wp:posOffset>
              </wp:positionV>
              <wp:extent cx="3808095" cy="488950"/>
              <wp:effectExtent l="0" t="0" r="0" b="1270"/>
              <wp:wrapNone/>
              <wp:docPr id="4" name="Text Box 2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C56" w:rsidRPr="00263C56" w:rsidRDefault="00263C56" w:rsidP="00263C56">
                          <w:pPr>
                            <w:rPr>
                              <w:color w:val="808080" w:themeColor="background1" w:themeShade="80"/>
                              <w:sz w:val="44"/>
                              <w:szCs w:val="44"/>
                            </w:rPr>
                          </w:pPr>
                          <w:r w:rsidRPr="00263C56">
                            <w:rPr>
                              <w:color w:val="808080" w:themeColor="background1" w:themeShade="80"/>
                              <w:sz w:val="44"/>
                              <w:szCs w:val="44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31" o:spid="_x0000_s1026" type="#_x0000_t202" style="position:absolute;left:0;text-align:left;margin-left:-8.6pt;margin-top:29.65pt;width:299.85pt;height:38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" filled="f" stroked="f">
              <v:textbox style="mso-fit-shape-to-text:t">
                <w:txbxContent>
                  <w:p w:rsidR="00263C56" w:rsidRPr="00263C56" w:rsidRDefault="00263C56" w:rsidP="00263C56">
                    <w:pPr>
                      <w:rPr>
                        <w:color w:val="808080" w:themeColor="background1" w:themeShade="80"/>
                        <w:sz w:val="44"/>
                        <w:szCs w:val="44"/>
                      </w:rPr>
                    </w:pPr>
                    <w:r w:rsidRPr="00263C56">
                      <w:rPr>
                        <w:color w:val="808080" w:themeColor="background1" w:themeShade="80"/>
                        <w:sz w:val="44"/>
                        <w:szCs w:val="44"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  <w:r w:rsidR="00263C56" w:rsidRPr="00263C56">
      <w:rPr>
        <w:noProof/>
      </w:rPr>
      <w:drawing>
        <wp:inline distT="0" distB="0" distL="0" distR="0">
          <wp:extent cx="1220958" cy="695325"/>
          <wp:effectExtent l="19050" t="0" r="0" b="0"/>
          <wp:docPr id="3" name="Grafik 0" descr="HE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339" cy="69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BB9" w:rsidRDefault="002F7B16">
    <w:pPr>
      <w:pStyle w:val="Kopfzeile"/>
      <w:tabs>
        <w:tab w:val="clear" w:pos="4536"/>
        <w:tab w:val="clear" w:pos="9072"/>
      </w:tabs>
      <w:ind w:right="-272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2246630</wp:posOffset>
              </wp:positionV>
              <wp:extent cx="4947285" cy="488950"/>
              <wp:effectExtent l="0" t="0" r="0" b="0"/>
              <wp:wrapNone/>
              <wp:docPr id="1" name="Text Box 2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728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C56" w:rsidRPr="00263C56" w:rsidRDefault="00263C56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263C56">
                            <w:rPr>
                              <w:sz w:val="44"/>
                              <w:szCs w:val="44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30" o:spid="_x0000_s1027" type="#_x0000_t202" style="position:absolute;left:0;text-align:left;margin-left:-15.75pt;margin-top:176.9pt;width:389.55pt;height:38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" filled="f" stroked="f">
              <v:textbox style="mso-fit-shape-to-text:t">
                <w:txbxContent>
                  <w:p w:rsidR="00263C56" w:rsidRPr="00263C56" w:rsidRDefault="00263C56">
                    <w:pPr>
                      <w:rPr>
                        <w:sz w:val="44"/>
                        <w:szCs w:val="44"/>
                      </w:rPr>
                    </w:pPr>
                    <w:r w:rsidRPr="00263C56">
                      <w:rPr>
                        <w:sz w:val="44"/>
                        <w:szCs w:val="44"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  <w:r w:rsidR="00263C56">
      <w:rPr>
        <w:noProof/>
      </w:rPr>
      <w:drawing>
        <wp:inline distT="0" distB="0" distL="0" distR="0">
          <wp:extent cx="1220958" cy="695325"/>
          <wp:effectExtent l="19050" t="0" r="0" b="0"/>
          <wp:docPr id="2" name="Grafik 0" descr="HE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339" cy="69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09F1"/>
    <w:multiLevelType w:val="hybridMultilevel"/>
    <w:tmpl w:val="36E2EDE8"/>
    <w:lvl w:ilvl="0" w:tplc="FE12B9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  <o:colormru v:ext="edit" colors="#419fa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16"/>
    <w:rsid w:val="00041BEB"/>
    <w:rsid w:val="0005053A"/>
    <w:rsid w:val="00063A2B"/>
    <w:rsid w:val="000679E2"/>
    <w:rsid w:val="000B7A00"/>
    <w:rsid w:val="000D0868"/>
    <w:rsid w:val="000D1DB1"/>
    <w:rsid w:val="00114D50"/>
    <w:rsid w:val="001302FE"/>
    <w:rsid w:val="001429E9"/>
    <w:rsid w:val="00170D64"/>
    <w:rsid w:val="0018624A"/>
    <w:rsid w:val="001C3D94"/>
    <w:rsid w:val="001E4A21"/>
    <w:rsid w:val="002167EF"/>
    <w:rsid w:val="002213AA"/>
    <w:rsid w:val="00223287"/>
    <w:rsid w:val="00226B27"/>
    <w:rsid w:val="00240F1C"/>
    <w:rsid w:val="00263C56"/>
    <w:rsid w:val="002724F1"/>
    <w:rsid w:val="0028153A"/>
    <w:rsid w:val="00291B31"/>
    <w:rsid w:val="002E4199"/>
    <w:rsid w:val="002F7B16"/>
    <w:rsid w:val="00316E0A"/>
    <w:rsid w:val="00391A4E"/>
    <w:rsid w:val="003A4FAE"/>
    <w:rsid w:val="004354CC"/>
    <w:rsid w:val="00445417"/>
    <w:rsid w:val="00455EA2"/>
    <w:rsid w:val="00457C47"/>
    <w:rsid w:val="00463A67"/>
    <w:rsid w:val="00485857"/>
    <w:rsid w:val="004F2387"/>
    <w:rsid w:val="005301B4"/>
    <w:rsid w:val="00546007"/>
    <w:rsid w:val="005719CF"/>
    <w:rsid w:val="005725EA"/>
    <w:rsid w:val="00572B3D"/>
    <w:rsid w:val="00584D18"/>
    <w:rsid w:val="005A50A9"/>
    <w:rsid w:val="006209C4"/>
    <w:rsid w:val="00626AF6"/>
    <w:rsid w:val="00680A37"/>
    <w:rsid w:val="006A76A4"/>
    <w:rsid w:val="006C6BB9"/>
    <w:rsid w:val="006D217F"/>
    <w:rsid w:val="006E7BC0"/>
    <w:rsid w:val="00725A29"/>
    <w:rsid w:val="00730907"/>
    <w:rsid w:val="007B7C31"/>
    <w:rsid w:val="008141B9"/>
    <w:rsid w:val="0086120A"/>
    <w:rsid w:val="00874AF3"/>
    <w:rsid w:val="00894359"/>
    <w:rsid w:val="008E123D"/>
    <w:rsid w:val="008E452D"/>
    <w:rsid w:val="00925635"/>
    <w:rsid w:val="00963262"/>
    <w:rsid w:val="009749BF"/>
    <w:rsid w:val="009B42FC"/>
    <w:rsid w:val="009E0282"/>
    <w:rsid w:val="009E1102"/>
    <w:rsid w:val="00A05584"/>
    <w:rsid w:val="00A5710C"/>
    <w:rsid w:val="00A634D1"/>
    <w:rsid w:val="00A84E54"/>
    <w:rsid w:val="00A9019D"/>
    <w:rsid w:val="00AF0719"/>
    <w:rsid w:val="00B10EE3"/>
    <w:rsid w:val="00B36DE0"/>
    <w:rsid w:val="00B4032E"/>
    <w:rsid w:val="00B4508E"/>
    <w:rsid w:val="00B46600"/>
    <w:rsid w:val="00B51A24"/>
    <w:rsid w:val="00BB2EDB"/>
    <w:rsid w:val="00BE0680"/>
    <w:rsid w:val="00C04892"/>
    <w:rsid w:val="00C066CD"/>
    <w:rsid w:val="00C236D3"/>
    <w:rsid w:val="00C4661F"/>
    <w:rsid w:val="00C46F8E"/>
    <w:rsid w:val="00C716FE"/>
    <w:rsid w:val="00C7496F"/>
    <w:rsid w:val="00C80E2B"/>
    <w:rsid w:val="00D16E50"/>
    <w:rsid w:val="00D41F4A"/>
    <w:rsid w:val="00D66D65"/>
    <w:rsid w:val="00DB4A8E"/>
    <w:rsid w:val="00E051E7"/>
    <w:rsid w:val="00E62F5F"/>
    <w:rsid w:val="00F05880"/>
    <w:rsid w:val="00F16E98"/>
    <w:rsid w:val="00F33864"/>
    <w:rsid w:val="00F34F37"/>
    <w:rsid w:val="00F474F6"/>
    <w:rsid w:val="00F64634"/>
    <w:rsid w:val="00F744EF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o:colormru v:ext="edit" colors="#419fad,silver"/>
    </o:shapedefaults>
    <o:shapelayout v:ext="edit">
      <o:idmap v:ext="edit" data="1"/>
    </o:shapelayout>
  </w:shapeDefaults>
  <w:decimalSymbol w:val=","/>
  <w:listSeparator w:val=";"/>
  <w14:docId w14:val="146A85E9"/>
  <w15:docId w15:val="{9AE0E437-C32E-4B5D-A5FA-B4806F22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16E0A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316E0A"/>
    <w:pPr>
      <w:keepNext/>
      <w:spacing w:before="30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316E0A"/>
    <w:pPr>
      <w:keepNext/>
      <w:spacing w:before="30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16E0A"/>
    <w:pPr>
      <w:keepNext/>
      <w:spacing w:before="30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16E0A"/>
    <w:pPr>
      <w:tabs>
        <w:tab w:val="center" w:pos="4536"/>
        <w:tab w:val="right" w:pos="9072"/>
      </w:tabs>
      <w:spacing w:after="0"/>
    </w:pPr>
    <w:rPr>
      <w:sz w:val="14"/>
    </w:rPr>
  </w:style>
  <w:style w:type="paragraph" w:styleId="Fuzeile">
    <w:name w:val="footer"/>
    <w:basedOn w:val="Standard"/>
    <w:link w:val="FuzeileZchn"/>
    <w:uiPriority w:val="99"/>
    <w:rsid w:val="00316E0A"/>
    <w:pPr>
      <w:tabs>
        <w:tab w:val="left" w:pos="7938"/>
      </w:tabs>
      <w:spacing w:after="0" w:line="210" w:lineRule="atLeast"/>
    </w:pPr>
    <w:rPr>
      <w:sz w:val="14"/>
    </w:rPr>
  </w:style>
  <w:style w:type="character" w:styleId="Hyperlink">
    <w:name w:val="Hyperlink"/>
    <w:basedOn w:val="Absatz-Standardschriftart"/>
    <w:uiPriority w:val="99"/>
    <w:rsid w:val="00316E0A"/>
    <w:rPr>
      <w:color w:val="0000FF"/>
      <w:u w:val="single"/>
    </w:rPr>
  </w:style>
  <w:style w:type="paragraph" w:customStyle="1" w:styleId="Paginierung">
    <w:name w:val="Paginierung"/>
    <w:basedOn w:val="Fuzeile"/>
    <w:semiHidden/>
    <w:rsid w:val="00316E0A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ierung"/>
    <w:rsid w:val="00316E0A"/>
    <w:pPr>
      <w:tabs>
        <w:tab w:val="left" w:pos="510"/>
      </w:tabs>
      <w:spacing w:after="0" w:line="210" w:lineRule="exact"/>
    </w:pPr>
    <w:rPr>
      <w:b/>
      <w:noProof/>
      <w:sz w:val="14"/>
      <w:szCs w:val="16"/>
    </w:rPr>
  </w:style>
  <w:style w:type="paragraph" w:customStyle="1" w:styleId="Betreff">
    <w:name w:val="Betreff"/>
    <w:basedOn w:val="Standard"/>
    <w:next w:val="Anrede"/>
    <w:rsid w:val="00316E0A"/>
    <w:pPr>
      <w:spacing w:before="300" w:after="600"/>
    </w:pPr>
    <w:rPr>
      <w:b/>
    </w:rPr>
  </w:style>
  <w:style w:type="character" w:styleId="Seitenzahl">
    <w:name w:val="page number"/>
    <w:basedOn w:val="Absatz-Standardschriftart"/>
    <w:rsid w:val="00316E0A"/>
    <w:rPr>
      <w:rFonts w:ascii="Arial" w:hAnsi="Arial"/>
    </w:rPr>
  </w:style>
  <w:style w:type="paragraph" w:styleId="Sprechblasentext">
    <w:name w:val="Balloon Text"/>
    <w:basedOn w:val="Standard"/>
    <w:semiHidden/>
    <w:rsid w:val="00316E0A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basedOn w:val="Absatz-Standardschriftart"/>
    <w:rsid w:val="00316E0A"/>
    <w:rPr>
      <w:rFonts w:ascii="Arial" w:hAnsi="Arial"/>
      <w:noProof/>
      <w:sz w:val="14"/>
      <w:szCs w:val="16"/>
      <w:lang w:val="de-DE" w:eastAsia="de-DE" w:bidi="ar-SA"/>
    </w:rPr>
  </w:style>
  <w:style w:type="paragraph" w:customStyle="1" w:styleId="Auskunftsblock">
    <w:name w:val="Auskunftsblock"/>
    <w:basedOn w:val="Standard"/>
    <w:rsid w:val="00316E0A"/>
    <w:pPr>
      <w:tabs>
        <w:tab w:val="left" w:pos="510"/>
      </w:tabs>
      <w:spacing w:after="210" w:line="210" w:lineRule="exact"/>
    </w:pPr>
    <w:rPr>
      <w:noProof/>
      <w:sz w:val="14"/>
      <w:szCs w:val="16"/>
    </w:rPr>
  </w:style>
  <w:style w:type="paragraph" w:styleId="Anrede">
    <w:name w:val="Salutation"/>
    <w:basedOn w:val="Standard"/>
    <w:next w:val="Standard"/>
    <w:rsid w:val="00316E0A"/>
    <w:pPr>
      <w:spacing w:after="300"/>
    </w:pPr>
  </w:style>
  <w:style w:type="paragraph" w:customStyle="1" w:styleId="Adresse">
    <w:name w:val="Adresse"/>
    <w:basedOn w:val="Standard"/>
    <w:rsid w:val="00316E0A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F"/>
    <w:rPr>
      <w:rFonts w:ascii="Arial" w:hAnsi="Arial"/>
      <w:sz w:val="14"/>
      <w:szCs w:val="24"/>
    </w:rPr>
  </w:style>
  <w:style w:type="table" w:styleId="Tabellenraster">
    <w:name w:val="Table Grid"/>
    <w:basedOn w:val="NormaleTabelle"/>
    <w:rsid w:val="00263C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rper">
    <w:name w:val="Body Text"/>
    <w:basedOn w:val="Standard"/>
    <w:link w:val="TextkrperZchn"/>
    <w:rsid w:val="00F744EF"/>
    <w:pPr>
      <w:spacing w:before="190" w:after="0" w:line="240" w:lineRule="auto"/>
    </w:pPr>
    <w:rPr>
      <w:rFonts w:asciiTheme="minorHAnsi" w:eastAsiaTheme="minorEastAsia" w:hAnsiTheme="minorHAnsi" w:cstheme="minorBidi"/>
      <w:color w:val="404040" w:themeColor="text1" w:themeTint="BF"/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rsid w:val="00F744EF"/>
    <w:rPr>
      <w:rFonts w:asciiTheme="minorHAnsi" w:eastAsiaTheme="minorEastAsia" w:hAnsiTheme="minorHAnsi" w:cstheme="minorBidi"/>
      <w:color w:val="404040" w:themeColor="text1" w:themeTint="BF"/>
      <w:sz w:val="19"/>
      <w:szCs w:val="19"/>
    </w:rPr>
  </w:style>
  <w:style w:type="paragraph" w:styleId="NurText">
    <w:name w:val="Plain Text"/>
    <w:basedOn w:val="Standard"/>
    <w:link w:val="NurTextZchn"/>
    <w:unhideWhenUsed/>
    <w:rsid w:val="00F744EF"/>
    <w:pPr>
      <w:spacing w:after="0" w:line="240" w:lineRule="auto"/>
    </w:pPr>
    <w:rPr>
      <w:rFonts w:asciiTheme="minorHAnsi" w:eastAsiaTheme="minorEastAsia" w:hAnsi="Consolas" w:cstheme="minorBidi"/>
      <w:color w:val="404040" w:themeColor="text1" w:themeTint="BF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F744EF"/>
    <w:rPr>
      <w:rFonts w:asciiTheme="minorHAnsi" w:eastAsiaTheme="minorEastAsia" w:hAnsi="Consolas" w:cstheme="minorBidi"/>
      <w:color w:val="404040" w:themeColor="text1" w:themeTint="BF"/>
      <w:sz w:val="21"/>
      <w:szCs w:val="21"/>
    </w:rPr>
  </w:style>
  <w:style w:type="character" w:styleId="Fett">
    <w:name w:val="Strong"/>
    <w:basedOn w:val="Absatz-Standardschriftart"/>
    <w:uiPriority w:val="22"/>
    <w:qFormat/>
    <w:rsid w:val="00F74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.de/projekte/wie-viel-energie-verbraucht-die-erzeugung-einer-kilowattstunde-str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radi@hea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CA74-E526-40D5-AAF1-4A57EC18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BDEW Bundesverband der Energie- und Wasserwirtschaft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Leitner</dc:creator>
  <cp:lastModifiedBy>Conradi, Michael</cp:lastModifiedBy>
  <cp:revision>3</cp:revision>
  <cp:lastPrinted>2019-10-15T10:06:00Z</cp:lastPrinted>
  <dcterms:created xsi:type="dcterms:W3CDTF">2020-11-04T07:55:00Z</dcterms:created>
  <dcterms:modified xsi:type="dcterms:W3CDTF">2020-11-04T08:11:00Z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 </vt:lpwstr>
  </property>
  <property fmtid="{D5CDD505-2E9C-101B-9397-08002B2CF9AE}" pid="3" name="Bereich">
    <vt:lpwstr/>
  </property>
  <property fmtid="{D5CDD505-2E9C-101B-9397-08002B2CF9AE}" pid="4" name="Telefon">
    <vt:lpwstr/>
  </property>
  <property fmtid="{D5CDD505-2E9C-101B-9397-08002B2CF9AE}" pid="5" name="Telefax">
    <vt:lpwstr/>
  </property>
  <property fmtid="{D5CDD505-2E9C-101B-9397-08002B2CF9AE}" pid="6" name="Email">
    <vt:lpwstr/>
  </property>
  <property fmtid="{D5CDD505-2E9C-101B-9397-08002B2CF9AE}" pid="7" name="Online">
    <vt:bool>false</vt:bool>
  </property>
  <property fmtid="{D5CDD505-2E9C-101B-9397-08002B2CF9AE}" pid="8" name="Layout">
    <vt:lpwstr>Standardbrief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  <property fmtid="{D5CDD505-2E9C-101B-9397-08002B2CF9AE}" pid="11" name="_AdHocReviewCycleID">
    <vt:i4>-91054198</vt:i4>
  </property>
  <property fmtid="{D5CDD505-2E9C-101B-9397-08002B2CF9AE}" pid="12" name="_NewReviewCycle">
    <vt:lpwstr/>
  </property>
  <property fmtid="{D5CDD505-2E9C-101B-9397-08002B2CF9AE}" pid="13" name="_EmailSubject">
    <vt:lpwstr>Freigegebene PI IINAS-Studie</vt:lpwstr>
  </property>
  <property fmtid="{D5CDD505-2E9C-101B-9397-08002B2CF9AE}" pid="14" name="_AuthorEmail">
    <vt:lpwstr>Friedrich.Schulte@bdew.de</vt:lpwstr>
  </property>
  <property fmtid="{D5CDD505-2E9C-101B-9397-08002B2CF9AE}" pid="15" name="_AuthorEmailDisplayName">
    <vt:lpwstr>Schulte, Friedrich Lutz</vt:lpwstr>
  </property>
  <property fmtid="{D5CDD505-2E9C-101B-9397-08002B2CF9AE}" pid="16" name="_PreviousAdHocReviewCycleID">
    <vt:i4>-100188373</vt:i4>
  </property>
  <property fmtid="{D5CDD505-2E9C-101B-9397-08002B2CF9AE}" pid="17" name="_ReviewingToolsShownOnce">
    <vt:lpwstr/>
  </property>
</Properties>
</file>