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E728" w14:textId="26F3F611" w:rsidR="00CA79D7" w:rsidRPr="004C322C" w:rsidRDefault="00161817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top-7-investment</w:t>
      </w:r>
      <w:r w:rsidR="000021F4"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märkte Q</w:t>
      </w:r>
      <w:r w:rsidR="002E2D2D">
        <w:rPr>
          <w:rFonts w:ascii="Source Sans Pro" w:hAnsi="Source Sans Pro" w:cs="Source Sans Pro"/>
          <w:caps/>
          <w:color w:val="0086A8"/>
          <w:sz w:val="22"/>
          <w:szCs w:val="22"/>
        </w:rPr>
        <w:t>1-</w:t>
      </w:r>
      <w:r w:rsidR="007A5687">
        <w:rPr>
          <w:rFonts w:ascii="Source Sans Pro" w:hAnsi="Source Sans Pro" w:cs="Source Sans Pro"/>
          <w:caps/>
          <w:color w:val="0086A8"/>
          <w:sz w:val="22"/>
          <w:szCs w:val="22"/>
        </w:rPr>
        <w:t>4</w:t>
      </w:r>
      <w:r w:rsidR="001550FE"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3613CB"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4</w:t>
      </w:r>
    </w:p>
    <w:p w14:paraId="04E2B93F" w14:textId="5069377D" w:rsidR="000157FA" w:rsidRPr="004C322C" w:rsidRDefault="0035496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 w:rsidRPr="00AB4B8F"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50DA5F1" wp14:editId="45F72371">
            <wp:simplePos x="0" y="0"/>
            <wp:positionH relativeFrom="margin">
              <wp:align>left</wp:align>
            </wp:positionH>
            <wp:positionV relativeFrom="paragraph">
              <wp:posOffset>437287</wp:posOffset>
            </wp:positionV>
            <wp:extent cx="3314065" cy="1938655"/>
            <wp:effectExtent l="19050" t="19050" r="19685" b="23495"/>
            <wp:wrapTopAndBottom/>
            <wp:docPr id="18923454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45454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558" cy="193874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108FA">
        <w:rPr>
          <w:rFonts w:ascii="Source Sans Pro" w:hAnsi="Source Sans Pro" w:cs="Source Sans Pro"/>
          <w:sz w:val="36"/>
          <w:szCs w:val="36"/>
        </w:rPr>
        <w:t>Leichter Aufwärtstrend zum Jahresende</w:t>
      </w:r>
    </w:p>
    <w:p w14:paraId="14EADD5C" w14:textId="0F6E7423" w:rsidR="004F09D7" w:rsidRPr="00B369C9" w:rsidRDefault="004F09D7" w:rsidP="004F0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</w:p>
    <w:p w14:paraId="08D8F147" w14:textId="23ACF0B8" w:rsidR="002820C5" w:rsidRPr="00354969" w:rsidRDefault="007A5687" w:rsidP="009C3E81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2"/>
          <w:szCs w:val="22"/>
        </w:rPr>
      </w:pPr>
      <w:r w:rsidRPr="00354969">
        <w:rPr>
          <w:rFonts w:ascii="Source Sans Pro" w:hAnsi="Source Sans Pro" w:cs="Source Sans Pro"/>
          <w:color w:val="0086A8"/>
          <w:sz w:val="22"/>
          <w:szCs w:val="22"/>
        </w:rPr>
        <w:t>8</w:t>
      </w:r>
      <w:r w:rsidR="007D5A52" w:rsidRPr="00354969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Pr="00354969">
        <w:rPr>
          <w:rFonts w:ascii="Source Sans Pro" w:hAnsi="Source Sans Pro" w:cs="Source Sans Pro"/>
          <w:color w:val="0087A8"/>
          <w:sz w:val="22"/>
          <w:szCs w:val="22"/>
        </w:rPr>
        <w:t>Januar</w:t>
      </w:r>
      <w:r w:rsidR="000021F4" w:rsidRPr="00354969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Pr="00354969">
        <w:rPr>
          <w:rFonts w:ascii="Source Sans Pro" w:hAnsi="Source Sans Pro" w:cs="Source Sans Pro"/>
          <w:color w:val="0087A8"/>
          <w:sz w:val="22"/>
          <w:szCs w:val="22"/>
        </w:rPr>
        <w:t>5</w:t>
      </w:r>
      <w:r w:rsidR="007D5A52" w:rsidRPr="00354969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 w:rsidRPr="00354969"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  <w:r w:rsidR="00496CB2" w:rsidRPr="00354969">
        <w:rPr>
          <w:rFonts w:ascii="Source Sans Pro" w:hAnsi="Source Sans Pro" w:cs="Source Sans Pro"/>
          <w:color w:val="auto"/>
          <w:sz w:val="22"/>
          <w:szCs w:val="22"/>
        </w:rPr>
        <w:t>A</w:t>
      </w:r>
      <w:r w:rsidR="008E556F" w:rsidRPr="00354969">
        <w:rPr>
          <w:rFonts w:ascii="Source Sans Pro" w:hAnsi="Source Sans Pro" w:cs="Source Sans Pro"/>
          <w:color w:val="auto"/>
          <w:sz w:val="22"/>
          <w:szCs w:val="22"/>
        </w:rPr>
        <w:t xml:space="preserve">uf den </w:t>
      </w:r>
      <w:r w:rsidR="008C5CEC" w:rsidRPr="00354969">
        <w:rPr>
          <w:rFonts w:ascii="Source Sans Pro" w:hAnsi="Source Sans Pro" w:cs="Source Sans Pro"/>
          <w:color w:val="auto"/>
          <w:sz w:val="22"/>
          <w:szCs w:val="22"/>
        </w:rPr>
        <w:t>Top-7-Märkte</w:t>
      </w:r>
      <w:r w:rsidR="008E556F" w:rsidRPr="00354969">
        <w:rPr>
          <w:rFonts w:ascii="Source Sans Pro" w:hAnsi="Source Sans Pro" w:cs="Source Sans Pro"/>
          <w:color w:val="auto"/>
          <w:sz w:val="22"/>
          <w:szCs w:val="22"/>
        </w:rPr>
        <w:t>n</w:t>
      </w:r>
      <w:r w:rsidR="008C5CEC" w:rsidRPr="00354969">
        <w:rPr>
          <w:rFonts w:ascii="Source Sans Pro" w:hAnsi="Source Sans Pro" w:cs="Source Sans Pro"/>
          <w:color w:val="auto"/>
          <w:sz w:val="22"/>
          <w:szCs w:val="22"/>
        </w:rPr>
        <w:t xml:space="preserve"> für ge</w:t>
      </w:r>
      <w:r w:rsidR="00EF53CD" w:rsidRPr="00354969">
        <w:rPr>
          <w:rFonts w:ascii="Source Sans Pro" w:hAnsi="Source Sans Pro" w:cs="Source Sans Pro"/>
          <w:color w:val="auto"/>
          <w:sz w:val="22"/>
          <w:szCs w:val="22"/>
        </w:rPr>
        <w:t>werbliche Immobilieninvestments</w:t>
      </w:r>
      <w:r w:rsidRPr="00354969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6D6C27">
        <w:rPr>
          <w:rFonts w:ascii="Source Sans Pro" w:hAnsi="Source Sans Pro" w:cs="Source Sans Pro"/>
          <w:color w:val="auto"/>
          <w:sz w:val="22"/>
          <w:szCs w:val="22"/>
        </w:rPr>
        <w:t xml:space="preserve">lag </w:t>
      </w:r>
      <w:r w:rsidR="00496CB2" w:rsidRPr="00354969">
        <w:rPr>
          <w:rFonts w:ascii="Source Sans Pro" w:hAnsi="Source Sans Pro" w:cs="Source Sans Pro"/>
          <w:color w:val="auto"/>
          <w:sz w:val="22"/>
          <w:szCs w:val="22"/>
        </w:rPr>
        <w:t>das Transaktionsvolumen (TAV)</w:t>
      </w:r>
      <w:r w:rsidRPr="00354969">
        <w:rPr>
          <w:rFonts w:ascii="Source Sans Pro" w:hAnsi="Source Sans Pro" w:cs="Source Sans Pro"/>
          <w:color w:val="auto"/>
          <w:sz w:val="22"/>
          <w:szCs w:val="22"/>
        </w:rPr>
        <w:t xml:space="preserve"> zum Ende des </w:t>
      </w:r>
      <w:r w:rsidR="00496CB2" w:rsidRPr="00354969">
        <w:rPr>
          <w:rFonts w:ascii="Source Sans Pro" w:hAnsi="Source Sans Pro" w:cs="Source Sans Pro"/>
          <w:color w:val="auto"/>
          <w:sz w:val="22"/>
          <w:szCs w:val="22"/>
        </w:rPr>
        <w:t>Jahres 2024</w:t>
      </w:r>
      <w:r w:rsidR="006D6C27">
        <w:rPr>
          <w:rFonts w:ascii="Source Sans Pro" w:hAnsi="Source Sans Pro" w:cs="Source Sans Pro"/>
          <w:color w:val="auto"/>
          <w:sz w:val="22"/>
          <w:szCs w:val="22"/>
        </w:rPr>
        <w:t xml:space="preserve"> bei</w:t>
      </w:r>
      <w:r w:rsidRPr="00354969">
        <w:rPr>
          <w:rFonts w:ascii="Source Sans Pro" w:hAnsi="Source Sans Pro" w:cs="Source Sans Pro"/>
          <w:color w:val="auto"/>
          <w:sz w:val="22"/>
          <w:szCs w:val="22"/>
        </w:rPr>
        <w:t xml:space="preserve"> rund </w:t>
      </w:r>
      <w:r w:rsidR="00496CB2" w:rsidRPr="00354969">
        <w:rPr>
          <w:rFonts w:ascii="Source Sans Pro" w:hAnsi="Source Sans Pro" w:cs="Source Sans Pro"/>
          <w:color w:val="auto"/>
          <w:sz w:val="22"/>
          <w:szCs w:val="22"/>
        </w:rPr>
        <w:t xml:space="preserve">12,1 Mrd. €. Im Vorjahresvergleich bedeutet dies ein Plus von etwa 54 %, dennoch liegt das Ergebnis weiterhin deutlich unter dem Zehn-Jahres-Mittel von rund </w:t>
      </w:r>
      <w:r w:rsidR="00B369C9">
        <w:rPr>
          <w:rFonts w:ascii="Source Sans Pro" w:hAnsi="Source Sans Pro" w:cs="Source Sans Pro"/>
          <w:color w:val="auto"/>
          <w:sz w:val="22"/>
          <w:szCs w:val="22"/>
        </w:rPr>
        <w:t xml:space="preserve">27,5 </w:t>
      </w:r>
      <w:r w:rsidR="00496CB2" w:rsidRPr="00354969">
        <w:rPr>
          <w:rFonts w:ascii="Source Sans Pro" w:hAnsi="Source Sans Pro" w:cs="Source Sans Pro"/>
          <w:color w:val="auto"/>
          <w:sz w:val="22"/>
          <w:szCs w:val="22"/>
        </w:rPr>
        <w:t xml:space="preserve">Mrd. €. </w:t>
      </w:r>
      <w:r w:rsidR="00496CB2" w:rsidRPr="00354969">
        <w:rPr>
          <w:rFonts w:ascii="Source Sans Pro" w:hAnsi="Source Sans Pro" w:cs="Source Sans Pro"/>
          <w:bCs/>
          <w:i/>
          <w:sz w:val="22"/>
          <w:szCs w:val="22"/>
        </w:rPr>
        <w:t>„</w:t>
      </w:r>
      <w:r w:rsidR="00AC57E5">
        <w:rPr>
          <w:rFonts w:ascii="Source Sans Pro" w:hAnsi="Source Sans Pro" w:cs="Source Sans Pro"/>
          <w:bCs/>
          <w:i/>
          <w:sz w:val="22"/>
          <w:szCs w:val="22"/>
        </w:rPr>
        <w:t>Aktuell</w:t>
      </w:r>
      <w:r w:rsidR="009F5CD5" w:rsidRPr="00354969">
        <w:rPr>
          <w:rFonts w:ascii="Source Sans Pro" w:hAnsi="Source Sans Pro" w:cs="Source Sans Pro"/>
          <w:bCs/>
          <w:i/>
          <w:sz w:val="22"/>
          <w:szCs w:val="22"/>
        </w:rPr>
        <w:t xml:space="preserve"> spüren</w:t>
      </w:r>
      <w:r w:rsidR="00AC57E5">
        <w:rPr>
          <w:rFonts w:ascii="Source Sans Pro" w:hAnsi="Source Sans Pro" w:cs="Source Sans Pro"/>
          <w:bCs/>
          <w:i/>
          <w:sz w:val="22"/>
          <w:szCs w:val="22"/>
        </w:rPr>
        <w:t xml:space="preserve"> wir eine </w:t>
      </w:r>
      <w:r w:rsidR="009F5CD5" w:rsidRPr="00354969">
        <w:rPr>
          <w:rFonts w:ascii="Source Sans Pro" w:hAnsi="Source Sans Pro" w:cs="Source Sans Pro"/>
          <w:bCs/>
          <w:i/>
          <w:sz w:val="22"/>
          <w:szCs w:val="22"/>
        </w:rPr>
        <w:t xml:space="preserve">deutliche Zunahme der Aktivität am Markt, eine klassische Jahresendrallye blieb jedoch aus“, </w:t>
      </w:r>
      <w:r w:rsidR="00496CB2" w:rsidRPr="00354969">
        <w:rPr>
          <w:rFonts w:ascii="Source Sans Pro" w:hAnsi="Source Sans Pro" w:cs="Source Sans Pro"/>
          <w:iCs/>
          <w:sz w:val="22"/>
          <w:szCs w:val="22"/>
        </w:rPr>
        <w:t xml:space="preserve">kommentiert </w:t>
      </w:r>
      <w:r w:rsidR="00496CB2" w:rsidRPr="00354969">
        <w:rPr>
          <w:rFonts w:ascii="Source Sans Pro" w:hAnsi="Source Sans Pro" w:cs="Arial"/>
          <w:bCs/>
          <w:iCs/>
          <w:sz w:val="22"/>
          <w:szCs w:val="22"/>
        </w:rPr>
        <w:t xml:space="preserve">GPP-Sprecher </w:t>
      </w:r>
      <w:r w:rsidR="00496CB2" w:rsidRPr="00354969">
        <w:rPr>
          <w:rFonts w:ascii="Source Sans Pro" w:hAnsi="Source Sans Pro" w:cs="Source Sans Pro"/>
          <w:b/>
          <w:iCs/>
          <w:sz w:val="22"/>
          <w:szCs w:val="22"/>
        </w:rPr>
        <w:t>Björn Holzwarth</w:t>
      </w:r>
      <w:r w:rsidR="009F5CD5" w:rsidRPr="00354969">
        <w:rPr>
          <w:rFonts w:ascii="Source Sans Pro" w:hAnsi="Source Sans Pro" w:cs="Source Sans Pro"/>
          <w:iCs/>
          <w:sz w:val="22"/>
          <w:szCs w:val="22"/>
        </w:rPr>
        <w:t>.</w:t>
      </w:r>
      <w:r w:rsidR="009F5CD5" w:rsidRPr="00354969">
        <w:rPr>
          <w:rFonts w:ascii="Source Sans Pro" w:hAnsi="Source Sans Pro" w:cs="Source Sans Pro"/>
          <w:b/>
          <w:iCs/>
          <w:sz w:val="22"/>
          <w:szCs w:val="22"/>
        </w:rPr>
        <w:t xml:space="preserve"> </w:t>
      </w:r>
      <w:r w:rsidR="009F5CD5" w:rsidRPr="00354969">
        <w:rPr>
          <w:rFonts w:ascii="Source Sans Pro" w:hAnsi="Source Sans Pro" w:cs="Source Sans Pro"/>
          <w:i/>
          <w:iCs/>
          <w:sz w:val="22"/>
          <w:szCs w:val="22"/>
        </w:rPr>
        <w:t>„</w:t>
      </w:r>
      <w:r w:rsidR="00E8535B" w:rsidRPr="00354969">
        <w:rPr>
          <w:rFonts w:ascii="Source Sans Pro" w:hAnsi="Source Sans Pro" w:cs="Source Sans Pro"/>
          <w:i/>
          <w:iCs/>
          <w:sz w:val="22"/>
          <w:szCs w:val="22"/>
        </w:rPr>
        <w:t>Im vierten Quartal</w:t>
      </w:r>
      <w:r w:rsidR="009F5CD5" w:rsidRPr="00354969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E8535B" w:rsidRPr="00354969">
        <w:rPr>
          <w:rFonts w:ascii="Source Sans Pro" w:hAnsi="Source Sans Pro" w:cs="Source Sans Pro"/>
          <w:i/>
          <w:iCs/>
          <w:sz w:val="22"/>
          <w:szCs w:val="22"/>
        </w:rPr>
        <w:t>bremste</w:t>
      </w:r>
      <w:r w:rsidR="000944E0" w:rsidRPr="00354969">
        <w:rPr>
          <w:rFonts w:ascii="Source Sans Pro" w:hAnsi="Source Sans Pro" w:cs="Source Sans Pro"/>
          <w:i/>
          <w:iCs/>
          <w:sz w:val="22"/>
          <w:szCs w:val="22"/>
        </w:rPr>
        <w:t xml:space="preserve"> die</w:t>
      </w:r>
      <w:r w:rsidR="00E8535B" w:rsidRPr="00354969">
        <w:rPr>
          <w:rFonts w:ascii="Source Sans Pro" w:hAnsi="Source Sans Pro" w:cs="Source Sans Pro"/>
          <w:i/>
          <w:iCs/>
          <w:sz w:val="22"/>
          <w:szCs w:val="22"/>
        </w:rPr>
        <w:t xml:space="preserve"> konjunkturell bedingte Unsicherheit</w:t>
      </w:r>
      <w:r w:rsidR="009F5CD5" w:rsidRPr="00354969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E8535B" w:rsidRPr="00354969">
        <w:rPr>
          <w:rFonts w:ascii="Source Sans Pro" w:hAnsi="Source Sans Pro" w:cs="Source Sans Pro"/>
          <w:i/>
          <w:iCs/>
          <w:sz w:val="22"/>
          <w:szCs w:val="22"/>
        </w:rPr>
        <w:t xml:space="preserve">weiterhin </w:t>
      </w:r>
      <w:r w:rsidR="009F5CD5" w:rsidRPr="00354969">
        <w:rPr>
          <w:rFonts w:ascii="Source Sans Pro" w:hAnsi="Source Sans Pro" w:cs="Source Sans Pro"/>
          <w:i/>
          <w:iCs/>
          <w:sz w:val="22"/>
          <w:szCs w:val="22"/>
        </w:rPr>
        <w:t>Käufer- und Verkäuferentscheidungen.</w:t>
      </w:r>
      <w:r w:rsidR="00E8535B" w:rsidRPr="00354969">
        <w:rPr>
          <w:rFonts w:ascii="Source Sans Pro" w:hAnsi="Source Sans Pro" w:cs="Source Sans Pro"/>
          <w:i/>
          <w:iCs/>
          <w:sz w:val="22"/>
          <w:szCs w:val="22"/>
        </w:rPr>
        <w:t xml:space="preserve"> Zwar wurden die europäischen Leitzinsen im Jahresverlauf viermal gesenkt, doch die langfristigen Hypothekenzinsen sanken nur moderat.</w:t>
      </w:r>
      <w:r w:rsidR="000944E0" w:rsidRPr="00354969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BB0A1B" w:rsidRPr="00BB0A1B">
        <w:rPr>
          <w:rFonts w:ascii="Source Sans Pro" w:hAnsi="Source Sans Pro" w:cs="Source Sans Pro"/>
          <w:i/>
          <w:iCs/>
          <w:sz w:val="22"/>
          <w:szCs w:val="22"/>
        </w:rPr>
        <w:t xml:space="preserve">Eine Rückkehr zu den langjährigen </w:t>
      </w:r>
      <w:r w:rsidR="003B313F">
        <w:rPr>
          <w:rFonts w:ascii="Source Sans Pro" w:hAnsi="Source Sans Pro" w:cs="Source Sans Pro"/>
          <w:i/>
          <w:iCs/>
          <w:sz w:val="22"/>
          <w:szCs w:val="22"/>
        </w:rPr>
        <w:t>Durchschnitts</w:t>
      </w:r>
      <w:r w:rsidR="00BB0A1B" w:rsidRPr="00BB0A1B">
        <w:rPr>
          <w:rFonts w:ascii="Source Sans Pro" w:hAnsi="Source Sans Pro" w:cs="Source Sans Pro"/>
          <w:i/>
          <w:iCs/>
          <w:sz w:val="22"/>
          <w:szCs w:val="22"/>
        </w:rPr>
        <w:t>werten wird noch Zeit brauchen.</w:t>
      </w:r>
      <w:r w:rsidR="009F5CD5" w:rsidRPr="00354969">
        <w:rPr>
          <w:rFonts w:ascii="Source Sans Pro" w:hAnsi="Source Sans Pro" w:cs="Source Sans Pro"/>
          <w:i/>
          <w:iCs/>
          <w:sz w:val="22"/>
          <w:szCs w:val="22"/>
        </w:rPr>
        <w:t>“</w:t>
      </w:r>
    </w:p>
    <w:p w14:paraId="7C47C290" w14:textId="77777777" w:rsidR="00354969" w:rsidRDefault="00354969" w:rsidP="003549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Cs/>
          <w:sz w:val="22"/>
          <w:szCs w:val="22"/>
        </w:rPr>
      </w:pPr>
    </w:p>
    <w:p w14:paraId="27E15A66" w14:textId="21271946" w:rsidR="002820C5" w:rsidRPr="00354969" w:rsidRDefault="009F5CD5" w:rsidP="00354969">
      <w:pPr>
        <w:pStyle w:val="EinfAbs"/>
        <w:numPr>
          <w:ilvl w:val="0"/>
          <w:numId w:val="2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 w:rsidRPr="00354969">
        <w:rPr>
          <w:rFonts w:ascii="Source Sans Pro" w:hAnsi="Source Sans Pro" w:cs="Source Sans Pro"/>
          <w:iCs/>
          <w:sz w:val="22"/>
          <w:szCs w:val="22"/>
        </w:rPr>
        <w:t>An nahezu allen Top-7-Standorte</w:t>
      </w:r>
      <w:r w:rsidR="00496CB2" w:rsidRPr="00354969">
        <w:rPr>
          <w:rFonts w:ascii="Source Sans Pro" w:hAnsi="Source Sans Pro" w:cs="Source Sans Pro"/>
          <w:iCs/>
          <w:sz w:val="22"/>
          <w:szCs w:val="22"/>
        </w:rPr>
        <w:t>n ließ sich ein deutliches Plus des TAV</w:t>
      </w:r>
      <w:r w:rsidR="00B369C9">
        <w:rPr>
          <w:rFonts w:ascii="Source Sans Pro" w:hAnsi="Source Sans Pro" w:cs="Source Sans Pro"/>
          <w:iCs/>
          <w:sz w:val="22"/>
          <w:szCs w:val="22"/>
        </w:rPr>
        <w:t xml:space="preserve"> im Vergleich zum schwachen Vorjahresergebnis</w:t>
      </w:r>
      <w:r w:rsidR="00496CB2" w:rsidRPr="00354969">
        <w:rPr>
          <w:rFonts w:ascii="Source Sans Pro" w:hAnsi="Source Sans Pro" w:cs="Source Sans Pro"/>
          <w:iCs/>
          <w:sz w:val="22"/>
          <w:szCs w:val="22"/>
        </w:rPr>
        <w:t xml:space="preserve"> beobachten. </w:t>
      </w:r>
      <w:r w:rsidRPr="00354969">
        <w:rPr>
          <w:rFonts w:ascii="Source Sans Pro" w:hAnsi="Source Sans Pro" w:cs="Source Sans Pro"/>
          <w:iCs/>
          <w:sz w:val="22"/>
          <w:szCs w:val="22"/>
        </w:rPr>
        <w:t xml:space="preserve">Den stärksten Anstieg erfasste GPP in </w:t>
      </w:r>
      <w:r w:rsidR="002820C5" w:rsidRPr="00354969">
        <w:rPr>
          <w:rFonts w:ascii="Source Sans Pro" w:hAnsi="Source Sans Pro" w:cs="Source Sans Pro"/>
          <w:iCs/>
          <w:sz w:val="22"/>
          <w:szCs w:val="22"/>
        </w:rPr>
        <w:t>Frankfurt</w:t>
      </w:r>
      <w:r w:rsidR="006D6C27">
        <w:rPr>
          <w:rFonts w:ascii="Source Sans Pro" w:hAnsi="Source Sans Pro" w:cs="Source Sans Pro"/>
          <w:iCs/>
          <w:sz w:val="22"/>
          <w:szCs w:val="22"/>
        </w:rPr>
        <w:t>, h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>ier hat sich das</w:t>
      </w:r>
      <w:r w:rsidRPr="00354969">
        <w:rPr>
          <w:rFonts w:ascii="Source Sans Pro" w:hAnsi="Source Sans Pro" w:cs="Source Sans Pro"/>
          <w:iCs/>
          <w:sz w:val="22"/>
          <w:szCs w:val="22"/>
        </w:rPr>
        <w:t xml:space="preserve"> </w:t>
      </w:r>
      <w:r w:rsidR="00B369C9">
        <w:rPr>
          <w:rFonts w:ascii="Source Sans Pro" w:hAnsi="Source Sans Pro" w:cs="Source Sans Pro"/>
          <w:iCs/>
          <w:sz w:val="22"/>
          <w:szCs w:val="22"/>
        </w:rPr>
        <w:t>Volumen</w:t>
      </w:r>
      <w:r w:rsidRPr="00354969">
        <w:rPr>
          <w:rFonts w:ascii="Source Sans Pro" w:hAnsi="Source Sans Pro" w:cs="Source Sans Pro"/>
          <w:iCs/>
          <w:sz w:val="22"/>
          <w:szCs w:val="22"/>
        </w:rPr>
        <w:t xml:space="preserve"> mehr als verdoppel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>t</w:t>
      </w:r>
      <w:r w:rsidR="002820C5" w:rsidRPr="00354969">
        <w:rPr>
          <w:rFonts w:ascii="Source Sans Pro" w:hAnsi="Source Sans Pro" w:cs="Source Sans Pro"/>
          <w:iCs/>
          <w:sz w:val="22"/>
          <w:szCs w:val="22"/>
        </w:rPr>
        <w:t xml:space="preserve"> (+113 % auf 1,4 Mrd. €)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 xml:space="preserve">. Deutliche </w:t>
      </w:r>
      <w:r w:rsidR="00AC57E5">
        <w:rPr>
          <w:rFonts w:ascii="Source Sans Pro" w:hAnsi="Source Sans Pro" w:cs="Source Sans Pro"/>
          <w:iCs/>
          <w:sz w:val="22"/>
          <w:szCs w:val="22"/>
        </w:rPr>
        <w:t>Zuwächse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 xml:space="preserve"> zeigten sich ebenfalls in München (+80 %</w:t>
      </w:r>
      <w:r w:rsidR="002820C5" w:rsidRPr="00354969">
        <w:rPr>
          <w:rFonts w:ascii="Source Sans Pro" w:hAnsi="Source Sans Pro" w:cs="Source Sans Pro"/>
          <w:iCs/>
          <w:sz w:val="22"/>
          <w:szCs w:val="22"/>
        </w:rPr>
        <w:t>), Hamburg (+69</w:t>
      </w:r>
      <w:r w:rsidR="00FC5C5E">
        <w:rPr>
          <w:rFonts w:ascii="Source Sans Pro" w:hAnsi="Source Sans Pro" w:cs="Source Sans Pro"/>
          <w:iCs/>
          <w:sz w:val="22"/>
          <w:szCs w:val="22"/>
        </w:rPr>
        <w:t xml:space="preserve"> %</w:t>
      </w:r>
      <w:r w:rsidR="002820C5" w:rsidRPr="00354969">
        <w:rPr>
          <w:rFonts w:ascii="Source Sans Pro" w:hAnsi="Source Sans Pro" w:cs="Source Sans Pro"/>
          <w:iCs/>
          <w:sz w:val="22"/>
          <w:szCs w:val="22"/>
        </w:rPr>
        <w:t>), Düsseldorf (+66 %) und Köln (+63 %)</w:t>
      </w:r>
      <w:r w:rsidR="005E7A8C" w:rsidRPr="00354969">
        <w:rPr>
          <w:rFonts w:ascii="Source Sans Pro" w:hAnsi="Source Sans Pro" w:cs="Source Sans Pro"/>
          <w:color w:val="auto"/>
          <w:sz w:val="22"/>
          <w:szCs w:val="22"/>
        </w:rPr>
        <w:t xml:space="preserve">. </w:t>
      </w:r>
      <w:r w:rsidR="002820C5" w:rsidRPr="00354969">
        <w:rPr>
          <w:rFonts w:ascii="Source Sans Pro" w:hAnsi="Source Sans Pro" w:cs="Source Sans Pro"/>
          <w:iCs/>
          <w:sz w:val="22"/>
          <w:szCs w:val="22"/>
        </w:rPr>
        <w:t xml:space="preserve">In Stuttgart lag das TAV mit </w:t>
      </w:r>
      <w:r w:rsidR="00AC57E5">
        <w:rPr>
          <w:rFonts w:ascii="Source Sans Pro" w:hAnsi="Source Sans Pro" w:cs="Source Sans Pro"/>
          <w:iCs/>
          <w:sz w:val="22"/>
          <w:szCs w:val="22"/>
        </w:rPr>
        <w:t xml:space="preserve">rund </w:t>
      </w:r>
      <w:r w:rsidR="002820C5" w:rsidRPr="00354969">
        <w:rPr>
          <w:rFonts w:ascii="Source Sans Pro" w:hAnsi="Source Sans Pro" w:cs="Source Sans Pro"/>
          <w:iCs/>
          <w:sz w:val="22"/>
          <w:szCs w:val="22"/>
        </w:rPr>
        <w:t>450 Mio. € auf dem gleichen Niveau wie im Vorjahr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>.</w:t>
      </w:r>
      <w:r w:rsidR="005E7A8C" w:rsidRPr="00354969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2820C5" w:rsidRPr="00354969">
        <w:rPr>
          <w:rFonts w:ascii="Source Sans Pro" w:hAnsi="Source Sans Pro" w:cs="Source Sans Pro"/>
          <w:iCs/>
          <w:sz w:val="22"/>
          <w:szCs w:val="22"/>
        </w:rPr>
        <w:t xml:space="preserve">Das höchste 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>Volumen</w:t>
      </w:r>
      <w:r w:rsidR="002820C5" w:rsidRPr="00354969">
        <w:rPr>
          <w:rFonts w:ascii="Source Sans Pro" w:hAnsi="Source Sans Pro" w:cs="Source Sans Pro"/>
          <w:iCs/>
          <w:sz w:val="22"/>
          <w:szCs w:val="22"/>
        </w:rPr>
        <w:t xml:space="preserve"> von 3,3 Mrd. € er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>reichte Berlin.</w:t>
      </w:r>
    </w:p>
    <w:p w14:paraId="12D44884" w14:textId="57185977" w:rsidR="00655CAA" w:rsidRPr="00354969" w:rsidRDefault="002820C5" w:rsidP="00C50A3D">
      <w:pPr>
        <w:pStyle w:val="EinfAbs"/>
        <w:numPr>
          <w:ilvl w:val="0"/>
          <w:numId w:val="1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 w:rsidRPr="00354969">
        <w:rPr>
          <w:rFonts w:ascii="Source Sans Pro" w:hAnsi="Source Sans Pro" w:cs="Source Sans Pro"/>
          <w:iCs/>
          <w:sz w:val="22"/>
          <w:szCs w:val="22"/>
        </w:rPr>
        <w:t xml:space="preserve">Mit einem TAV-Anteil von rund 29 % </w:t>
      </w:r>
      <w:r w:rsidR="00AC57E5">
        <w:rPr>
          <w:rFonts w:ascii="Source Sans Pro" w:hAnsi="Source Sans Pro" w:cs="Source Sans Pro"/>
          <w:iCs/>
          <w:sz w:val="22"/>
          <w:szCs w:val="22"/>
        </w:rPr>
        <w:t>waren</w:t>
      </w:r>
      <w:r w:rsidRPr="00354969">
        <w:rPr>
          <w:rFonts w:ascii="Source Sans Pro" w:hAnsi="Source Sans Pro" w:cs="Source Sans Pro"/>
          <w:iCs/>
          <w:sz w:val="22"/>
          <w:szCs w:val="22"/>
        </w:rPr>
        <w:t xml:space="preserve"> Büroobjekte die am stärksten gehandelte </w:t>
      </w:r>
      <w:r w:rsidR="00BB284C" w:rsidRPr="00354969">
        <w:rPr>
          <w:rFonts w:ascii="Source Sans Pro" w:hAnsi="Source Sans Pro" w:cs="Source Sans Pro"/>
          <w:iCs/>
          <w:sz w:val="22"/>
          <w:szCs w:val="22"/>
        </w:rPr>
        <w:t>Assetklasse</w:t>
      </w:r>
      <w:r w:rsidR="00AC57E5">
        <w:rPr>
          <w:rFonts w:ascii="Source Sans Pro" w:hAnsi="Source Sans Pro" w:cs="Source Sans Pro"/>
          <w:iCs/>
          <w:sz w:val="22"/>
          <w:szCs w:val="22"/>
        </w:rPr>
        <w:t>. Im Vergleich zum Vorjahr</w:t>
      </w:r>
      <w:r w:rsidRPr="00354969">
        <w:rPr>
          <w:rFonts w:ascii="Source Sans Pro" w:hAnsi="Source Sans Pro" w:cs="Source Sans Pro"/>
          <w:iCs/>
          <w:sz w:val="22"/>
          <w:szCs w:val="22"/>
        </w:rPr>
        <w:t xml:space="preserve">, in dem sie etwa die Hälfte des TAV ausmachten, ging ihr Anteil jedoch zurück. Auf Platz 2 folgten </w:t>
      </w:r>
      <w:r w:rsidR="00546E2A" w:rsidRPr="00354969">
        <w:rPr>
          <w:rFonts w:ascii="Source Sans Pro" w:hAnsi="Source Sans Pro" w:cs="Source Sans Pro"/>
          <w:iCs/>
          <w:sz w:val="22"/>
          <w:szCs w:val="22"/>
        </w:rPr>
        <w:t>Einzelhandelsimmobilien mit rund 21 %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>.</w:t>
      </w:r>
    </w:p>
    <w:p w14:paraId="782D42C6" w14:textId="6DD6B55C" w:rsidR="00655CAA" w:rsidRPr="00354969" w:rsidRDefault="00B519C8" w:rsidP="00F27F1C">
      <w:pPr>
        <w:pStyle w:val="EinfAbs"/>
        <w:numPr>
          <w:ilvl w:val="0"/>
          <w:numId w:val="1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 w:rsidRPr="00354969">
        <w:rPr>
          <w:rFonts w:ascii="Source Sans Pro" w:hAnsi="Source Sans Pro" w:cs="Source Sans Pro"/>
          <w:iCs/>
          <w:sz w:val="22"/>
          <w:szCs w:val="22"/>
        </w:rPr>
        <w:t>Portfolio-</w:t>
      </w:r>
      <w:r w:rsidR="00655CAA" w:rsidRPr="00354969">
        <w:rPr>
          <w:rFonts w:ascii="Source Sans Pro" w:hAnsi="Source Sans Pro" w:cs="Source Sans Pro"/>
          <w:iCs/>
          <w:sz w:val="22"/>
          <w:szCs w:val="22"/>
        </w:rPr>
        <w:t>K</w:t>
      </w:r>
      <w:r w:rsidRPr="00354969">
        <w:rPr>
          <w:rFonts w:ascii="Source Sans Pro" w:hAnsi="Source Sans Pro" w:cs="Source Sans Pro"/>
          <w:iCs/>
          <w:sz w:val="22"/>
          <w:szCs w:val="22"/>
        </w:rPr>
        <w:t>äufe</w:t>
      </w:r>
      <w:r w:rsidR="00BB725F" w:rsidRPr="00354969">
        <w:rPr>
          <w:rFonts w:ascii="Source Sans Pro" w:hAnsi="Source Sans Pro" w:cs="Source Sans Pro"/>
          <w:iCs/>
          <w:sz w:val="22"/>
          <w:szCs w:val="22"/>
        </w:rPr>
        <w:t xml:space="preserve"> machten etwa 13 % des TAV aus. In München 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>blieben diese</w:t>
      </w:r>
      <w:r w:rsidR="00BB725F" w:rsidRPr="00354969">
        <w:rPr>
          <w:rFonts w:ascii="Source Sans Pro" w:hAnsi="Source Sans Pro" w:cs="Source Sans Pro"/>
          <w:iCs/>
          <w:sz w:val="22"/>
          <w:szCs w:val="22"/>
        </w:rPr>
        <w:t xml:space="preserve"> auch zum Jahresende 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>aus.</w:t>
      </w:r>
      <w:r w:rsidR="004103D9" w:rsidRPr="00354969">
        <w:rPr>
          <w:rFonts w:ascii="Source Sans Pro" w:hAnsi="Source Sans Pro" w:cs="Source Sans Pro"/>
          <w:iCs/>
          <w:sz w:val="22"/>
          <w:szCs w:val="22"/>
        </w:rPr>
        <w:t xml:space="preserve"> </w:t>
      </w:r>
    </w:p>
    <w:p w14:paraId="4812E4A1" w14:textId="5312BA6F" w:rsidR="008E556F" w:rsidRPr="00354969" w:rsidRDefault="00BB725F" w:rsidP="008E556F">
      <w:pPr>
        <w:pStyle w:val="EinfAbs"/>
        <w:numPr>
          <w:ilvl w:val="0"/>
          <w:numId w:val="1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iCs/>
          <w:color w:val="auto"/>
          <w:sz w:val="22"/>
          <w:szCs w:val="22"/>
        </w:rPr>
      </w:pPr>
      <w:r w:rsidRPr="00354969">
        <w:rPr>
          <w:rFonts w:ascii="Source Sans Pro" w:hAnsi="Source Sans Pro" w:cs="Source Sans Pro"/>
          <w:iCs/>
          <w:sz w:val="22"/>
          <w:szCs w:val="22"/>
        </w:rPr>
        <w:t xml:space="preserve">Die </w:t>
      </w:r>
      <w:r w:rsidR="00655CAA" w:rsidRPr="00354969">
        <w:rPr>
          <w:rFonts w:ascii="Source Sans Pro" w:hAnsi="Source Sans Pro" w:cs="Source Sans Pro"/>
          <w:iCs/>
          <w:sz w:val="22"/>
          <w:szCs w:val="22"/>
        </w:rPr>
        <w:t>Spitzenrenditen</w:t>
      </w:r>
      <w:r w:rsidRPr="00354969">
        <w:rPr>
          <w:rFonts w:ascii="Source Sans Pro" w:hAnsi="Source Sans Pro" w:cs="Source Sans Pro"/>
          <w:iCs/>
          <w:sz w:val="22"/>
          <w:szCs w:val="22"/>
        </w:rPr>
        <w:t xml:space="preserve"> für Büroobjekte sowie Industrie- und Logistikimmobilien verblieben weitestgehend stabil und </w:t>
      </w:r>
      <w:r w:rsidR="00AC57E5">
        <w:rPr>
          <w:rFonts w:ascii="Source Sans Pro" w:hAnsi="Source Sans Pro" w:cs="Source Sans Pro"/>
          <w:iCs/>
          <w:sz w:val="22"/>
          <w:szCs w:val="22"/>
        </w:rPr>
        <w:t xml:space="preserve">bewegten sich </w:t>
      </w:r>
      <w:r w:rsidRPr="00354969">
        <w:rPr>
          <w:rFonts w:ascii="Source Sans Pro" w:hAnsi="Source Sans Pro" w:cs="Source Sans Pro"/>
          <w:iCs/>
          <w:sz w:val="22"/>
          <w:szCs w:val="22"/>
        </w:rPr>
        <w:t>zwischen 4,20 und 4,60</w:t>
      </w:r>
      <w:r w:rsidR="00C108FA" w:rsidRPr="00354969">
        <w:rPr>
          <w:rFonts w:ascii="Source Sans Pro" w:hAnsi="Source Sans Pro" w:cs="Source Sans Pro"/>
          <w:iCs/>
          <w:sz w:val="22"/>
          <w:szCs w:val="22"/>
        </w:rPr>
        <w:t xml:space="preserve"> %</w:t>
      </w:r>
      <w:r w:rsidRPr="00354969">
        <w:rPr>
          <w:rFonts w:ascii="Source Sans Pro" w:hAnsi="Source Sans Pro" w:cs="Source Sans Pro"/>
          <w:iCs/>
          <w:sz w:val="22"/>
          <w:szCs w:val="22"/>
        </w:rPr>
        <w:t>. In Hamburg, Köln, Frankfurt und Stuttgart lagen die Spitzenrenditen beider Assetklassen weiterhin</w:t>
      </w:r>
      <w:r w:rsidR="005E7A8C" w:rsidRPr="00354969">
        <w:rPr>
          <w:rFonts w:ascii="Source Sans Pro" w:hAnsi="Source Sans Pro" w:cs="Source Sans Pro"/>
          <w:iCs/>
          <w:sz w:val="22"/>
          <w:szCs w:val="22"/>
        </w:rPr>
        <w:t xml:space="preserve"> jeweils</w:t>
      </w:r>
      <w:r w:rsidRPr="00354969">
        <w:rPr>
          <w:rFonts w:ascii="Source Sans Pro" w:hAnsi="Source Sans Pro" w:cs="Source Sans Pro"/>
          <w:iCs/>
          <w:sz w:val="22"/>
          <w:szCs w:val="22"/>
        </w:rPr>
        <w:t xml:space="preserve"> auf dem gleichen Niveau</w:t>
      </w:r>
      <w:r w:rsidR="00C108FA" w:rsidRPr="00354969">
        <w:rPr>
          <w:rFonts w:ascii="Source Sans Pro" w:hAnsi="Source Sans Pro" w:cs="Source Sans Pro"/>
          <w:iCs/>
          <w:sz w:val="22"/>
          <w:szCs w:val="22"/>
        </w:rPr>
        <w:t>. Die Top-7-Spitzenrendite für Büroobjekte verzeichnete ein schwaches Plus um 0,08 %-Punkte auf 4,41 %.</w:t>
      </w:r>
      <w:r w:rsidR="00C108FA" w:rsidRPr="00354969">
        <w:rPr>
          <w:rFonts w:ascii="Source Sans Pro" w:hAnsi="Source Sans Pro"/>
          <w:sz w:val="22"/>
          <w:szCs w:val="22"/>
        </w:rPr>
        <w:t xml:space="preserve"> Für </w:t>
      </w:r>
      <w:r w:rsidR="00C108FA" w:rsidRPr="00354969">
        <w:rPr>
          <w:rFonts w:ascii="Source Sans Pro" w:hAnsi="Source Sans Pro" w:cs="Source Sans Pro"/>
          <w:iCs/>
          <w:sz w:val="22"/>
          <w:szCs w:val="22"/>
        </w:rPr>
        <w:t>Industrie- und Logistikimmobilien stieg sie um 0,09 %-Punkte auf 4,51 %.</w:t>
      </w:r>
    </w:p>
    <w:p w14:paraId="148C157B" w14:textId="6C621EED" w:rsidR="008E556F" w:rsidRPr="00354969" w:rsidRDefault="008E556F" w:rsidP="008E556F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iCs/>
          <w:color w:val="auto"/>
          <w:sz w:val="22"/>
          <w:szCs w:val="22"/>
        </w:rPr>
      </w:pPr>
    </w:p>
    <w:p w14:paraId="1B704418" w14:textId="76F21D89" w:rsidR="00E8535B" w:rsidRPr="00354969" w:rsidRDefault="000944E0" w:rsidP="003549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iCs/>
          <w:color w:val="auto"/>
          <w:sz w:val="22"/>
          <w:szCs w:val="22"/>
        </w:rPr>
      </w:pPr>
      <w:r w:rsidRPr="00354969">
        <w:rPr>
          <w:rFonts w:ascii="Source Sans Pro" w:hAnsi="Source Sans Pro" w:cs="Source Sans Pro"/>
          <w:i/>
          <w:iCs/>
          <w:color w:val="auto"/>
          <w:sz w:val="22"/>
          <w:szCs w:val="22"/>
        </w:rPr>
        <w:lastRenderedPageBreak/>
        <w:t xml:space="preserve">„Wir gehen davon aus, dass sich der </w:t>
      </w:r>
      <w:r w:rsidR="00DB3989" w:rsidRPr="00354969">
        <w:rPr>
          <w:rFonts w:ascii="Source Sans Pro" w:hAnsi="Source Sans Pro" w:cs="Source Sans Pro"/>
          <w:i/>
          <w:iCs/>
          <w:color w:val="auto"/>
          <w:sz w:val="22"/>
          <w:szCs w:val="22"/>
        </w:rPr>
        <w:t>leicht</w:t>
      </w:r>
      <w:r w:rsidR="00354969">
        <w:rPr>
          <w:rFonts w:ascii="Source Sans Pro" w:hAnsi="Source Sans Pro" w:cs="Source Sans Pro"/>
          <w:i/>
          <w:iCs/>
          <w:color w:val="auto"/>
          <w:sz w:val="22"/>
          <w:szCs w:val="22"/>
        </w:rPr>
        <w:t>e</w:t>
      </w:r>
      <w:r w:rsidRPr="00354969">
        <w:rPr>
          <w:rFonts w:ascii="Source Sans Pro" w:hAnsi="Source Sans Pro" w:cs="Source Sans Pro"/>
          <w:i/>
          <w:iCs/>
          <w:color w:val="auto"/>
          <w:sz w:val="22"/>
          <w:szCs w:val="22"/>
        </w:rPr>
        <w:t xml:space="preserve"> Aufwärtstrend im Jahr 2025 fortsetzen wird</w:t>
      </w:r>
      <w:r w:rsidR="00DB3989" w:rsidRPr="00354969">
        <w:rPr>
          <w:rFonts w:ascii="Source Sans Pro" w:hAnsi="Source Sans Pro" w:cs="Source Sans Pro"/>
          <w:i/>
          <w:iCs/>
          <w:color w:val="auto"/>
          <w:sz w:val="22"/>
          <w:szCs w:val="22"/>
        </w:rPr>
        <w:t>. Entsprechend dürfte das Transaktionsvolumen weiter anziehen, jedoch in einem vorsichtigen Tempo</w:t>
      </w:r>
      <w:r w:rsidRPr="00354969">
        <w:rPr>
          <w:rFonts w:ascii="Source Sans Pro" w:hAnsi="Source Sans Pro" w:cs="Source Sans Pro"/>
          <w:i/>
          <w:iCs/>
          <w:color w:val="auto"/>
          <w:sz w:val="22"/>
          <w:szCs w:val="22"/>
        </w:rPr>
        <w:t xml:space="preserve">“, </w:t>
      </w:r>
      <w:r w:rsidRPr="00354969">
        <w:rPr>
          <w:rFonts w:ascii="Source Sans Pro" w:hAnsi="Source Sans Pro" w:cs="Source Sans Pro"/>
          <w:iCs/>
          <w:color w:val="auto"/>
          <w:sz w:val="22"/>
          <w:szCs w:val="22"/>
        </w:rPr>
        <w:t xml:space="preserve">prognostiziert </w:t>
      </w:r>
      <w:r w:rsidRPr="00354969">
        <w:rPr>
          <w:rFonts w:ascii="Source Sans Pro" w:hAnsi="Source Sans Pro" w:cs="Source Sans Pro"/>
          <w:b/>
          <w:iCs/>
          <w:color w:val="auto"/>
          <w:sz w:val="22"/>
          <w:szCs w:val="22"/>
        </w:rPr>
        <w:t>Holzwarth</w:t>
      </w:r>
      <w:r w:rsidRPr="00354969">
        <w:rPr>
          <w:rFonts w:ascii="Source Sans Pro" w:hAnsi="Source Sans Pro" w:cs="Source Sans Pro"/>
          <w:iCs/>
          <w:color w:val="auto"/>
          <w:sz w:val="22"/>
          <w:szCs w:val="22"/>
        </w:rPr>
        <w:t xml:space="preserve">. </w:t>
      </w:r>
      <w:r w:rsidRPr="00354969">
        <w:rPr>
          <w:rFonts w:ascii="Source Sans Pro" w:hAnsi="Source Sans Pro" w:cs="Source Sans Pro"/>
          <w:i/>
          <w:iCs/>
          <w:color w:val="auto"/>
          <w:sz w:val="22"/>
          <w:szCs w:val="22"/>
        </w:rPr>
        <w:t>„Mit einer sprunghafte</w:t>
      </w:r>
      <w:r w:rsidR="003C1E19" w:rsidRPr="00354969">
        <w:rPr>
          <w:rFonts w:ascii="Source Sans Pro" w:hAnsi="Source Sans Pro" w:cs="Source Sans Pro"/>
          <w:i/>
          <w:iCs/>
          <w:color w:val="auto"/>
          <w:sz w:val="22"/>
          <w:szCs w:val="22"/>
        </w:rPr>
        <w:t>n</w:t>
      </w:r>
      <w:r w:rsidRPr="00354969">
        <w:rPr>
          <w:rFonts w:ascii="Source Sans Pro" w:hAnsi="Source Sans Pro" w:cs="Source Sans Pro"/>
          <w:i/>
          <w:iCs/>
          <w:color w:val="auto"/>
          <w:sz w:val="22"/>
          <w:szCs w:val="22"/>
        </w:rPr>
        <w:t xml:space="preserve"> Belebung ist angesichts der schwachen Konjunkturprognosen nicht zu rechnen. </w:t>
      </w:r>
      <w:r w:rsidR="00BB0A1B" w:rsidRPr="00BB0A1B">
        <w:rPr>
          <w:rFonts w:ascii="Source Sans Pro" w:hAnsi="Source Sans Pro" w:cs="Source Sans Pro"/>
          <w:i/>
          <w:iCs/>
          <w:color w:val="auto"/>
          <w:sz w:val="22"/>
          <w:szCs w:val="22"/>
        </w:rPr>
        <w:t>Das größtenteils stabilisierte Zins- und Preisumfeld ermöglicht aber mittlerweile wieder planbare Investitionen. Weitere</w:t>
      </w:r>
      <w:r w:rsidR="003B313F">
        <w:rPr>
          <w:rFonts w:ascii="Source Sans Pro" w:hAnsi="Source Sans Pro" w:cs="Source Sans Pro"/>
          <w:i/>
          <w:iCs/>
          <w:color w:val="auto"/>
          <w:sz w:val="22"/>
          <w:szCs w:val="22"/>
        </w:rPr>
        <w:t xml:space="preserve"> erwartete</w:t>
      </w:r>
      <w:r w:rsidR="00BB0A1B" w:rsidRPr="00BB0A1B">
        <w:rPr>
          <w:rFonts w:ascii="Source Sans Pro" w:hAnsi="Source Sans Pro" w:cs="Source Sans Pro"/>
          <w:i/>
          <w:iCs/>
          <w:color w:val="auto"/>
          <w:sz w:val="22"/>
          <w:szCs w:val="22"/>
        </w:rPr>
        <w:t xml:space="preserve"> Zinssenkungen könnten sich ebenfalls positiv auswirken, allerdings bleibt die geopolitische Lage ein Unsicherheitsfaktor.</w:t>
      </w:r>
      <w:r w:rsidR="00DB3989" w:rsidRPr="00354969">
        <w:rPr>
          <w:rFonts w:ascii="Source Sans Pro" w:hAnsi="Source Sans Pro" w:cs="Source Sans Pro"/>
          <w:i/>
          <w:iCs/>
          <w:color w:val="auto"/>
          <w:sz w:val="22"/>
          <w:szCs w:val="22"/>
        </w:rPr>
        <w:t>“</w:t>
      </w:r>
    </w:p>
    <w:p w14:paraId="225A3E55" w14:textId="794B9C02" w:rsidR="00354969" w:rsidRPr="00354969" w:rsidRDefault="00354969" w:rsidP="003549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iCs/>
          <w:color w:val="auto"/>
          <w:sz w:val="22"/>
          <w:szCs w:val="22"/>
        </w:rPr>
      </w:pPr>
    </w:p>
    <w:p w14:paraId="2E3C6E2E" w14:textId="12FEBA66" w:rsidR="00E822DD" w:rsidRPr="00354969" w:rsidRDefault="00354969" w:rsidP="00991B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 w:rsidRPr="00354969">
        <w:rPr>
          <w:rFonts w:ascii="Source Sans Pro" w:hAnsi="Source Sans Pro" w:cs="Arial"/>
          <w:bCs/>
          <w:color w:val="auto"/>
          <w:sz w:val="22"/>
          <w:szCs w:val="22"/>
        </w:rPr>
        <w:t xml:space="preserve">Zu dem Gewerbeimmobiliennetzwerk GPP gehören Grossmann &amp; Berger Immobilien, </w:t>
      </w:r>
      <w:proofErr w:type="spellStart"/>
      <w:r w:rsidRPr="00354969">
        <w:rPr>
          <w:rFonts w:ascii="Source Sans Pro" w:hAnsi="Source Sans Pro" w:cs="Arial"/>
          <w:bCs/>
          <w:color w:val="auto"/>
          <w:sz w:val="22"/>
          <w:szCs w:val="22"/>
        </w:rPr>
        <w:t>Anteon</w:t>
      </w:r>
      <w:proofErr w:type="spellEnd"/>
      <w:r w:rsidRPr="00354969">
        <w:rPr>
          <w:rFonts w:ascii="Source Sans Pro" w:hAnsi="Source Sans Pro" w:cs="Arial"/>
          <w:bCs/>
          <w:color w:val="auto"/>
          <w:sz w:val="22"/>
          <w:szCs w:val="22"/>
        </w:rPr>
        <w:t xml:space="preserve"> Immobilien, GREIF &amp; CONTZEN Immobilien, </w:t>
      </w:r>
      <w:proofErr w:type="spellStart"/>
      <w:r w:rsidRPr="00354969">
        <w:rPr>
          <w:rFonts w:ascii="Source Sans Pro" w:hAnsi="Source Sans Pro" w:cs="Arial"/>
          <w:bCs/>
          <w:color w:val="auto"/>
          <w:sz w:val="22"/>
          <w:szCs w:val="22"/>
        </w:rPr>
        <w:t>blackolive</w:t>
      </w:r>
      <w:proofErr w:type="spellEnd"/>
      <w:r w:rsidRPr="00354969">
        <w:rPr>
          <w:rFonts w:ascii="Source Sans Pro" w:hAnsi="Source Sans Pro" w:cs="Arial"/>
          <w:bCs/>
          <w:color w:val="auto"/>
          <w:sz w:val="22"/>
          <w:szCs w:val="22"/>
        </w:rPr>
        <w:t xml:space="preserve"> und E &amp; G Immobilien.</w:t>
      </w:r>
    </w:p>
    <w:p w14:paraId="2933DBA6" w14:textId="77777777" w:rsidR="00635995" w:rsidRDefault="00635995" w:rsidP="00991B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/>
          <w:sz w:val="20"/>
        </w:rPr>
      </w:pPr>
    </w:p>
    <w:p w14:paraId="1554564B" w14:textId="42F16398" w:rsidR="00E822DD" w:rsidRPr="00EF0944" w:rsidRDefault="00E822DD" w:rsidP="00E822DD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 w:rsidRPr="00510879">
        <w:rPr>
          <w:rFonts w:ascii="Source Sans Pro" w:hAnsi="Source Sans Pro" w:cs="Arial"/>
          <w:b/>
          <w:sz w:val="20"/>
          <w:lang w:val="en-GB"/>
        </w:rPr>
        <w:t xml:space="preserve">Top-7-Standorte | </w:t>
      </w:r>
      <w:r w:rsidR="002E2D2D" w:rsidRPr="00510879">
        <w:rPr>
          <w:rFonts w:ascii="Source Sans Pro" w:hAnsi="Source Sans Pro" w:cs="Arial"/>
          <w:b/>
          <w:sz w:val="20"/>
          <w:lang w:val="en-GB"/>
        </w:rPr>
        <w:t>1.-</w:t>
      </w:r>
      <w:r w:rsidR="007A5687">
        <w:rPr>
          <w:rFonts w:ascii="Source Sans Pro" w:hAnsi="Source Sans Pro" w:cs="Arial"/>
          <w:b/>
          <w:sz w:val="20"/>
          <w:lang w:val="en-GB"/>
        </w:rPr>
        <w:t>4</w:t>
      </w:r>
      <w:r w:rsidRPr="00510879">
        <w:rPr>
          <w:rFonts w:ascii="Source Sans Pro" w:hAnsi="Source Sans Pro" w:cs="Arial"/>
          <w:b/>
          <w:sz w:val="20"/>
          <w:lang w:val="en-GB"/>
        </w:rPr>
        <w:t xml:space="preserve">. </w:t>
      </w:r>
      <w:r w:rsidRPr="00510879">
        <w:rPr>
          <w:rFonts w:ascii="Source Sans Pro" w:hAnsi="Source Sans Pro" w:cs="Arial"/>
          <w:b/>
          <w:sz w:val="20"/>
        </w:rPr>
        <w:t>Quartal 2024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993"/>
        <w:gridCol w:w="1134"/>
        <w:gridCol w:w="850"/>
        <w:gridCol w:w="851"/>
        <w:gridCol w:w="923"/>
      </w:tblGrid>
      <w:tr w:rsidR="00910B65" w:rsidRPr="00161817" w14:paraId="2B554485" w14:textId="77777777" w:rsidTr="00C974EE">
        <w:tc>
          <w:tcPr>
            <w:tcW w:w="1555" w:type="dxa"/>
          </w:tcPr>
          <w:p w14:paraId="5F7F2C19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CCBA568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HAM</w:t>
            </w:r>
          </w:p>
        </w:tc>
        <w:tc>
          <w:tcPr>
            <w:tcW w:w="992" w:type="dxa"/>
          </w:tcPr>
          <w:p w14:paraId="1B9556F5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BER</w:t>
            </w:r>
          </w:p>
        </w:tc>
        <w:tc>
          <w:tcPr>
            <w:tcW w:w="992" w:type="dxa"/>
          </w:tcPr>
          <w:p w14:paraId="4B35B61E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DUS</w:t>
            </w:r>
          </w:p>
        </w:tc>
        <w:tc>
          <w:tcPr>
            <w:tcW w:w="993" w:type="dxa"/>
          </w:tcPr>
          <w:p w14:paraId="669870D1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CGN</w:t>
            </w:r>
          </w:p>
        </w:tc>
        <w:tc>
          <w:tcPr>
            <w:tcW w:w="1134" w:type="dxa"/>
          </w:tcPr>
          <w:p w14:paraId="012CEC8E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FFM</w:t>
            </w:r>
          </w:p>
        </w:tc>
        <w:tc>
          <w:tcPr>
            <w:tcW w:w="850" w:type="dxa"/>
          </w:tcPr>
          <w:p w14:paraId="337BA2E8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STU</w:t>
            </w:r>
          </w:p>
        </w:tc>
        <w:tc>
          <w:tcPr>
            <w:tcW w:w="851" w:type="dxa"/>
          </w:tcPr>
          <w:p w14:paraId="29257547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MUC</w:t>
            </w:r>
          </w:p>
        </w:tc>
        <w:tc>
          <w:tcPr>
            <w:tcW w:w="923" w:type="dxa"/>
          </w:tcPr>
          <w:p w14:paraId="1D10DF5A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TOP-7</w:t>
            </w:r>
          </w:p>
        </w:tc>
      </w:tr>
      <w:tr w:rsidR="00910B65" w:rsidRPr="00161817" w14:paraId="277AF685" w14:textId="77777777" w:rsidTr="00C974EE">
        <w:tc>
          <w:tcPr>
            <w:tcW w:w="1555" w:type="dxa"/>
          </w:tcPr>
          <w:p w14:paraId="013262B9" w14:textId="77777777" w:rsidR="00E822DD" w:rsidRPr="002820C5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b/>
                <w:sz w:val="16"/>
                <w:szCs w:val="16"/>
              </w:rPr>
              <w:t>TAV</w:t>
            </w:r>
          </w:p>
          <w:p w14:paraId="0501F81D" w14:textId="77777777" w:rsidR="00E822DD" w:rsidRPr="002820C5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in Mio. €</w:t>
            </w:r>
          </w:p>
        </w:tc>
        <w:tc>
          <w:tcPr>
            <w:tcW w:w="992" w:type="dxa"/>
            <w:vAlign w:val="center"/>
          </w:tcPr>
          <w:p w14:paraId="37982267" w14:textId="10D7F982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2.200</w:t>
            </w:r>
          </w:p>
        </w:tc>
        <w:tc>
          <w:tcPr>
            <w:tcW w:w="992" w:type="dxa"/>
            <w:vAlign w:val="center"/>
          </w:tcPr>
          <w:p w14:paraId="626C970A" w14:textId="20036144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  <w:u w:val="single"/>
              </w:rPr>
              <w:t>3.300</w:t>
            </w:r>
          </w:p>
        </w:tc>
        <w:tc>
          <w:tcPr>
            <w:tcW w:w="992" w:type="dxa"/>
            <w:vAlign w:val="center"/>
          </w:tcPr>
          <w:p w14:paraId="7AEB33B8" w14:textId="2BBBAE6A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1.015</w:t>
            </w:r>
          </w:p>
        </w:tc>
        <w:tc>
          <w:tcPr>
            <w:tcW w:w="993" w:type="dxa"/>
            <w:vAlign w:val="center"/>
          </w:tcPr>
          <w:p w14:paraId="2C2C18EC" w14:textId="7052715B" w:rsidR="00E822DD" w:rsidRPr="002820C5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1.</w:t>
            </w:r>
            <w:r w:rsidR="002820C5" w:rsidRPr="002820C5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2820C5">
              <w:rPr>
                <w:rFonts w:ascii="Source Sans Pro" w:hAnsi="Source Sans Pro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14:paraId="32C4F1F9" w14:textId="1E05CFB7" w:rsidR="00E822DD" w:rsidRPr="002820C5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1.</w:t>
            </w:r>
            <w:r w:rsidR="002820C5" w:rsidRPr="002820C5">
              <w:rPr>
                <w:rFonts w:ascii="Source Sans Pro" w:hAnsi="Source Sans Pro" w:cs="Arial"/>
                <w:sz w:val="16"/>
                <w:szCs w:val="16"/>
              </w:rPr>
              <w:t>400</w:t>
            </w:r>
          </w:p>
        </w:tc>
        <w:tc>
          <w:tcPr>
            <w:tcW w:w="850" w:type="dxa"/>
            <w:vAlign w:val="center"/>
          </w:tcPr>
          <w:p w14:paraId="4883A7F0" w14:textId="362700D2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450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E6ACA" w14:textId="7773372C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2.437</w:t>
            </w:r>
          </w:p>
        </w:tc>
        <w:tc>
          <w:tcPr>
            <w:tcW w:w="923" w:type="dxa"/>
            <w:vAlign w:val="center"/>
          </w:tcPr>
          <w:p w14:paraId="72E3C7F5" w14:textId="376C0394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b/>
                <w:sz w:val="16"/>
                <w:szCs w:val="16"/>
              </w:rPr>
              <w:t>12.102</w:t>
            </w:r>
          </w:p>
        </w:tc>
      </w:tr>
      <w:tr w:rsidR="00910B65" w:rsidRPr="00161817" w14:paraId="5C518F86" w14:textId="77777777" w:rsidTr="00C974EE">
        <w:tc>
          <w:tcPr>
            <w:tcW w:w="1555" w:type="dxa"/>
          </w:tcPr>
          <w:p w14:paraId="3350112D" w14:textId="77777777" w:rsidR="00E822DD" w:rsidRPr="002820C5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21AFC26B" w14:textId="77777777" w:rsidR="00E822DD" w:rsidRPr="002820C5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2820C5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2820C5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2820C5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2820C5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6EC238E4" w14:textId="5DE770EC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69</w:t>
            </w:r>
          </w:p>
        </w:tc>
        <w:tc>
          <w:tcPr>
            <w:tcW w:w="992" w:type="dxa"/>
            <w:vAlign w:val="center"/>
          </w:tcPr>
          <w:p w14:paraId="2C0D819C" w14:textId="5D3D23F6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14:paraId="1D31FE0A" w14:textId="4A8614D0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66</w:t>
            </w:r>
          </w:p>
        </w:tc>
        <w:tc>
          <w:tcPr>
            <w:tcW w:w="993" w:type="dxa"/>
            <w:vAlign w:val="center"/>
          </w:tcPr>
          <w:p w14:paraId="21EB7A3C" w14:textId="32F52145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63</w:t>
            </w:r>
          </w:p>
        </w:tc>
        <w:tc>
          <w:tcPr>
            <w:tcW w:w="1134" w:type="dxa"/>
            <w:vAlign w:val="center"/>
          </w:tcPr>
          <w:p w14:paraId="61BD16E7" w14:textId="3E7D696D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  <w:u w:val="single"/>
              </w:rPr>
              <w:t>113</w:t>
            </w:r>
          </w:p>
        </w:tc>
        <w:tc>
          <w:tcPr>
            <w:tcW w:w="850" w:type="dxa"/>
            <w:vAlign w:val="center"/>
          </w:tcPr>
          <w:p w14:paraId="2E248438" w14:textId="49350CC5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12C30" w14:textId="5A738C19" w:rsidR="00E822DD" w:rsidRPr="002820C5" w:rsidRDefault="002820C5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sz w:val="16"/>
                <w:szCs w:val="16"/>
              </w:rPr>
              <w:t>80</w:t>
            </w:r>
          </w:p>
        </w:tc>
        <w:tc>
          <w:tcPr>
            <w:tcW w:w="923" w:type="dxa"/>
            <w:vAlign w:val="center"/>
          </w:tcPr>
          <w:p w14:paraId="44391118" w14:textId="31600AEE" w:rsidR="00E822DD" w:rsidRPr="002820C5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2820C5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="002820C5" w:rsidRPr="002820C5">
              <w:rPr>
                <w:rFonts w:ascii="Source Sans Pro" w:hAnsi="Source Sans Pro" w:cs="Arial"/>
                <w:b/>
                <w:sz w:val="16"/>
                <w:szCs w:val="16"/>
              </w:rPr>
              <w:t>4</w:t>
            </w:r>
          </w:p>
        </w:tc>
      </w:tr>
      <w:tr w:rsidR="00910B65" w:rsidRPr="00161817" w14:paraId="0E2C9494" w14:textId="77777777" w:rsidTr="00C974EE">
        <w:tc>
          <w:tcPr>
            <w:tcW w:w="1555" w:type="dxa"/>
          </w:tcPr>
          <w:p w14:paraId="3C8BE28D" w14:textId="3F43E0C8" w:rsidR="00E822DD" w:rsidRPr="00546E2A" w:rsidRDefault="00E822DD" w:rsidP="006061BF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Spitzenrendite* Büro</w:t>
            </w:r>
            <w:r w:rsidR="006061BF" w:rsidRPr="00546E2A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5D7F0600" w14:textId="0B287A4E" w:rsidR="00E822DD" w:rsidRPr="00546E2A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vAlign w:val="center"/>
          </w:tcPr>
          <w:p w14:paraId="6D16127A" w14:textId="3CB5D95C" w:rsidR="00E822DD" w:rsidRPr="00546E2A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2E7EE2" w:rsidRPr="00546E2A">
              <w:rPr>
                <w:rFonts w:ascii="Source Sans Pro" w:hAnsi="Source Sans Pro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vAlign w:val="center"/>
          </w:tcPr>
          <w:p w14:paraId="02CFC26B" w14:textId="6B61E05D" w:rsidR="00E822DD" w:rsidRPr="00546E2A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4,40</w:t>
            </w:r>
          </w:p>
        </w:tc>
        <w:tc>
          <w:tcPr>
            <w:tcW w:w="993" w:type="dxa"/>
            <w:vAlign w:val="center"/>
          </w:tcPr>
          <w:p w14:paraId="77622C27" w14:textId="00FACAA9" w:rsidR="00E822DD" w:rsidRPr="00546E2A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4,40</w:t>
            </w:r>
          </w:p>
        </w:tc>
        <w:tc>
          <w:tcPr>
            <w:tcW w:w="1134" w:type="dxa"/>
            <w:vAlign w:val="center"/>
          </w:tcPr>
          <w:p w14:paraId="0C44D799" w14:textId="6DE79824" w:rsidR="00E822DD" w:rsidRPr="00546E2A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4,60</w:t>
            </w:r>
          </w:p>
        </w:tc>
        <w:tc>
          <w:tcPr>
            <w:tcW w:w="850" w:type="dxa"/>
            <w:vAlign w:val="center"/>
          </w:tcPr>
          <w:p w14:paraId="480FC3B3" w14:textId="5CC9C194" w:rsidR="00E822DD" w:rsidRPr="00546E2A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B16A5C" w:rsidRPr="00546E2A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38FEF" w14:textId="22CF6371" w:rsidR="00E822DD" w:rsidRPr="00546E2A" w:rsidRDefault="00B16A5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4,20</w:t>
            </w:r>
          </w:p>
        </w:tc>
        <w:tc>
          <w:tcPr>
            <w:tcW w:w="923" w:type="dxa"/>
            <w:vAlign w:val="center"/>
          </w:tcPr>
          <w:p w14:paraId="12457880" w14:textId="0630734A" w:rsidR="00E822DD" w:rsidRPr="00546E2A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4,4</w:t>
            </w:r>
            <w:r w:rsidR="00B16A5C" w:rsidRPr="00546E2A">
              <w:rPr>
                <w:rFonts w:ascii="Source Sans Pro" w:hAnsi="Source Sans Pro" w:cs="Arial"/>
                <w:b/>
                <w:sz w:val="16"/>
                <w:szCs w:val="16"/>
              </w:rPr>
              <w:t>1</w:t>
            </w:r>
          </w:p>
        </w:tc>
      </w:tr>
      <w:tr w:rsidR="00910B65" w:rsidRPr="00161817" w14:paraId="5B819F04" w14:textId="77777777" w:rsidTr="00C974EE">
        <w:tc>
          <w:tcPr>
            <w:tcW w:w="1555" w:type="dxa"/>
          </w:tcPr>
          <w:p w14:paraId="345B2B43" w14:textId="77777777" w:rsidR="006061BF" w:rsidRPr="00546E2A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ggü</w:t>
            </w:r>
            <w:proofErr w:type="spellEnd"/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. Vorjahr</w:t>
            </w:r>
          </w:p>
          <w:p w14:paraId="5F4CAF94" w14:textId="4A9AEBF6" w:rsidR="00E822DD" w:rsidRPr="00546E2A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in %-Pkt.</w:t>
            </w:r>
          </w:p>
        </w:tc>
        <w:tc>
          <w:tcPr>
            <w:tcW w:w="992" w:type="dxa"/>
            <w:vAlign w:val="center"/>
          </w:tcPr>
          <w:p w14:paraId="1BF8BB5A" w14:textId="42AEB095" w:rsidR="00E822DD" w:rsidRPr="00546E2A" w:rsidRDefault="002E7EE2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2</w:t>
            </w: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14:paraId="30382577" w14:textId="58C6344E" w:rsidR="00E822DD" w:rsidRPr="00546E2A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EA778F" w:rsidRPr="00546E2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2E7EE2"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50221CA" w14:textId="23DDA216" w:rsidR="00E822DD" w:rsidRPr="00546E2A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14:paraId="6DD7413C" w14:textId="1FA04A79" w:rsidR="00E822DD" w:rsidRPr="00546E2A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="00B16A5C" w:rsidRPr="00546E2A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14:paraId="75EE8890" w14:textId="5609D2C1" w:rsidR="00E822DD" w:rsidRPr="00546E2A" w:rsidRDefault="006061B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vAlign w:val="center"/>
          </w:tcPr>
          <w:p w14:paraId="5AFA008F" w14:textId="2B3034B9" w:rsidR="00E822DD" w:rsidRPr="00546E2A" w:rsidRDefault="00B16A5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45EB7" w14:textId="0D1BCA1E" w:rsidR="00E822DD" w:rsidRPr="00546E2A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EA778F"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23" w:type="dxa"/>
            <w:vAlign w:val="center"/>
          </w:tcPr>
          <w:p w14:paraId="10E27A7C" w14:textId="543781E3" w:rsidR="00E822DD" w:rsidRPr="00546E2A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0,</w:t>
            </w:r>
            <w:r w:rsidR="00546E2A" w:rsidRPr="00546E2A">
              <w:rPr>
                <w:rFonts w:ascii="Source Sans Pro" w:hAnsi="Source Sans Pro" w:cs="Arial"/>
                <w:b/>
                <w:sz w:val="16"/>
                <w:szCs w:val="16"/>
              </w:rPr>
              <w:t>08</w:t>
            </w:r>
          </w:p>
        </w:tc>
      </w:tr>
      <w:tr w:rsidR="00910B65" w:rsidRPr="00161817" w14:paraId="2411BA51" w14:textId="77777777" w:rsidTr="00C974EE">
        <w:tc>
          <w:tcPr>
            <w:tcW w:w="1555" w:type="dxa"/>
          </w:tcPr>
          <w:p w14:paraId="16BE5098" w14:textId="77777777" w:rsidR="00E822DD" w:rsidRPr="00546E2A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 xml:space="preserve">Spitzenrendite* Logistik 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1E269F87" w14:textId="68DE3D23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vAlign w:val="center"/>
          </w:tcPr>
          <w:p w14:paraId="4AC2BC62" w14:textId="38A0A46D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49607C" w:rsidRPr="00546E2A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BC1DA3D" w14:textId="77E74B02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4,</w:t>
            </w:r>
            <w:r w:rsidR="00B16A5C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6</w:t>
            </w: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14:paraId="46DE1972" w14:textId="4DFF1FC1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4,40</w:t>
            </w:r>
          </w:p>
        </w:tc>
        <w:tc>
          <w:tcPr>
            <w:tcW w:w="1134" w:type="dxa"/>
            <w:vAlign w:val="center"/>
          </w:tcPr>
          <w:p w14:paraId="51830899" w14:textId="1A47BCD6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4,</w:t>
            </w:r>
            <w:r w:rsidR="00B16A5C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6</w:t>
            </w: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850" w:type="dxa"/>
            <w:vAlign w:val="center"/>
          </w:tcPr>
          <w:p w14:paraId="2AEDBBC9" w14:textId="77777777" w:rsidR="00E822DD" w:rsidRPr="00546E2A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9DE90" w14:textId="25FA1C25" w:rsidR="00E822DD" w:rsidRPr="00546E2A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23" w:type="dxa"/>
            <w:vAlign w:val="center"/>
          </w:tcPr>
          <w:p w14:paraId="15EC44A2" w14:textId="2B4E863F" w:rsidR="00E822DD" w:rsidRPr="00546E2A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4,</w:t>
            </w:r>
            <w:r w:rsidR="00546E2A" w:rsidRPr="00546E2A">
              <w:rPr>
                <w:rFonts w:ascii="Source Sans Pro" w:hAnsi="Source Sans Pro" w:cs="Arial"/>
                <w:b/>
                <w:sz w:val="16"/>
                <w:szCs w:val="16"/>
              </w:rPr>
              <w:t>51</w:t>
            </w:r>
          </w:p>
        </w:tc>
      </w:tr>
      <w:tr w:rsidR="00910B65" w:rsidRPr="00161817" w14:paraId="7E552845" w14:textId="77777777" w:rsidTr="00C974EE">
        <w:tc>
          <w:tcPr>
            <w:tcW w:w="1555" w:type="dxa"/>
          </w:tcPr>
          <w:p w14:paraId="6DC11B9C" w14:textId="77777777" w:rsidR="006061BF" w:rsidRPr="00546E2A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ggü</w:t>
            </w:r>
            <w:proofErr w:type="spellEnd"/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. Vorjahr</w:t>
            </w:r>
          </w:p>
          <w:p w14:paraId="5725897F" w14:textId="569358C3" w:rsidR="00E822DD" w:rsidRPr="00546E2A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in %-Pkt.</w:t>
            </w:r>
          </w:p>
        </w:tc>
        <w:tc>
          <w:tcPr>
            <w:tcW w:w="992" w:type="dxa"/>
            <w:vAlign w:val="center"/>
          </w:tcPr>
          <w:p w14:paraId="56189F55" w14:textId="4A8AFDFF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1</w:t>
            </w: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14:paraId="09A563B0" w14:textId="791AC1CC" w:rsidR="00E822DD" w:rsidRPr="00546E2A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1</w:t>
            </w:r>
            <w:r w:rsidR="00B16A5C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14:paraId="28EE0851" w14:textId="47455FBD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1</w:t>
            </w: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14:paraId="4EC1D9CD" w14:textId="25CF954D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DCD6729" w14:textId="28F707F1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1</w:t>
            </w:r>
            <w:r w:rsidR="00EA778F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850" w:type="dxa"/>
            <w:vAlign w:val="center"/>
          </w:tcPr>
          <w:p w14:paraId="4BFB79FE" w14:textId="0064CDE6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1</w:t>
            </w: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3E6E9" w14:textId="07436F2B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  <w:r w:rsidR="00EA778F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,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1</w:t>
            </w:r>
            <w:r w:rsidR="00EA778F" w:rsidRPr="00546E2A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23" w:type="dxa"/>
            <w:vAlign w:val="center"/>
          </w:tcPr>
          <w:p w14:paraId="243E1FC2" w14:textId="696EC168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0,</w:t>
            </w:r>
            <w:r w:rsidR="00546E2A" w:rsidRPr="00546E2A">
              <w:rPr>
                <w:rFonts w:ascii="Source Sans Pro" w:hAnsi="Source Sans Pro" w:cs="Arial"/>
                <w:b/>
                <w:sz w:val="16"/>
                <w:szCs w:val="16"/>
              </w:rPr>
              <w:t>09</w:t>
            </w:r>
          </w:p>
        </w:tc>
      </w:tr>
      <w:tr w:rsidR="00910B65" w:rsidRPr="00161817" w14:paraId="511D3D80" w14:textId="77777777" w:rsidTr="00C974EE">
        <w:trPr>
          <w:trHeight w:val="471"/>
        </w:trPr>
        <w:tc>
          <w:tcPr>
            <w:tcW w:w="1555" w:type="dxa"/>
          </w:tcPr>
          <w:p w14:paraId="23F6D442" w14:textId="77777777" w:rsidR="00E822DD" w:rsidRPr="00546E2A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Stärkste</w:t>
            </w:r>
          </w:p>
          <w:p w14:paraId="4F399EC0" w14:textId="77777777" w:rsidR="00E822DD" w:rsidRPr="00546E2A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Assetklasse</w:t>
            </w:r>
          </w:p>
        </w:tc>
        <w:tc>
          <w:tcPr>
            <w:tcW w:w="992" w:type="dxa"/>
            <w:vAlign w:val="center"/>
          </w:tcPr>
          <w:p w14:paraId="708BFD1F" w14:textId="417A5C67" w:rsidR="00E822DD" w:rsidRPr="00546E2A" w:rsidRDefault="002E7EE2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92" w:type="dxa"/>
            <w:vAlign w:val="center"/>
          </w:tcPr>
          <w:p w14:paraId="457A7224" w14:textId="6E7CABE0" w:rsidR="00E822DD" w:rsidRPr="00546E2A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Einzel</w:t>
            </w:r>
            <w:r w:rsidR="00910B65" w:rsidRPr="00546E2A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handel</w:t>
            </w:r>
          </w:p>
        </w:tc>
        <w:tc>
          <w:tcPr>
            <w:tcW w:w="992" w:type="dxa"/>
            <w:vAlign w:val="center"/>
          </w:tcPr>
          <w:p w14:paraId="0579ADDE" w14:textId="7D1D77EC" w:rsidR="00E822DD" w:rsidRPr="00546E2A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93" w:type="dxa"/>
            <w:vAlign w:val="center"/>
          </w:tcPr>
          <w:p w14:paraId="280FC882" w14:textId="53CAE428" w:rsidR="00E822DD" w:rsidRPr="00546E2A" w:rsidRDefault="00546E2A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1134" w:type="dxa"/>
            <w:vAlign w:val="center"/>
          </w:tcPr>
          <w:p w14:paraId="008BF92C" w14:textId="0FDD382F" w:rsidR="00E822DD" w:rsidRPr="00546E2A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850" w:type="dxa"/>
            <w:vAlign w:val="center"/>
          </w:tcPr>
          <w:p w14:paraId="14E2CD93" w14:textId="69C27B8A" w:rsidR="00E822DD" w:rsidRPr="00546E2A" w:rsidRDefault="00B16A5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Misch-nutzung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549E8" w14:textId="3FDA9514" w:rsidR="00E822DD" w:rsidRPr="00546E2A" w:rsidRDefault="002704C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Misch</w:t>
            </w:r>
            <w:r w:rsidR="00910B65" w:rsidRPr="00546E2A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nutzung</w:t>
            </w:r>
          </w:p>
        </w:tc>
        <w:tc>
          <w:tcPr>
            <w:tcW w:w="923" w:type="dxa"/>
            <w:vAlign w:val="center"/>
          </w:tcPr>
          <w:p w14:paraId="6C2135E3" w14:textId="796B7A9A" w:rsidR="00E822DD" w:rsidRPr="00FD7EBD" w:rsidRDefault="00546E2A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FD7EBD">
              <w:rPr>
                <w:rFonts w:ascii="Source Sans Pro" w:hAnsi="Source Sans Pro" w:cs="Arial"/>
                <w:b/>
                <w:sz w:val="16"/>
                <w:szCs w:val="16"/>
              </w:rPr>
              <w:t>Büro</w:t>
            </w:r>
          </w:p>
        </w:tc>
      </w:tr>
      <w:tr w:rsidR="00910B65" w:rsidRPr="00161817" w14:paraId="3C798CFE" w14:textId="77777777" w:rsidTr="00C974EE">
        <w:tc>
          <w:tcPr>
            <w:tcW w:w="1555" w:type="dxa"/>
          </w:tcPr>
          <w:p w14:paraId="69CD3109" w14:textId="77777777" w:rsidR="00E822DD" w:rsidRPr="00546E2A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Stärkste</w:t>
            </w:r>
          </w:p>
          <w:p w14:paraId="7FDF28CB" w14:textId="77777777" w:rsidR="00E822DD" w:rsidRPr="00546E2A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 xml:space="preserve">Assetklasse </w:t>
            </w:r>
            <w:r w:rsidRPr="00546E2A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2F2CDD9F" w14:textId="6C71ECC4" w:rsidR="00E822DD" w:rsidRPr="00546E2A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673EE990" w14:textId="17DEDB64" w:rsidR="00E822DD" w:rsidRPr="00546E2A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3931A1E" w14:textId="3CBD40E9" w:rsidR="00E822DD" w:rsidRPr="00546E2A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6D5DE4CF" w14:textId="6EDAFC37" w:rsidR="00E822DD" w:rsidRPr="00546E2A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546E2A" w:rsidRPr="00546E2A">
              <w:rPr>
                <w:rFonts w:ascii="Source Sans Pro" w:hAnsi="Source Sans Pro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61FD967" w14:textId="4947FCFA" w:rsidR="00E822DD" w:rsidRPr="00546E2A" w:rsidRDefault="00546E2A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vAlign w:val="center"/>
          </w:tcPr>
          <w:p w14:paraId="4EE4162A" w14:textId="29E06E69" w:rsidR="00E822DD" w:rsidRPr="00FC5C5E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FC5C5E">
              <w:rPr>
                <w:rFonts w:ascii="Source Sans Pro" w:hAnsi="Source Sans Pro" w:cs="Arial"/>
                <w:sz w:val="16"/>
                <w:szCs w:val="16"/>
                <w:u w:val="single"/>
              </w:rPr>
              <w:t>5</w:t>
            </w:r>
            <w:r w:rsidR="00546E2A" w:rsidRPr="00FC5C5E">
              <w:rPr>
                <w:rFonts w:ascii="Source Sans Pro" w:hAnsi="Source Sans Pro" w:cs="Arial"/>
                <w:sz w:val="16"/>
                <w:szCs w:val="16"/>
                <w:u w:val="single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3299E" w14:textId="4191EA90" w:rsidR="00E822DD" w:rsidRPr="00FC5C5E" w:rsidRDefault="00546E2A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FC5C5E">
              <w:rPr>
                <w:rFonts w:ascii="Source Sans Pro" w:hAnsi="Source Sans Pro" w:cs="Arial"/>
                <w:sz w:val="16"/>
                <w:szCs w:val="16"/>
                <w:u w:val="single"/>
              </w:rPr>
              <w:t>59</w:t>
            </w:r>
          </w:p>
        </w:tc>
        <w:tc>
          <w:tcPr>
            <w:tcW w:w="923" w:type="dxa"/>
            <w:vAlign w:val="center"/>
          </w:tcPr>
          <w:p w14:paraId="08D05C82" w14:textId="0666D3E2" w:rsidR="00E822DD" w:rsidRPr="00546E2A" w:rsidRDefault="00EA778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46E2A">
              <w:rPr>
                <w:rFonts w:ascii="Source Sans Pro" w:hAnsi="Source Sans Pro" w:cs="Arial"/>
                <w:b/>
                <w:sz w:val="16"/>
                <w:szCs w:val="16"/>
              </w:rPr>
              <w:t>2</w:t>
            </w:r>
            <w:r w:rsidR="00546E2A" w:rsidRPr="00546E2A">
              <w:rPr>
                <w:rFonts w:ascii="Source Sans Pro" w:hAnsi="Source Sans Pro" w:cs="Arial"/>
                <w:b/>
                <w:sz w:val="16"/>
                <w:szCs w:val="16"/>
              </w:rPr>
              <w:t>9</w:t>
            </w:r>
          </w:p>
        </w:tc>
      </w:tr>
    </w:tbl>
    <w:p w14:paraId="101A4546" w14:textId="7F19CE6A" w:rsidR="008C5CEC" w:rsidRDefault="00E822DD" w:rsidP="00E822DD">
      <w:pPr>
        <w:pStyle w:val="EinfAbs"/>
        <w:tabs>
          <w:tab w:val="left" w:pos="200"/>
        </w:tabs>
        <w:jc w:val="both"/>
        <w:rPr>
          <w:rFonts w:ascii="Source Sans Pro" w:hAnsi="Source Sans Pro" w:cs="Arial"/>
          <w:sz w:val="16"/>
          <w:szCs w:val="16"/>
        </w:rPr>
      </w:pPr>
      <w:r w:rsidRPr="00161817">
        <w:rPr>
          <w:rFonts w:ascii="Source Sans Pro" w:hAnsi="Source Sans Pro" w:cs="Arial"/>
          <w:sz w:val="16"/>
          <w:szCs w:val="16"/>
        </w:rPr>
        <w:t>* Nettoanfangsrendite</w:t>
      </w:r>
      <w:r w:rsidR="002704CD">
        <w:rPr>
          <w:rFonts w:ascii="Source Sans Pro" w:hAnsi="Source Sans Pro" w:cs="Arial"/>
          <w:sz w:val="16"/>
          <w:szCs w:val="16"/>
        </w:rPr>
        <w:t>.</w:t>
      </w:r>
      <w:r w:rsidRPr="00161817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247CD90D" w14:textId="77777777" w:rsidR="00510879" w:rsidRPr="00510879" w:rsidRDefault="00510879" w:rsidP="00E822DD">
      <w:pPr>
        <w:pStyle w:val="EinfAbs"/>
        <w:tabs>
          <w:tab w:val="left" w:pos="200"/>
        </w:tabs>
        <w:jc w:val="both"/>
        <w:rPr>
          <w:rFonts w:ascii="Source Sans Pro" w:hAnsi="Source Sans Pro" w:cs="Arial"/>
          <w:sz w:val="16"/>
          <w:szCs w:val="16"/>
        </w:rPr>
      </w:pPr>
    </w:p>
    <w:p w14:paraId="5CED34B8" w14:textId="047D6CCC" w:rsidR="00161817" w:rsidRPr="00161817" w:rsidRDefault="00367F4F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  <w:r>
        <w:rPr>
          <w:rFonts w:ascii="Source Sans Pro" w:hAnsi="Source Sans Pro" w:cs="Arial"/>
          <w:b/>
          <w:sz w:val="20"/>
        </w:rPr>
        <w:t>Größte</w:t>
      </w:r>
      <w:r w:rsidR="00161817" w:rsidRPr="00161817">
        <w:rPr>
          <w:rFonts w:ascii="Source Sans Pro" w:hAnsi="Source Sans Pro" w:cs="Arial"/>
          <w:b/>
          <w:sz w:val="20"/>
        </w:rPr>
        <w:t xml:space="preserve"> bekannte Abschlüsse | Top-7-Standorte | </w:t>
      </w:r>
      <w:r w:rsidR="009820DC">
        <w:rPr>
          <w:rFonts w:ascii="Source Sans Pro" w:hAnsi="Source Sans Pro" w:cs="Arial"/>
          <w:b/>
          <w:sz w:val="20"/>
        </w:rPr>
        <w:t>1.-</w:t>
      </w:r>
      <w:r w:rsidR="007A5687">
        <w:rPr>
          <w:rFonts w:ascii="Source Sans Pro" w:hAnsi="Source Sans Pro" w:cs="Arial"/>
          <w:b/>
          <w:sz w:val="20"/>
        </w:rPr>
        <w:t>4</w:t>
      </w:r>
      <w:r w:rsidR="00161817" w:rsidRPr="00161817">
        <w:rPr>
          <w:rFonts w:ascii="Source Sans Pro" w:hAnsi="Source Sans Pro" w:cs="Arial"/>
          <w:b/>
          <w:sz w:val="20"/>
        </w:rPr>
        <w:t>. Quartal 202</w:t>
      </w:r>
      <w:r w:rsidR="003613CB">
        <w:rPr>
          <w:rFonts w:ascii="Source Sans Pro" w:hAnsi="Source Sans Pro" w:cs="Arial"/>
          <w:b/>
          <w:sz w:val="20"/>
        </w:rPr>
        <w:t>4</w:t>
      </w: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690"/>
        <w:gridCol w:w="2694"/>
        <w:gridCol w:w="2670"/>
        <w:gridCol w:w="2199"/>
        <w:gridCol w:w="1240"/>
      </w:tblGrid>
      <w:tr w:rsidR="00161817" w:rsidRPr="00161817" w14:paraId="113FCC50" w14:textId="77777777" w:rsidTr="00DB491D">
        <w:trPr>
          <w:trHeight w:val="271"/>
        </w:trPr>
        <w:tc>
          <w:tcPr>
            <w:tcW w:w="690" w:type="dxa"/>
            <w:shd w:val="clear" w:color="auto" w:fill="auto"/>
            <w:vAlign w:val="center"/>
          </w:tcPr>
          <w:p w14:paraId="130C696A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34B091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6669932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Käufer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90FE9EE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Verkäufer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C76A25" w14:textId="462E42CD" w:rsidR="00161817" w:rsidRPr="00161817" w:rsidRDefault="00161817" w:rsidP="00DB491D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KP*</w:t>
            </w:r>
            <w:r w:rsidR="00DB491D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(ca. Mio. €)</w:t>
            </w:r>
          </w:p>
        </w:tc>
      </w:tr>
      <w:tr w:rsidR="00583AC8" w:rsidRPr="00161817" w14:paraId="0B78E6CD" w14:textId="77777777" w:rsidTr="00DB491D">
        <w:trPr>
          <w:trHeight w:val="546"/>
        </w:trPr>
        <w:tc>
          <w:tcPr>
            <w:tcW w:w="690" w:type="dxa"/>
            <w:shd w:val="clear" w:color="auto" w:fill="auto"/>
            <w:vAlign w:val="center"/>
          </w:tcPr>
          <w:p w14:paraId="576C9D5C" w14:textId="2BD3AFE7" w:rsidR="00583AC8" w:rsidRPr="00F133A4" w:rsidRDefault="008F2BFB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DDAAC2" w14:textId="1274E8CB" w:rsidR="00583AC8" w:rsidRPr="00F133A4" w:rsidRDefault="008F2BFB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„KaDeWe“,</w:t>
            </w:r>
            <w:r w:rsidRPr="00F133A4">
              <w:rPr>
                <w:rFonts w:ascii="Source Sans Pro" w:hAnsi="Source Sans Pro" w:cs="Arial"/>
                <w:sz w:val="16"/>
                <w:szCs w:val="16"/>
              </w:rPr>
              <w:br/>
            </w:r>
            <w:proofErr w:type="spellStart"/>
            <w:r w:rsidRPr="00F133A4">
              <w:rPr>
                <w:rFonts w:ascii="Source Sans Pro" w:hAnsi="Source Sans Pro" w:cs="Arial"/>
                <w:sz w:val="16"/>
                <w:szCs w:val="16"/>
              </w:rPr>
              <w:t>Tauentzienstraße</w:t>
            </w:r>
            <w:proofErr w:type="spellEnd"/>
            <w:r w:rsidRPr="00F133A4">
              <w:rPr>
                <w:rFonts w:ascii="Source Sans Pro" w:hAnsi="Source Sans Pro" w:cs="Arial"/>
                <w:sz w:val="16"/>
                <w:szCs w:val="16"/>
              </w:rPr>
              <w:t xml:space="preserve"> 21-24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EECDA99" w14:textId="502B1AEC" w:rsidR="00583AC8" w:rsidRPr="00F133A4" w:rsidRDefault="008F2BFB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Central Group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F8AFED1" w14:textId="5046E5A7" w:rsidR="00583AC8" w:rsidRPr="00F133A4" w:rsidRDefault="008F2BFB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 xml:space="preserve">Signa Prime </w:t>
            </w:r>
            <w:proofErr w:type="spellStart"/>
            <w:r w:rsidRPr="00F133A4">
              <w:rPr>
                <w:rFonts w:ascii="Source Sans Pro" w:hAnsi="Source Sans Pro" w:cs="Arial"/>
                <w:sz w:val="16"/>
                <w:szCs w:val="16"/>
              </w:rPr>
              <w:t>Selection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14:paraId="525E6C98" w14:textId="476CD064" w:rsidR="00583AC8" w:rsidRPr="00F133A4" w:rsidRDefault="008F2BFB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1.000</w:t>
            </w:r>
          </w:p>
        </w:tc>
      </w:tr>
      <w:tr w:rsidR="008F2BFB" w:rsidRPr="00161817" w14:paraId="00F97594" w14:textId="77777777" w:rsidTr="00DB491D">
        <w:trPr>
          <w:trHeight w:val="546"/>
        </w:trPr>
        <w:tc>
          <w:tcPr>
            <w:tcW w:w="690" w:type="dxa"/>
            <w:shd w:val="clear" w:color="auto" w:fill="auto"/>
            <w:vAlign w:val="center"/>
          </w:tcPr>
          <w:p w14:paraId="321E8DB4" w14:textId="17CE89D0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89B725" w14:textId="77777777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„Fünf Höfe“,</w:t>
            </w:r>
          </w:p>
          <w:p w14:paraId="592F04E3" w14:textId="6343E453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Theatinerstraße 8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BDB51C7" w14:textId="3E9B34D8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Athos Family Office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7DD2CEA" w14:textId="63472380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Union Investment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10DCF4" w14:textId="3B29C7F5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715</w:t>
            </w:r>
          </w:p>
        </w:tc>
      </w:tr>
      <w:tr w:rsidR="008F2BFB" w:rsidRPr="008F2BFB" w14:paraId="4D06B192" w14:textId="77777777" w:rsidTr="00F133A4">
        <w:trPr>
          <w:trHeight w:val="546"/>
        </w:trPr>
        <w:tc>
          <w:tcPr>
            <w:tcW w:w="690" w:type="dxa"/>
            <w:shd w:val="clear" w:color="auto" w:fill="auto"/>
            <w:vAlign w:val="center"/>
          </w:tcPr>
          <w:p w14:paraId="73EBC288" w14:textId="7CC28D18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C7CF5E" w14:textId="77777777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„Pasing Arcaden“,</w:t>
            </w:r>
          </w:p>
          <w:p w14:paraId="3692DEE8" w14:textId="193866AE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Pasinger Bahnhofsplatz 5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B7E3BBB" w14:textId="4A23A4A4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F133A4">
              <w:rPr>
                <w:rFonts w:ascii="Source Sans Pro" w:hAnsi="Source Sans Pro" w:cs="Arial"/>
                <w:sz w:val="16"/>
                <w:szCs w:val="16"/>
              </w:rPr>
              <w:t>Ingka</w:t>
            </w:r>
            <w:proofErr w:type="spellEnd"/>
            <w:r w:rsidRPr="00F133A4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proofErr w:type="spellStart"/>
            <w:r w:rsidRPr="00F133A4">
              <w:rPr>
                <w:rFonts w:ascii="Source Sans Pro" w:hAnsi="Source Sans Pro" w:cs="Arial"/>
                <w:sz w:val="16"/>
                <w:szCs w:val="16"/>
              </w:rPr>
              <w:t>Centres</w:t>
            </w:r>
            <w:proofErr w:type="spellEnd"/>
          </w:p>
        </w:tc>
        <w:tc>
          <w:tcPr>
            <w:tcW w:w="2199" w:type="dxa"/>
            <w:shd w:val="clear" w:color="auto" w:fill="auto"/>
            <w:vAlign w:val="center"/>
          </w:tcPr>
          <w:p w14:paraId="74C6396A" w14:textId="121AEC5C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F133A4">
              <w:rPr>
                <w:rFonts w:ascii="Source Sans Pro" w:hAnsi="Source Sans Pro" w:cs="Arial"/>
                <w:sz w:val="16"/>
                <w:szCs w:val="16"/>
              </w:rPr>
              <w:t>Unibail</w:t>
            </w:r>
            <w:proofErr w:type="spellEnd"/>
            <w:r w:rsidRPr="00F133A4">
              <w:rPr>
                <w:rFonts w:ascii="Source Sans Pro" w:hAnsi="Source Sans Pro" w:cs="Arial"/>
                <w:sz w:val="16"/>
                <w:szCs w:val="16"/>
              </w:rPr>
              <w:t>-</w:t>
            </w:r>
            <w:proofErr w:type="spellStart"/>
            <w:r w:rsidRPr="00F133A4">
              <w:rPr>
                <w:rFonts w:ascii="Source Sans Pro" w:hAnsi="Source Sans Pro" w:cs="Arial"/>
                <w:sz w:val="16"/>
                <w:szCs w:val="16"/>
              </w:rPr>
              <w:t>Rodamco</w:t>
            </w:r>
            <w:proofErr w:type="spellEnd"/>
            <w:r w:rsidRPr="00F133A4">
              <w:rPr>
                <w:rFonts w:ascii="Source Sans Pro" w:hAnsi="Source Sans Pro" w:cs="Arial"/>
                <w:sz w:val="16"/>
                <w:szCs w:val="16"/>
              </w:rPr>
              <w:t>-Westfield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959875" w14:textId="7AFA3BC3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388</w:t>
            </w:r>
          </w:p>
        </w:tc>
      </w:tr>
      <w:tr w:rsidR="008F2BFB" w:rsidRPr="00161817" w14:paraId="44CEE1B0" w14:textId="77777777" w:rsidTr="00F133A4">
        <w:trPr>
          <w:trHeight w:val="546"/>
        </w:trPr>
        <w:tc>
          <w:tcPr>
            <w:tcW w:w="690" w:type="dxa"/>
            <w:shd w:val="clear" w:color="auto" w:fill="auto"/>
            <w:vAlign w:val="center"/>
          </w:tcPr>
          <w:p w14:paraId="64E2B994" w14:textId="1F8E041C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CGN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F646A5" w14:textId="2216FA9E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Nordteil des Messegeländes, Messeplatz 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B0106A7" w14:textId="0C2BD7AC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Stadt Köln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168FEED" w14:textId="3C2F8785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RFR-Holding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087DCD" w14:textId="6E52D91F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385</w:t>
            </w:r>
          </w:p>
        </w:tc>
      </w:tr>
      <w:tr w:rsidR="008F2BFB" w:rsidRPr="00161817" w14:paraId="1F48E624" w14:textId="77777777" w:rsidTr="00F133A4">
        <w:trPr>
          <w:trHeight w:val="546"/>
        </w:trPr>
        <w:tc>
          <w:tcPr>
            <w:tcW w:w="690" w:type="dxa"/>
            <w:shd w:val="clear" w:color="auto" w:fill="auto"/>
            <w:vAlign w:val="center"/>
          </w:tcPr>
          <w:p w14:paraId="57AF8136" w14:textId="6B108EA2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CGN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4A6E98" w14:textId="77777777" w:rsid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 xml:space="preserve">"ROSSIO", </w:t>
            </w:r>
          </w:p>
          <w:p w14:paraId="02FCDAF9" w14:textId="424C0436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Barmer Straße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9693A94" w14:textId="64AF8C72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Stadt Köln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4F91B7C" w14:textId="4A344541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STRABAG und ECE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3A014C0" w14:textId="2FB05481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270</w:t>
            </w:r>
          </w:p>
        </w:tc>
      </w:tr>
      <w:tr w:rsidR="008F2BFB" w:rsidRPr="00161817" w14:paraId="5D13571D" w14:textId="77777777" w:rsidTr="00DB491D">
        <w:trPr>
          <w:trHeight w:val="546"/>
        </w:trPr>
        <w:tc>
          <w:tcPr>
            <w:tcW w:w="690" w:type="dxa"/>
            <w:shd w:val="clear" w:color="auto" w:fill="auto"/>
            <w:vAlign w:val="center"/>
          </w:tcPr>
          <w:p w14:paraId="4AB1A521" w14:textId="306AADBE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18C9B8" w14:textId="07981889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Maximilianstraße 12-14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DFF4C71" w14:textId="70F1F052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Commerz Real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6247885" w14:textId="0C9D6E9B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Centrum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306EB2" w14:textId="0EA8EAAE" w:rsidR="008F2BFB" w:rsidRPr="00F133A4" w:rsidRDefault="008F2BFB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133A4">
              <w:rPr>
                <w:rFonts w:ascii="Source Sans Pro" w:hAnsi="Source Sans Pro" w:cs="Arial"/>
                <w:sz w:val="16"/>
                <w:szCs w:val="16"/>
              </w:rPr>
              <w:t>250</w:t>
            </w:r>
          </w:p>
        </w:tc>
      </w:tr>
      <w:tr w:rsidR="00FC5C5E" w:rsidRPr="00161817" w14:paraId="00474D8C" w14:textId="77777777" w:rsidTr="00FC5C5E">
        <w:trPr>
          <w:trHeight w:val="546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4FAC4F26" w14:textId="5DEC7002" w:rsidR="00FC5C5E" w:rsidRPr="00F133A4" w:rsidRDefault="00FC5C5E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DUS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2E785A6" w14:textId="77777777" w:rsidR="00FC5C5E" w:rsidRDefault="00FC5C5E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„Vallourec-Gelände“,</w:t>
            </w:r>
          </w:p>
          <w:p w14:paraId="20655772" w14:textId="31C1386F" w:rsidR="00FC5C5E" w:rsidRPr="00F133A4" w:rsidRDefault="00FC5C5E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Am Röhrenwerk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6AD886CE" w14:textId="5CD81B18" w:rsidR="00FC5C5E" w:rsidRPr="00F133A4" w:rsidRDefault="00FC5C5E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CTP Group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0FB8773D" w14:textId="7A76BC5A" w:rsidR="00FC5C5E" w:rsidRPr="00F133A4" w:rsidRDefault="00FC5C5E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Vallourec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2C30FF1" w14:textId="27538DDC" w:rsidR="00FC5C5E" w:rsidRPr="00F133A4" w:rsidRDefault="00FC5C5E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155</w:t>
            </w:r>
          </w:p>
        </w:tc>
      </w:tr>
      <w:tr w:rsidR="003B313F" w:rsidRPr="00161817" w14:paraId="6D192F4B" w14:textId="77777777" w:rsidTr="00FC5C5E">
        <w:trPr>
          <w:trHeight w:val="546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7012F08" w14:textId="758B617B" w:rsidR="003B313F" w:rsidRDefault="003B313F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HAM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37623F1" w14:textId="72169233" w:rsidR="003B313F" w:rsidRDefault="003B313F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3B313F">
              <w:rPr>
                <w:rFonts w:ascii="Source Sans Pro" w:hAnsi="Source Sans Pro" w:cs="Arial"/>
                <w:sz w:val="16"/>
                <w:szCs w:val="16"/>
              </w:rPr>
              <w:t>Perle/HCOB</w:t>
            </w:r>
            <w:r>
              <w:rPr>
                <w:rFonts w:ascii="Source Sans Pro" w:hAnsi="Source Sans Pro" w:cs="Arial"/>
                <w:sz w:val="16"/>
                <w:szCs w:val="16"/>
              </w:rPr>
              <w:t>“,</w:t>
            </w:r>
            <w:r>
              <w:rPr>
                <w:rFonts w:ascii="Source Sans Pro" w:hAnsi="Source Sans Pro" w:cs="Arial"/>
                <w:sz w:val="16"/>
                <w:szCs w:val="16"/>
              </w:rPr>
              <w:br/>
            </w:r>
            <w:r w:rsidRPr="003B313F">
              <w:rPr>
                <w:rFonts w:ascii="Source Sans Pro" w:hAnsi="Source Sans Pro" w:cs="Arial"/>
                <w:sz w:val="16"/>
                <w:szCs w:val="16"/>
              </w:rPr>
              <w:t>Gerhart-Hauptmann-Platz 50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264DACD1" w14:textId="59D84F0F" w:rsidR="003B313F" w:rsidRDefault="003B313F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B313F">
              <w:rPr>
                <w:rFonts w:ascii="Source Sans Pro" w:hAnsi="Source Sans Pro" w:cs="Arial"/>
                <w:sz w:val="16"/>
                <w:szCs w:val="16"/>
              </w:rPr>
              <w:t>LIG (Stadt Hamburg)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0CEBA6B8" w14:textId="60200F11" w:rsidR="003B313F" w:rsidRDefault="003B313F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B313F">
              <w:rPr>
                <w:rFonts w:ascii="Source Sans Pro" w:hAnsi="Source Sans Pro" w:cs="Arial"/>
                <w:sz w:val="16"/>
                <w:szCs w:val="16"/>
              </w:rPr>
              <w:t>Signa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7679DAF" w14:textId="69991783" w:rsidR="003B313F" w:rsidRDefault="003B313F" w:rsidP="008F2BF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112,5</w:t>
            </w:r>
          </w:p>
        </w:tc>
      </w:tr>
    </w:tbl>
    <w:p w14:paraId="26AE2616" w14:textId="5A36EC4B" w:rsidR="00604E20" w:rsidRPr="00510879" w:rsidRDefault="002704CD" w:rsidP="00EF0944">
      <w:pPr>
        <w:widowControl w:val="0"/>
        <w:rPr>
          <w:rFonts w:ascii="Source Sans Pro" w:hAnsi="Source Sans Pro" w:cs="Arial"/>
          <w:sz w:val="16"/>
          <w:szCs w:val="16"/>
        </w:rPr>
      </w:pPr>
      <w:r w:rsidRPr="00510879">
        <w:rPr>
          <w:rFonts w:ascii="Source Sans Pro" w:hAnsi="Source Sans Pro" w:cs="Arial"/>
          <w:sz w:val="16"/>
          <w:szCs w:val="16"/>
        </w:rPr>
        <w:t xml:space="preserve">*Die aufgeführten Kaufpreise basieren auf öffentlich verfügbaren Angaben; wo solche fehlen, sind die Kaufpreise geschätzt. </w:t>
      </w:r>
      <w:r w:rsidR="00161817" w:rsidRPr="00510879">
        <w:rPr>
          <w:rFonts w:ascii="Source Sans Pro" w:hAnsi="Source Sans Pro" w:cs="Arial"/>
          <w:sz w:val="16"/>
          <w:szCs w:val="16"/>
        </w:rPr>
        <w:t xml:space="preserve">Quelle: German </w:t>
      </w:r>
      <w:r w:rsidR="00510879" w:rsidRPr="00510879">
        <w:rPr>
          <w:rFonts w:ascii="Source Sans Pro" w:hAnsi="Source Sans Pro" w:cs="Arial"/>
          <w:sz w:val="16"/>
          <w:szCs w:val="16"/>
        </w:rPr>
        <w:lastRenderedPageBreak/>
        <w:t>P</w:t>
      </w:r>
      <w:r w:rsidR="00161817" w:rsidRPr="00510879">
        <w:rPr>
          <w:rFonts w:ascii="Source Sans Pro" w:hAnsi="Source Sans Pro" w:cs="Arial"/>
          <w:sz w:val="16"/>
          <w:szCs w:val="16"/>
        </w:rPr>
        <w:t>roperty Partners (GPP)</w:t>
      </w:r>
      <w:r w:rsidR="008C5CEC" w:rsidRPr="00510879">
        <w:rPr>
          <w:rFonts w:ascii="Source Sans Pro" w:hAnsi="Source Sans Pro" w:cs="Arial"/>
          <w:sz w:val="16"/>
          <w:szCs w:val="16"/>
        </w:rPr>
        <w:t>; Transaktionen aus dem aktuellen Quartal sind farblich markiert</w:t>
      </w:r>
    </w:p>
    <w:p w14:paraId="28CA77FD" w14:textId="54AD08A1" w:rsidR="00EA5A14" w:rsidRPr="00A36FA4" w:rsidRDefault="00073A63" w:rsidP="000157FA">
      <w:pPr>
        <w:widowControl w:val="0"/>
        <w:rPr>
          <w:rFonts w:ascii="Source Sans Pro" w:hAnsi="Source Sans Pro" w:cs="Source Sans Pro"/>
          <w:sz w:val="22"/>
          <w:szCs w:val="22"/>
        </w:rPr>
      </w:pPr>
      <w:r w:rsidRPr="00510879">
        <w:rPr>
          <w:rFonts w:ascii="Source Sans Pro" w:hAnsi="Source Sans Pro" w:cs="Arial"/>
          <w:b/>
          <w:sz w:val="16"/>
          <w:szCs w:val="16"/>
        </w:rPr>
        <w:br/>
      </w:r>
      <w:bookmarkStart w:id="0" w:name="_Hlk167186422"/>
      <w:r w:rsidR="00EA5A14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  <w:r w:rsidR="00EA5A14"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 </w:t>
      </w:r>
    </w:p>
    <w:p w14:paraId="7A69FB99" w14:textId="77777777" w:rsidR="00EA5A14" w:rsidRPr="00E1280F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9" w:history="1">
        <w:r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Anteon Immobilien, GREIF &amp; CONTZEN Immobilien, blackolive und E &amp; G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. Es zeichnet sich durch tiefe Marktkenntnisse vor Ort, langjährig für die Partnerunternehmen tätige Immobilienberater und das persönliche Engagement der Gesellschafter und Geschäftsführer aus. </w:t>
      </w:r>
    </w:p>
    <w:p w14:paraId="4EE622DA" w14:textId="77777777" w:rsidR="00EA5A14" w:rsidRPr="00E1280F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6DD3F237" w14:textId="77777777" w:rsidR="00EA5A14" w:rsidRPr="00E1280F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Das Netzwerk verfügt in den Top-7-Städten Hamburg, Berlin, Düsseldorf|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Essen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77000CD5" w14:textId="77777777" w:rsidR="00EA5A14" w:rsidRPr="00E1280F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57F93419" w14:textId="77777777" w:rsidR="00EA5A14" w:rsidRPr="006C69B7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rund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 w:rsidRPr="009C6B1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490.000</w:t>
      </w:r>
      <w:r w:rsidRPr="000B463D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m²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Gewerbefläche und betreute ein Transaktionsvolumen in Höhe von rund </w:t>
      </w:r>
      <w:r w:rsidRPr="009C6B1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770 Mio. €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</w:p>
    <w:p w14:paraId="0E509281" w14:textId="77777777" w:rsidR="00EA5A14" w:rsidRDefault="00EA5A14" w:rsidP="00EA5A14">
      <w:pPr>
        <w:pStyle w:val="EinfAbs"/>
        <w:tabs>
          <w:tab w:val="left" w:pos="200"/>
        </w:tabs>
        <w:spacing w:line="220" w:lineRule="exact"/>
        <w:jc w:val="both"/>
      </w:pPr>
    </w:p>
    <w:p w14:paraId="44111629" w14:textId="77777777" w:rsidR="00EA5A14" w:rsidRPr="006456EA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5E8BFEAE" w14:textId="77777777" w:rsidR="00EA5A14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sz w:val="14"/>
          <w:szCs w:val="14"/>
        </w:rPr>
      </w:pPr>
    </w:p>
    <w:p w14:paraId="468FAFF6" w14:textId="0946950C" w:rsidR="005C25D5" w:rsidRPr="00D56A51" w:rsidRDefault="00EA5A14" w:rsidP="00EA5A14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  <w:bookmarkEnd w:id="0"/>
    </w:p>
    <w:sectPr w:rsidR="005C25D5" w:rsidRPr="00D56A51" w:rsidSect="001B786B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2BC47517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67D12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67D12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1499EE44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9B008F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9B008F">
      <w:rPr>
        <w:rFonts w:ascii="Source Sans Pro" w:hAnsi="Source Sans Pro" w:cs="Source Sans Pro"/>
        <w:color w:val="0087A8"/>
        <w:sz w:val="18"/>
        <w:szCs w:val="18"/>
      </w:rPr>
      <w:t>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8B1BA3">
      <w:rPr>
        <w:rFonts w:ascii="Source Sans Pro" w:hAnsi="Source Sans Pro" w:cs="Source Sans Pro"/>
        <w:color w:val="0087A8"/>
        <w:sz w:val="18"/>
        <w:szCs w:val="18"/>
      </w:rPr>
      <w:t>9</w:t>
    </w:r>
    <w:r w:rsidR="00EA5A14">
      <w:rPr>
        <w:rFonts w:ascii="Source Sans Pro" w:hAnsi="Source Sans Pro" w:cs="Source Sans Pro"/>
        <w:color w:val="0087A8"/>
        <w:sz w:val="18"/>
        <w:szCs w:val="18"/>
      </w:rPr>
      <w:t>88</w:t>
    </w:r>
  </w:p>
  <w:p w14:paraId="6F9C1B3C" w14:textId="3B8E330F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A14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49AA555E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67D12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67D12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46353A06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8B1BA3">
      <w:rPr>
        <w:rFonts w:ascii="Source Sans Pro" w:hAnsi="Source Sans Pro" w:cs="Source Sans Pro"/>
        <w:color w:val="0087A8"/>
        <w:sz w:val="18"/>
        <w:szCs w:val="18"/>
      </w:rPr>
      <w:t>9</w:t>
    </w:r>
    <w:r w:rsidR="00EA5A14">
      <w:rPr>
        <w:rFonts w:ascii="Source Sans Pro" w:hAnsi="Source Sans Pro" w:cs="Source Sans Pro"/>
        <w:color w:val="0087A8"/>
        <w:sz w:val="18"/>
        <w:szCs w:val="18"/>
      </w:rPr>
      <w:t>88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716EBD26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A14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D1A"/>
    <w:multiLevelType w:val="hybridMultilevel"/>
    <w:tmpl w:val="30A6DD9A"/>
    <w:lvl w:ilvl="0" w:tplc="0A04759A">
      <w:start w:val="1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E87"/>
    <w:multiLevelType w:val="hybridMultilevel"/>
    <w:tmpl w:val="D2941DE4"/>
    <w:lvl w:ilvl="0" w:tplc="E22A0C4A">
      <w:start w:val="3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0E0B"/>
    <w:multiLevelType w:val="hybridMultilevel"/>
    <w:tmpl w:val="1BC473A8"/>
    <w:lvl w:ilvl="0" w:tplc="321493FE">
      <w:start w:val="4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0F1E"/>
    <w:multiLevelType w:val="hybridMultilevel"/>
    <w:tmpl w:val="4B542F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1CC6"/>
    <w:multiLevelType w:val="hybridMultilevel"/>
    <w:tmpl w:val="B0E01B48"/>
    <w:lvl w:ilvl="0" w:tplc="1ED8C61C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7895"/>
    <w:multiLevelType w:val="hybridMultilevel"/>
    <w:tmpl w:val="30883CD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B53BB"/>
    <w:multiLevelType w:val="hybridMultilevel"/>
    <w:tmpl w:val="A8BA5CB4"/>
    <w:lvl w:ilvl="0" w:tplc="8778A3DC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2D38"/>
    <w:multiLevelType w:val="hybridMultilevel"/>
    <w:tmpl w:val="98405EC0"/>
    <w:lvl w:ilvl="0" w:tplc="3F38C434">
      <w:start w:val="4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F5139"/>
    <w:multiLevelType w:val="hybridMultilevel"/>
    <w:tmpl w:val="C7A25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0908"/>
    <w:multiLevelType w:val="hybridMultilevel"/>
    <w:tmpl w:val="527E4444"/>
    <w:lvl w:ilvl="0" w:tplc="3FD8AABA">
      <w:start w:val="8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C0E33"/>
    <w:multiLevelType w:val="hybridMultilevel"/>
    <w:tmpl w:val="2BE8E350"/>
    <w:lvl w:ilvl="0" w:tplc="B82AA302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C36C0"/>
    <w:multiLevelType w:val="hybridMultilevel"/>
    <w:tmpl w:val="51220B10"/>
    <w:lvl w:ilvl="0" w:tplc="782E1AF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80478"/>
    <w:multiLevelType w:val="hybridMultilevel"/>
    <w:tmpl w:val="1CC4F102"/>
    <w:lvl w:ilvl="0" w:tplc="EC46D9D4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1796C"/>
    <w:multiLevelType w:val="hybridMultilevel"/>
    <w:tmpl w:val="EE0E1D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030DF"/>
    <w:multiLevelType w:val="hybridMultilevel"/>
    <w:tmpl w:val="C9B00D30"/>
    <w:lvl w:ilvl="0" w:tplc="59D258A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0B27"/>
    <w:multiLevelType w:val="hybridMultilevel"/>
    <w:tmpl w:val="073E5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230A"/>
    <w:multiLevelType w:val="hybridMultilevel"/>
    <w:tmpl w:val="C442B6BA"/>
    <w:lvl w:ilvl="0" w:tplc="5A6C3342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06959"/>
    <w:multiLevelType w:val="hybridMultilevel"/>
    <w:tmpl w:val="5CCA21EA"/>
    <w:lvl w:ilvl="0" w:tplc="2F7E3994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813C1"/>
    <w:multiLevelType w:val="hybridMultilevel"/>
    <w:tmpl w:val="05F49C50"/>
    <w:lvl w:ilvl="0" w:tplc="82300CEC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E1356"/>
    <w:multiLevelType w:val="hybridMultilevel"/>
    <w:tmpl w:val="35B4B2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B6D1F"/>
    <w:multiLevelType w:val="hybridMultilevel"/>
    <w:tmpl w:val="456A7860"/>
    <w:lvl w:ilvl="0" w:tplc="B774640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D78BD"/>
    <w:multiLevelType w:val="hybridMultilevel"/>
    <w:tmpl w:val="904C4D60"/>
    <w:lvl w:ilvl="0" w:tplc="51F0D846">
      <w:start w:val="3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C4963"/>
    <w:multiLevelType w:val="hybridMultilevel"/>
    <w:tmpl w:val="751880B2"/>
    <w:lvl w:ilvl="0" w:tplc="AF12DF7E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85149"/>
    <w:multiLevelType w:val="hybridMultilevel"/>
    <w:tmpl w:val="EDEAD9E0"/>
    <w:lvl w:ilvl="0" w:tplc="2782346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91528">
    <w:abstractNumId w:val="23"/>
  </w:num>
  <w:num w:numId="2" w16cid:durableId="944072587">
    <w:abstractNumId w:val="22"/>
  </w:num>
  <w:num w:numId="3" w16cid:durableId="382674900">
    <w:abstractNumId w:val="18"/>
  </w:num>
  <w:num w:numId="4" w16cid:durableId="986861265">
    <w:abstractNumId w:val="10"/>
  </w:num>
  <w:num w:numId="5" w16cid:durableId="2019849656">
    <w:abstractNumId w:val="1"/>
  </w:num>
  <w:num w:numId="6" w16cid:durableId="885331545">
    <w:abstractNumId w:val="21"/>
  </w:num>
  <w:num w:numId="7" w16cid:durableId="1074233302">
    <w:abstractNumId w:val="20"/>
  </w:num>
  <w:num w:numId="8" w16cid:durableId="1667630295">
    <w:abstractNumId w:val="16"/>
  </w:num>
  <w:num w:numId="9" w16cid:durableId="1854682757">
    <w:abstractNumId w:val="6"/>
  </w:num>
  <w:num w:numId="10" w16cid:durableId="685600176">
    <w:abstractNumId w:val="11"/>
  </w:num>
  <w:num w:numId="11" w16cid:durableId="543641687">
    <w:abstractNumId w:val="14"/>
  </w:num>
  <w:num w:numId="12" w16cid:durableId="1975065118">
    <w:abstractNumId w:val="3"/>
  </w:num>
  <w:num w:numId="13" w16cid:durableId="1889683820">
    <w:abstractNumId w:val="12"/>
  </w:num>
  <w:num w:numId="14" w16cid:durableId="681201890">
    <w:abstractNumId w:val="19"/>
  </w:num>
  <w:num w:numId="15" w16cid:durableId="1591279783">
    <w:abstractNumId w:val="4"/>
  </w:num>
  <w:num w:numId="16" w16cid:durableId="1438872190">
    <w:abstractNumId w:val="5"/>
  </w:num>
  <w:num w:numId="17" w16cid:durableId="344982711">
    <w:abstractNumId w:val="13"/>
  </w:num>
  <w:num w:numId="18" w16cid:durableId="1317345474">
    <w:abstractNumId w:val="17"/>
  </w:num>
  <w:num w:numId="19" w16cid:durableId="2136216807">
    <w:abstractNumId w:val="7"/>
  </w:num>
  <w:num w:numId="20" w16cid:durableId="349836497">
    <w:abstractNumId w:val="2"/>
  </w:num>
  <w:num w:numId="21" w16cid:durableId="384913958">
    <w:abstractNumId w:val="9"/>
  </w:num>
  <w:num w:numId="22" w16cid:durableId="2072848844">
    <w:abstractNumId w:val="0"/>
  </w:num>
  <w:num w:numId="23" w16cid:durableId="1107694847">
    <w:abstractNumId w:val="15"/>
  </w:num>
  <w:num w:numId="24" w16cid:durableId="178199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85"/>
    <w:rsid w:val="00001F24"/>
    <w:rsid w:val="000021F4"/>
    <w:rsid w:val="00004E93"/>
    <w:rsid w:val="000136D7"/>
    <w:rsid w:val="00013C9D"/>
    <w:rsid w:val="00013D73"/>
    <w:rsid w:val="000157FA"/>
    <w:rsid w:val="0001662B"/>
    <w:rsid w:val="00020AC9"/>
    <w:rsid w:val="00027EA3"/>
    <w:rsid w:val="00032028"/>
    <w:rsid w:val="00032564"/>
    <w:rsid w:val="00034121"/>
    <w:rsid w:val="000440EB"/>
    <w:rsid w:val="0005029E"/>
    <w:rsid w:val="00054673"/>
    <w:rsid w:val="000610DA"/>
    <w:rsid w:val="00062237"/>
    <w:rsid w:val="00062C87"/>
    <w:rsid w:val="00065685"/>
    <w:rsid w:val="000663B5"/>
    <w:rsid w:val="000665E2"/>
    <w:rsid w:val="00066A8A"/>
    <w:rsid w:val="00072A30"/>
    <w:rsid w:val="00073A63"/>
    <w:rsid w:val="00075446"/>
    <w:rsid w:val="000772AE"/>
    <w:rsid w:val="00077E8A"/>
    <w:rsid w:val="00080FD4"/>
    <w:rsid w:val="00082C59"/>
    <w:rsid w:val="00084254"/>
    <w:rsid w:val="00091562"/>
    <w:rsid w:val="00091D49"/>
    <w:rsid w:val="00091E5B"/>
    <w:rsid w:val="0009382E"/>
    <w:rsid w:val="000944E0"/>
    <w:rsid w:val="000A072C"/>
    <w:rsid w:val="000A4FBB"/>
    <w:rsid w:val="000A6A78"/>
    <w:rsid w:val="000B2DF4"/>
    <w:rsid w:val="000B310B"/>
    <w:rsid w:val="000B4A9D"/>
    <w:rsid w:val="000B5FF3"/>
    <w:rsid w:val="000C1C4D"/>
    <w:rsid w:val="000C3A22"/>
    <w:rsid w:val="000C6B4F"/>
    <w:rsid w:val="000D5A87"/>
    <w:rsid w:val="000D6F1F"/>
    <w:rsid w:val="000D7B09"/>
    <w:rsid w:val="000D7FD3"/>
    <w:rsid w:val="000E194E"/>
    <w:rsid w:val="000E4F2C"/>
    <w:rsid w:val="000E6577"/>
    <w:rsid w:val="000E694E"/>
    <w:rsid w:val="000E753B"/>
    <w:rsid w:val="000F57F1"/>
    <w:rsid w:val="001104E2"/>
    <w:rsid w:val="00110917"/>
    <w:rsid w:val="00110E37"/>
    <w:rsid w:val="00110F8E"/>
    <w:rsid w:val="00113D8C"/>
    <w:rsid w:val="00120624"/>
    <w:rsid w:val="0012156C"/>
    <w:rsid w:val="001304F6"/>
    <w:rsid w:val="00131DC5"/>
    <w:rsid w:val="001340F8"/>
    <w:rsid w:val="001407F3"/>
    <w:rsid w:val="00146388"/>
    <w:rsid w:val="00150092"/>
    <w:rsid w:val="001550FE"/>
    <w:rsid w:val="00155828"/>
    <w:rsid w:val="00156AF6"/>
    <w:rsid w:val="00161817"/>
    <w:rsid w:val="00162CC4"/>
    <w:rsid w:val="001647B3"/>
    <w:rsid w:val="00166ED2"/>
    <w:rsid w:val="00176433"/>
    <w:rsid w:val="0018092C"/>
    <w:rsid w:val="00181706"/>
    <w:rsid w:val="00184BB0"/>
    <w:rsid w:val="00190761"/>
    <w:rsid w:val="001963BB"/>
    <w:rsid w:val="001A0708"/>
    <w:rsid w:val="001A22F5"/>
    <w:rsid w:val="001A2742"/>
    <w:rsid w:val="001B786B"/>
    <w:rsid w:val="001C32DB"/>
    <w:rsid w:val="001C33FC"/>
    <w:rsid w:val="001C518B"/>
    <w:rsid w:val="001D00A5"/>
    <w:rsid w:val="001E1829"/>
    <w:rsid w:val="001E5503"/>
    <w:rsid w:val="001E7716"/>
    <w:rsid w:val="001F218D"/>
    <w:rsid w:val="001F35E1"/>
    <w:rsid w:val="00200C83"/>
    <w:rsid w:val="002014F7"/>
    <w:rsid w:val="00202DD3"/>
    <w:rsid w:val="00215E22"/>
    <w:rsid w:val="0022694F"/>
    <w:rsid w:val="00235393"/>
    <w:rsid w:val="00246BA0"/>
    <w:rsid w:val="00264A0A"/>
    <w:rsid w:val="00265CA3"/>
    <w:rsid w:val="002704CD"/>
    <w:rsid w:val="00270F3A"/>
    <w:rsid w:val="0028070D"/>
    <w:rsid w:val="002820C5"/>
    <w:rsid w:val="00282ED8"/>
    <w:rsid w:val="00290672"/>
    <w:rsid w:val="00290917"/>
    <w:rsid w:val="002915F3"/>
    <w:rsid w:val="0029467D"/>
    <w:rsid w:val="002A09C2"/>
    <w:rsid w:val="002A42FA"/>
    <w:rsid w:val="002A480D"/>
    <w:rsid w:val="002A7D58"/>
    <w:rsid w:val="002B63FD"/>
    <w:rsid w:val="002B749A"/>
    <w:rsid w:val="002C52C5"/>
    <w:rsid w:val="002D5463"/>
    <w:rsid w:val="002E1C45"/>
    <w:rsid w:val="002E2D2D"/>
    <w:rsid w:val="002E5673"/>
    <w:rsid w:val="002E7EE2"/>
    <w:rsid w:val="002F3249"/>
    <w:rsid w:val="002F461A"/>
    <w:rsid w:val="002F49BF"/>
    <w:rsid w:val="002F786B"/>
    <w:rsid w:val="00306932"/>
    <w:rsid w:val="003152C9"/>
    <w:rsid w:val="00315870"/>
    <w:rsid w:val="00316196"/>
    <w:rsid w:val="003250ED"/>
    <w:rsid w:val="00340A89"/>
    <w:rsid w:val="00341D84"/>
    <w:rsid w:val="003424EC"/>
    <w:rsid w:val="0034454C"/>
    <w:rsid w:val="00354969"/>
    <w:rsid w:val="00355438"/>
    <w:rsid w:val="00355D78"/>
    <w:rsid w:val="00355ED1"/>
    <w:rsid w:val="003575BF"/>
    <w:rsid w:val="003613CB"/>
    <w:rsid w:val="00363075"/>
    <w:rsid w:val="00364C2C"/>
    <w:rsid w:val="00366AF3"/>
    <w:rsid w:val="00367F4F"/>
    <w:rsid w:val="00370785"/>
    <w:rsid w:val="00371640"/>
    <w:rsid w:val="00374F87"/>
    <w:rsid w:val="00375256"/>
    <w:rsid w:val="00387799"/>
    <w:rsid w:val="00392897"/>
    <w:rsid w:val="00392E9E"/>
    <w:rsid w:val="003946DE"/>
    <w:rsid w:val="003948FA"/>
    <w:rsid w:val="00394B04"/>
    <w:rsid w:val="003A38DF"/>
    <w:rsid w:val="003A463F"/>
    <w:rsid w:val="003B09DC"/>
    <w:rsid w:val="003B10B7"/>
    <w:rsid w:val="003B313F"/>
    <w:rsid w:val="003B4145"/>
    <w:rsid w:val="003B4C22"/>
    <w:rsid w:val="003B63A8"/>
    <w:rsid w:val="003C1E19"/>
    <w:rsid w:val="003D36F0"/>
    <w:rsid w:val="003D3F73"/>
    <w:rsid w:val="003D5215"/>
    <w:rsid w:val="003D5D91"/>
    <w:rsid w:val="003E772C"/>
    <w:rsid w:val="003F1590"/>
    <w:rsid w:val="003F293B"/>
    <w:rsid w:val="003F5E07"/>
    <w:rsid w:val="003F6066"/>
    <w:rsid w:val="0040331F"/>
    <w:rsid w:val="00403C95"/>
    <w:rsid w:val="00404BCC"/>
    <w:rsid w:val="00405679"/>
    <w:rsid w:val="004061B9"/>
    <w:rsid w:val="004103D9"/>
    <w:rsid w:val="0041188F"/>
    <w:rsid w:val="00423DAC"/>
    <w:rsid w:val="00425DBF"/>
    <w:rsid w:val="00426531"/>
    <w:rsid w:val="00430DA2"/>
    <w:rsid w:val="004329C6"/>
    <w:rsid w:val="004338CA"/>
    <w:rsid w:val="004343B1"/>
    <w:rsid w:val="00434EB9"/>
    <w:rsid w:val="00436DD0"/>
    <w:rsid w:val="00442B5C"/>
    <w:rsid w:val="00451993"/>
    <w:rsid w:val="00453F14"/>
    <w:rsid w:val="00456442"/>
    <w:rsid w:val="00462200"/>
    <w:rsid w:val="00465A6E"/>
    <w:rsid w:val="00474099"/>
    <w:rsid w:val="004746FB"/>
    <w:rsid w:val="00474AC5"/>
    <w:rsid w:val="004804A5"/>
    <w:rsid w:val="00481D27"/>
    <w:rsid w:val="00484027"/>
    <w:rsid w:val="00486F74"/>
    <w:rsid w:val="00491CBC"/>
    <w:rsid w:val="004956AE"/>
    <w:rsid w:val="0049607C"/>
    <w:rsid w:val="00496CB2"/>
    <w:rsid w:val="004A2A30"/>
    <w:rsid w:val="004A2D54"/>
    <w:rsid w:val="004A572C"/>
    <w:rsid w:val="004A60FB"/>
    <w:rsid w:val="004B5CB6"/>
    <w:rsid w:val="004C322C"/>
    <w:rsid w:val="004C616B"/>
    <w:rsid w:val="004D2CD0"/>
    <w:rsid w:val="004D30FB"/>
    <w:rsid w:val="004D31CF"/>
    <w:rsid w:val="004F09D7"/>
    <w:rsid w:val="004F1EDD"/>
    <w:rsid w:val="004F38BF"/>
    <w:rsid w:val="004F5262"/>
    <w:rsid w:val="004F77D4"/>
    <w:rsid w:val="00500981"/>
    <w:rsid w:val="00501428"/>
    <w:rsid w:val="0050248F"/>
    <w:rsid w:val="00502DEE"/>
    <w:rsid w:val="005045E7"/>
    <w:rsid w:val="00510879"/>
    <w:rsid w:val="00510C33"/>
    <w:rsid w:val="005122A0"/>
    <w:rsid w:val="0052371C"/>
    <w:rsid w:val="0054038E"/>
    <w:rsid w:val="0054593A"/>
    <w:rsid w:val="00546E2A"/>
    <w:rsid w:val="00547877"/>
    <w:rsid w:val="00554C9F"/>
    <w:rsid w:val="005550A4"/>
    <w:rsid w:val="00557B57"/>
    <w:rsid w:val="005644BE"/>
    <w:rsid w:val="0057524E"/>
    <w:rsid w:val="00575A55"/>
    <w:rsid w:val="00583AC8"/>
    <w:rsid w:val="00584565"/>
    <w:rsid w:val="00593E99"/>
    <w:rsid w:val="005A2DEB"/>
    <w:rsid w:val="005A5999"/>
    <w:rsid w:val="005C25D5"/>
    <w:rsid w:val="005C47F7"/>
    <w:rsid w:val="005C4C28"/>
    <w:rsid w:val="005D0D0E"/>
    <w:rsid w:val="005D2605"/>
    <w:rsid w:val="005D449F"/>
    <w:rsid w:val="005D73BE"/>
    <w:rsid w:val="005E1C97"/>
    <w:rsid w:val="005E6515"/>
    <w:rsid w:val="005E7A8C"/>
    <w:rsid w:val="005F1F6B"/>
    <w:rsid w:val="005F3B7B"/>
    <w:rsid w:val="0060257F"/>
    <w:rsid w:val="00604E20"/>
    <w:rsid w:val="00604F63"/>
    <w:rsid w:val="00605989"/>
    <w:rsid w:val="006061BF"/>
    <w:rsid w:val="00607CF6"/>
    <w:rsid w:val="00610BB3"/>
    <w:rsid w:val="00613713"/>
    <w:rsid w:val="006224FB"/>
    <w:rsid w:val="006301A6"/>
    <w:rsid w:val="0063115F"/>
    <w:rsid w:val="00632159"/>
    <w:rsid w:val="00635995"/>
    <w:rsid w:val="006363DA"/>
    <w:rsid w:val="006432C0"/>
    <w:rsid w:val="006456EA"/>
    <w:rsid w:val="0065213B"/>
    <w:rsid w:val="00653983"/>
    <w:rsid w:val="00655CAA"/>
    <w:rsid w:val="006609C2"/>
    <w:rsid w:val="00663D75"/>
    <w:rsid w:val="0066478F"/>
    <w:rsid w:val="00667D12"/>
    <w:rsid w:val="00672B0F"/>
    <w:rsid w:val="00675E89"/>
    <w:rsid w:val="00682849"/>
    <w:rsid w:val="00695F46"/>
    <w:rsid w:val="006969F1"/>
    <w:rsid w:val="006A3C35"/>
    <w:rsid w:val="006A6D11"/>
    <w:rsid w:val="006B2259"/>
    <w:rsid w:val="006B3ECE"/>
    <w:rsid w:val="006C5754"/>
    <w:rsid w:val="006D03D9"/>
    <w:rsid w:val="006D6526"/>
    <w:rsid w:val="006D6C27"/>
    <w:rsid w:val="006E06BE"/>
    <w:rsid w:val="006E674D"/>
    <w:rsid w:val="006E6770"/>
    <w:rsid w:val="006F154A"/>
    <w:rsid w:val="00701992"/>
    <w:rsid w:val="0070363C"/>
    <w:rsid w:val="00712023"/>
    <w:rsid w:val="007144E9"/>
    <w:rsid w:val="007145C9"/>
    <w:rsid w:val="00714A1F"/>
    <w:rsid w:val="00715C36"/>
    <w:rsid w:val="0071729A"/>
    <w:rsid w:val="00717328"/>
    <w:rsid w:val="0072073D"/>
    <w:rsid w:val="00735DF6"/>
    <w:rsid w:val="00742C04"/>
    <w:rsid w:val="0074571D"/>
    <w:rsid w:val="00750962"/>
    <w:rsid w:val="00750A05"/>
    <w:rsid w:val="00752C05"/>
    <w:rsid w:val="00763A5D"/>
    <w:rsid w:val="00767018"/>
    <w:rsid w:val="0077196D"/>
    <w:rsid w:val="00771C92"/>
    <w:rsid w:val="00775599"/>
    <w:rsid w:val="00784532"/>
    <w:rsid w:val="00795586"/>
    <w:rsid w:val="00797DA3"/>
    <w:rsid w:val="007A17C3"/>
    <w:rsid w:val="007A4844"/>
    <w:rsid w:val="007A4BE6"/>
    <w:rsid w:val="007A5687"/>
    <w:rsid w:val="007B1DFE"/>
    <w:rsid w:val="007B33CE"/>
    <w:rsid w:val="007B7B81"/>
    <w:rsid w:val="007C1429"/>
    <w:rsid w:val="007C5441"/>
    <w:rsid w:val="007C7B61"/>
    <w:rsid w:val="007D1495"/>
    <w:rsid w:val="007D248E"/>
    <w:rsid w:val="007D5A52"/>
    <w:rsid w:val="007D5CA1"/>
    <w:rsid w:val="007D75C8"/>
    <w:rsid w:val="007E2C66"/>
    <w:rsid w:val="007F1021"/>
    <w:rsid w:val="007F12A3"/>
    <w:rsid w:val="007F1BD3"/>
    <w:rsid w:val="007F2DBB"/>
    <w:rsid w:val="007F7E7C"/>
    <w:rsid w:val="00806C63"/>
    <w:rsid w:val="00811321"/>
    <w:rsid w:val="0081166B"/>
    <w:rsid w:val="00816613"/>
    <w:rsid w:val="00821A81"/>
    <w:rsid w:val="00825F63"/>
    <w:rsid w:val="008322D8"/>
    <w:rsid w:val="00837E5B"/>
    <w:rsid w:val="008472D3"/>
    <w:rsid w:val="008472F9"/>
    <w:rsid w:val="00851067"/>
    <w:rsid w:val="0085416C"/>
    <w:rsid w:val="00854FF2"/>
    <w:rsid w:val="00855329"/>
    <w:rsid w:val="00856A7C"/>
    <w:rsid w:val="0086041F"/>
    <w:rsid w:val="008739E7"/>
    <w:rsid w:val="00874645"/>
    <w:rsid w:val="00881685"/>
    <w:rsid w:val="008844D9"/>
    <w:rsid w:val="008846F6"/>
    <w:rsid w:val="00887D7F"/>
    <w:rsid w:val="00891435"/>
    <w:rsid w:val="00891C3A"/>
    <w:rsid w:val="00895E64"/>
    <w:rsid w:val="008A3638"/>
    <w:rsid w:val="008A3A3B"/>
    <w:rsid w:val="008A7188"/>
    <w:rsid w:val="008B1BA3"/>
    <w:rsid w:val="008B68F7"/>
    <w:rsid w:val="008C276D"/>
    <w:rsid w:val="008C5CEC"/>
    <w:rsid w:val="008C6366"/>
    <w:rsid w:val="008E0A69"/>
    <w:rsid w:val="008E556F"/>
    <w:rsid w:val="008F0631"/>
    <w:rsid w:val="008F17D7"/>
    <w:rsid w:val="008F2058"/>
    <w:rsid w:val="008F2BFB"/>
    <w:rsid w:val="008F3731"/>
    <w:rsid w:val="009020E3"/>
    <w:rsid w:val="00902E5B"/>
    <w:rsid w:val="009038BE"/>
    <w:rsid w:val="00903C74"/>
    <w:rsid w:val="00904B69"/>
    <w:rsid w:val="009064CE"/>
    <w:rsid w:val="0090663A"/>
    <w:rsid w:val="00910AD1"/>
    <w:rsid w:val="00910B65"/>
    <w:rsid w:val="00912233"/>
    <w:rsid w:val="00914021"/>
    <w:rsid w:val="00917410"/>
    <w:rsid w:val="0092334A"/>
    <w:rsid w:val="009264D0"/>
    <w:rsid w:val="0093360A"/>
    <w:rsid w:val="009358D3"/>
    <w:rsid w:val="00935A2F"/>
    <w:rsid w:val="0093738F"/>
    <w:rsid w:val="00955433"/>
    <w:rsid w:val="00955764"/>
    <w:rsid w:val="00957A6F"/>
    <w:rsid w:val="0096086D"/>
    <w:rsid w:val="009649C2"/>
    <w:rsid w:val="00965DEB"/>
    <w:rsid w:val="00966A04"/>
    <w:rsid w:val="00970E83"/>
    <w:rsid w:val="009738DE"/>
    <w:rsid w:val="009750C4"/>
    <w:rsid w:val="00980BEB"/>
    <w:rsid w:val="00980D94"/>
    <w:rsid w:val="009820DC"/>
    <w:rsid w:val="00982F7B"/>
    <w:rsid w:val="009843D4"/>
    <w:rsid w:val="00986361"/>
    <w:rsid w:val="009867A7"/>
    <w:rsid w:val="0099076D"/>
    <w:rsid w:val="00991B64"/>
    <w:rsid w:val="0099690F"/>
    <w:rsid w:val="00996D38"/>
    <w:rsid w:val="00997F89"/>
    <w:rsid w:val="009A10C6"/>
    <w:rsid w:val="009A3B75"/>
    <w:rsid w:val="009A4503"/>
    <w:rsid w:val="009B008F"/>
    <w:rsid w:val="009C2D11"/>
    <w:rsid w:val="009C3E81"/>
    <w:rsid w:val="009C3FDE"/>
    <w:rsid w:val="009C4CE9"/>
    <w:rsid w:val="009F28F5"/>
    <w:rsid w:val="009F5763"/>
    <w:rsid w:val="009F5CD5"/>
    <w:rsid w:val="009F6777"/>
    <w:rsid w:val="00A06310"/>
    <w:rsid w:val="00A07846"/>
    <w:rsid w:val="00A17CA6"/>
    <w:rsid w:val="00A22C2C"/>
    <w:rsid w:val="00A22FBF"/>
    <w:rsid w:val="00A2670C"/>
    <w:rsid w:val="00A3040C"/>
    <w:rsid w:val="00A346EF"/>
    <w:rsid w:val="00A53E9E"/>
    <w:rsid w:val="00A54087"/>
    <w:rsid w:val="00A54161"/>
    <w:rsid w:val="00A57024"/>
    <w:rsid w:val="00A61757"/>
    <w:rsid w:val="00A63939"/>
    <w:rsid w:val="00A65690"/>
    <w:rsid w:val="00A65FB0"/>
    <w:rsid w:val="00A66A23"/>
    <w:rsid w:val="00A743C6"/>
    <w:rsid w:val="00A8148C"/>
    <w:rsid w:val="00A831E7"/>
    <w:rsid w:val="00A85640"/>
    <w:rsid w:val="00A86AFC"/>
    <w:rsid w:val="00A91DC1"/>
    <w:rsid w:val="00A9412B"/>
    <w:rsid w:val="00A95D91"/>
    <w:rsid w:val="00A95DFC"/>
    <w:rsid w:val="00A97B5C"/>
    <w:rsid w:val="00AA520C"/>
    <w:rsid w:val="00AB4B8F"/>
    <w:rsid w:val="00AB536E"/>
    <w:rsid w:val="00AB69AD"/>
    <w:rsid w:val="00AB747E"/>
    <w:rsid w:val="00AC31F4"/>
    <w:rsid w:val="00AC57E5"/>
    <w:rsid w:val="00AC6B15"/>
    <w:rsid w:val="00AD2569"/>
    <w:rsid w:val="00AD4124"/>
    <w:rsid w:val="00AD7DB5"/>
    <w:rsid w:val="00AE0761"/>
    <w:rsid w:val="00AE07A3"/>
    <w:rsid w:val="00AE0E7B"/>
    <w:rsid w:val="00AE2412"/>
    <w:rsid w:val="00AE318F"/>
    <w:rsid w:val="00AF0066"/>
    <w:rsid w:val="00AF06DD"/>
    <w:rsid w:val="00AF237D"/>
    <w:rsid w:val="00AF27B7"/>
    <w:rsid w:val="00AF63B5"/>
    <w:rsid w:val="00AF664D"/>
    <w:rsid w:val="00B005BD"/>
    <w:rsid w:val="00B03444"/>
    <w:rsid w:val="00B04F23"/>
    <w:rsid w:val="00B062A5"/>
    <w:rsid w:val="00B14C16"/>
    <w:rsid w:val="00B14E68"/>
    <w:rsid w:val="00B16A5C"/>
    <w:rsid w:val="00B23669"/>
    <w:rsid w:val="00B24860"/>
    <w:rsid w:val="00B33789"/>
    <w:rsid w:val="00B369C9"/>
    <w:rsid w:val="00B434EA"/>
    <w:rsid w:val="00B46BC1"/>
    <w:rsid w:val="00B519C8"/>
    <w:rsid w:val="00B54185"/>
    <w:rsid w:val="00B54A00"/>
    <w:rsid w:val="00B56AFB"/>
    <w:rsid w:val="00B576A5"/>
    <w:rsid w:val="00B701FD"/>
    <w:rsid w:val="00B74DC0"/>
    <w:rsid w:val="00B862DB"/>
    <w:rsid w:val="00B922EE"/>
    <w:rsid w:val="00B9596E"/>
    <w:rsid w:val="00BA2FA0"/>
    <w:rsid w:val="00BA3D8E"/>
    <w:rsid w:val="00BA40B4"/>
    <w:rsid w:val="00BA49EB"/>
    <w:rsid w:val="00BB0A1B"/>
    <w:rsid w:val="00BB0F85"/>
    <w:rsid w:val="00BB284C"/>
    <w:rsid w:val="00BB725F"/>
    <w:rsid w:val="00BC0132"/>
    <w:rsid w:val="00BC0598"/>
    <w:rsid w:val="00BC6B47"/>
    <w:rsid w:val="00BC7A4D"/>
    <w:rsid w:val="00BD0526"/>
    <w:rsid w:val="00BD2784"/>
    <w:rsid w:val="00BD46B2"/>
    <w:rsid w:val="00BE4710"/>
    <w:rsid w:val="00BF11C6"/>
    <w:rsid w:val="00C003B1"/>
    <w:rsid w:val="00C108FA"/>
    <w:rsid w:val="00C11004"/>
    <w:rsid w:val="00C111FE"/>
    <w:rsid w:val="00C1497F"/>
    <w:rsid w:val="00C20B9C"/>
    <w:rsid w:val="00C21E75"/>
    <w:rsid w:val="00C2509E"/>
    <w:rsid w:val="00C2778C"/>
    <w:rsid w:val="00C27F6A"/>
    <w:rsid w:val="00C3159C"/>
    <w:rsid w:val="00C35841"/>
    <w:rsid w:val="00C37E33"/>
    <w:rsid w:val="00C409C6"/>
    <w:rsid w:val="00C41C74"/>
    <w:rsid w:val="00C4260E"/>
    <w:rsid w:val="00C43C76"/>
    <w:rsid w:val="00C47B63"/>
    <w:rsid w:val="00C47F8B"/>
    <w:rsid w:val="00C50567"/>
    <w:rsid w:val="00C56A08"/>
    <w:rsid w:val="00C742DD"/>
    <w:rsid w:val="00C846F6"/>
    <w:rsid w:val="00C86B1E"/>
    <w:rsid w:val="00C94B4E"/>
    <w:rsid w:val="00C96048"/>
    <w:rsid w:val="00C96214"/>
    <w:rsid w:val="00C974EE"/>
    <w:rsid w:val="00C9797F"/>
    <w:rsid w:val="00CA1FB9"/>
    <w:rsid w:val="00CA73C1"/>
    <w:rsid w:val="00CA79D7"/>
    <w:rsid w:val="00CB7BE6"/>
    <w:rsid w:val="00CC0E23"/>
    <w:rsid w:val="00CC40B9"/>
    <w:rsid w:val="00CD7E39"/>
    <w:rsid w:val="00CE2EFB"/>
    <w:rsid w:val="00CE5A10"/>
    <w:rsid w:val="00CF2D6E"/>
    <w:rsid w:val="00CF59C5"/>
    <w:rsid w:val="00D02C78"/>
    <w:rsid w:val="00D02FD8"/>
    <w:rsid w:val="00D10832"/>
    <w:rsid w:val="00D11A3A"/>
    <w:rsid w:val="00D272B4"/>
    <w:rsid w:val="00D3104C"/>
    <w:rsid w:val="00D42152"/>
    <w:rsid w:val="00D422DC"/>
    <w:rsid w:val="00D43D89"/>
    <w:rsid w:val="00D50FDD"/>
    <w:rsid w:val="00D513E4"/>
    <w:rsid w:val="00D53B8E"/>
    <w:rsid w:val="00D56A51"/>
    <w:rsid w:val="00D602AC"/>
    <w:rsid w:val="00D70824"/>
    <w:rsid w:val="00D760A9"/>
    <w:rsid w:val="00D760CF"/>
    <w:rsid w:val="00D76756"/>
    <w:rsid w:val="00D80672"/>
    <w:rsid w:val="00D8335C"/>
    <w:rsid w:val="00D925B8"/>
    <w:rsid w:val="00D949D0"/>
    <w:rsid w:val="00DA3B66"/>
    <w:rsid w:val="00DA4453"/>
    <w:rsid w:val="00DA4D95"/>
    <w:rsid w:val="00DA6836"/>
    <w:rsid w:val="00DA733A"/>
    <w:rsid w:val="00DB2417"/>
    <w:rsid w:val="00DB3989"/>
    <w:rsid w:val="00DB491D"/>
    <w:rsid w:val="00DC05A3"/>
    <w:rsid w:val="00DC6A0C"/>
    <w:rsid w:val="00DE0CC7"/>
    <w:rsid w:val="00DE49B7"/>
    <w:rsid w:val="00DF67EF"/>
    <w:rsid w:val="00DF7C77"/>
    <w:rsid w:val="00E03DB3"/>
    <w:rsid w:val="00E04EB8"/>
    <w:rsid w:val="00E06757"/>
    <w:rsid w:val="00E126D5"/>
    <w:rsid w:val="00E1280F"/>
    <w:rsid w:val="00E178A3"/>
    <w:rsid w:val="00E17B2C"/>
    <w:rsid w:val="00E20DE4"/>
    <w:rsid w:val="00E21C98"/>
    <w:rsid w:val="00E26EA1"/>
    <w:rsid w:val="00E27DEF"/>
    <w:rsid w:val="00E30081"/>
    <w:rsid w:val="00E32578"/>
    <w:rsid w:val="00E32743"/>
    <w:rsid w:val="00E342C7"/>
    <w:rsid w:val="00E354F6"/>
    <w:rsid w:val="00E356BD"/>
    <w:rsid w:val="00E412D0"/>
    <w:rsid w:val="00E4317C"/>
    <w:rsid w:val="00E46889"/>
    <w:rsid w:val="00E519A2"/>
    <w:rsid w:val="00E53D4C"/>
    <w:rsid w:val="00E5571D"/>
    <w:rsid w:val="00E5677B"/>
    <w:rsid w:val="00E609ED"/>
    <w:rsid w:val="00E61AC1"/>
    <w:rsid w:val="00E63703"/>
    <w:rsid w:val="00E64DDC"/>
    <w:rsid w:val="00E704C6"/>
    <w:rsid w:val="00E77545"/>
    <w:rsid w:val="00E775AC"/>
    <w:rsid w:val="00E77A47"/>
    <w:rsid w:val="00E77B98"/>
    <w:rsid w:val="00E822DD"/>
    <w:rsid w:val="00E8471E"/>
    <w:rsid w:val="00E8535B"/>
    <w:rsid w:val="00E91E8C"/>
    <w:rsid w:val="00E93C87"/>
    <w:rsid w:val="00E942DA"/>
    <w:rsid w:val="00E94EF3"/>
    <w:rsid w:val="00E95336"/>
    <w:rsid w:val="00E959E9"/>
    <w:rsid w:val="00E95E00"/>
    <w:rsid w:val="00E97167"/>
    <w:rsid w:val="00EA5A14"/>
    <w:rsid w:val="00EA778F"/>
    <w:rsid w:val="00EB1611"/>
    <w:rsid w:val="00EB468A"/>
    <w:rsid w:val="00EB6FB8"/>
    <w:rsid w:val="00EC01E6"/>
    <w:rsid w:val="00EC3DC1"/>
    <w:rsid w:val="00EC4845"/>
    <w:rsid w:val="00EC6CC2"/>
    <w:rsid w:val="00ED1C27"/>
    <w:rsid w:val="00ED3D73"/>
    <w:rsid w:val="00ED3FA6"/>
    <w:rsid w:val="00ED5CDF"/>
    <w:rsid w:val="00ED6DCA"/>
    <w:rsid w:val="00EE1F30"/>
    <w:rsid w:val="00EF0944"/>
    <w:rsid w:val="00EF53CD"/>
    <w:rsid w:val="00EF7BE7"/>
    <w:rsid w:val="00F05141"/>
    <w:rsid w:val="00F07267"/>
    <w:rsid w:val="00F133A4"/>
    <w:rsid w:val="00F159E2"/>
    <w:rsid w:val="00F167CB"/>
    <w:rsid w:val="00F16AA1"/>
    <w:rsid w:val="00F2164E"/>
    <w:rsid w:val="00F22F9A"/>
    <w:rsid w:val="00F240EB"/>
    <w:rsid w:val="00F315FE"/>
    <w:rsid w:val="00F31FE6"/>
    <w:rsid w:val="00F409F6"/>
    <w:rsid w:val="00F40B12"/>
    <w:rsid w:val="00F45BB8"/>
    <w:rsid w:val="00F4739C"/>
    <w:rsid w:val="00F53F80"/>
    <w:rsid w:val="00F5697E"/>
    <w:rsid w:val="00F57625"/>
    <w:rsid w:val="00F6024C"/>
    <w:rsid w:val="00F673A2"/>
    <w:rsid w:val="00F67B89"/>
    <w:rsid w:val="00F71A10"/>
    <w:rsid w:val="00F72A3E"/>
    <w:rsid w:val="00F74B67"/>
    <w:rsid w:val="00F7577B"/>
    <w:rsid w:val="00F8348D"/>
    <w:rsid w:val="00F91726"/>
    <w:rsid w:val="00F92AA5"/>
    <w:rsid w:val="00FB307B"/>
    <w:rsid w:val="00FB3B53"/>
    <w:rsid w:val="00FB551B"/>
    <w:rsid w:val="00FC2947"/>
    <w:rsid w:val="00FC5C5E"/>
    <w:rsid w:val="00FC69D9"/>
    <w:rsid w:val="00FD28C1"/>
    <w:rsid w:val="00FD429E"/>
    <w:rsid w:val="00FD7412"/>
    <w:rsid w:val="00FD7EBD"/>
    <w:rsid w:val="00FE0F9C"/>
    <w:rsid w:val="00FE6F42"/>
    <w:rsid w:val="00FE7EF3"/>
    <w:rsid w:val="00FF1703"/>
    <w:rsid w:val="00FF1EF9"/>
    <w:rsid w:val="00FF2D3F"/>
    <w:rsid w:val="00FF69E1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16181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1817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1402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052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52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526"/>
    <w:rPr>
      <w:rFonts w:asciiTheme="minorHAnsi" w:eastAsiaTheme="minorHAnsi" w:hAnsiTheme="minorHAnsi" w:cstheme="minorBidi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465A6E"/>
    <w:pPr>
      <w:ind w:left="720"/>
      <w:contextualSpacing/>
    </w:pPr>
  </w:style>
  <w:style w:type="paragraph" w:styleId="berarbeitung">
    <w:name w:val="Revision"/>
    <w:hidden/>
    <w:uiPriority w:val="99"/>
    <w:semiHidden/>
    <w:rsid w:val="00910A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rmanpropertypartners.de/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4FF1-D833-4B61-B236-F6B454FC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Keller, Yvonne</dc:creator>
  <cp:keywords/>
  <cp:lastModifiedBy>Katharina Koester</cp:lastModifiedBy>
  <cp:revision>2</cp:revision>
  <cp:lastPrinted>2022-03-30T15:12:00Z</cp:lastPrinted>
  <dcterms:created xsi:type="dcterms:W3CDTF">2025-01-07T14:20:00Z</dcterms:created>
  <dcterms:modified xsi:type="dcterms:W3CDTF">2025-01-07T14:20:00Z</dcterms:modified>
</cp:coreProperties>
</file>