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29AC2" w14:textId="1A26D971" w:rsidR="00732C71" w:rsidRPr="00792252" w:rsidRDefault="001C0EBD" w:rsidP="00944EFE">
      <w:pPr>
        <w:pStyle w:val="Titel"/>
        <w:spacing w:line="300" w:lineRule="atLeast"/>
      </w:pPr>
      <w:r>
        <w:rPr>
          <w:noProof/>
        </w:rPr>
        <w:drawing>
          <wp:anchor distT="0" distB="0" distL="114300" distR="114300" simplePos="0" relativeHeight="251661312" behindDoc="0" locked="0" layoutInCell="1" allowOverlap="1" wp14:anchorId="3E36FFA3" wp14:editId="047FE559">
            <wp:simplePos x="0" y="0"/>
            <wp:positionH relativeFrom="margin">
              <wp:posOffset>3372485</wp:posOffset>
            </wp:positionH>
            <wp:positionV relativeFrom="paragraph">
              <wp:posOffset>-613409</wp:posOffset>
            </wp:positionV>
            <wp:extent cx="2683510" cy="1131480"/>
            <wp:effectExtent l="0" t="0" r="2540" b="0"/>
            <wp:wrapNone/>
            <wp:docPr id="15" name="Bild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0">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9017" cy="1146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C71">
        <w:rPr>
          <w:noProof/>
        </w:rPr>
        <mc:AlternateContent>
          <mc:Choice Requires="wps">
            <w:drawing>
              <wp:anchor distT="0" distB="0" distL="114300" distR="114300" simplePos="0" relativeHeight="251659264" behindDoc="0" locked="0" layoutInCell="1" allowOverlap="1" wp14:anchorId="358661E5" wp14:editId="7F6666AE">
                <wp:simplePos x="0" y="0"/>
                <wp:positionH relativeFrom="column">
                  <wp:posOffset>4688205</wp:posOffset>
                </wp:positionH>
                <wp:positionV relativeFrom="paragraph">
                  <wp:posOffset>741680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1964A41E" w14:textId="77777777" w:rsidR="00732C71" w:rsidRDefault="00523E20" w:rsidP="00732C71">
                            <w:r>
                              <w:t>13</w:t>
                            </w:r>
                            <w:r w:rsidR="00732C71">
                              <w:t xml:space="preserve">. </w:t>
                            </w:r>
                            <w:r>
                              <w:t>Mai</w:t>
                            </w:r>
                            <w:r w:rsidR="00732C71">
                              <w:t xml:space="preserve"> 202</w:t>
                            </w:r>
                            <w:r w:rsidR="00C76C43">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661E5" id="_x0000_t202" coordsize="21600,21600" o:spt="202" path="m,l,21600r21600,l21600,xe">
                <v:stroke joinstyle="miter"/>
                <v:path gradientshapeok="t" o:connecttype="rect"/>
              </v:shapetype>
              <v:shape id="Textfeld 2" o:spid="_x0000_s1026" type="#_x0000_t202" style="position:absolute;left:0;text-align:left;margin-left:369.15pt;margin-top:58.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" stroked="f">
                <v:textbox>
                  <w:txbxContent>
                    <w:p w14:paraId="1964A41E" w14:textId="77777777" w:rsidR="00732C71" w:rsidRDefault="00523E20" w:rsidP="00732C71">
                      <w:r>
                        <w:t>13</w:t>
                      </w:r>
                      <w:r w:rsidR="00732C71">
                        <w:t xml:space="preserve">. </w:t>
                      </w:r>
                      <w:r>
                        <w:t>Mai</w:t>
                      </w:r>
                      <w:r w:rsidR="00732C71">
                        <w:t xml:space="preserve"> 202</w:t>
                      </w:r>
                      <w:r w:rsidR="00C76C43">
                        <w:t>4</w:t>
                      </w:r>
                    </w:p>
                  </w:txbxContent>
                </v:textbox>
              </v:shape>
            </w:pict>
          </mc:Fallback>
        </mc:AlternateContent>
      </w:r>
      <w:r w:rsidR="000C1023">
        <w:t>Anmeldeschluss in zwei Tagen</w:t>
      </w:r>
    </w:p>
    <w:p w14:paraId="27D7EE5A" w14:textId="00CBFFA2" w:rsidR="00732C71" w:rsidRPr="00BF12CE" w:rsidRDefault="000C1023" w:rsidP="00944EFE">
      <w:pPr>
        <w:pStyle w:val="2bold"/>
        <w:spacing w:line="300" w:lineRule="atLeast"/>
        <w:rPr>
          <w:rStyle w:val="TitelZchn"/>
          <w:b/>
          <w:bCs w:val="0"/>
          <w:sz w:val="20"/>
        </w:rPr>
      </w:pPr>
      <w:r>
        <w:t xml:space="preserve">Bundespräsident und DBU laden zur </w:t>
      </w:r>
      <w:r w:rsidR="00254C62">
        <w:t>„</w:t>
      </w:r>
      <w:r>
        <w:t>Woche der Umwelt</w:t>
      </w:r>
      <w:r w:rsidR="00254C62">
        <w:t>“</w:t>
      </w:r>
    </w:p>
    <w:p w14:paraId="21DFBF80" w14:textId="4F1EC2E0" w:rsidR="00732C71" w:rsidRDefault="00732C71" w:rsidP="00732C71">
      <w:pPr>
        <w:pStyle w:val="Default"/>
      </w:pPr>
    </w:p>
    <w:p w14:paraId="1FC24BF2" w14:textId="35117FEB"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167E0EE9" wp14:editId="73491C08">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193DA743"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E0EE9"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14:paraId="193DA743"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bookmarkStart w:id="0" w:name="_Hlk166059940"/>
      <w:r w:rsidR="00627624">
        <w:t xml:space="preserve">Der Countdown läuft: </w:t>
      </w:r>
      <w:r w:rsidR="000510C1">
        <w:t xml:space="preserve">In zwei Tagen </w:t>
      </w:r>
      <w:r w:rsidR="00324605">
        <w:t xml:space="preserve">ist für Bürgerinnen und Bürger Anmeldeschluss für die kostenlose Teilnahme an der </w:t>
      </w:r>
      <w:r w:rsidR="00627624">
        <w:t>„Woche der Umwelt“ auf Einladung des Bundespräsidenten und der Deutschen Bundesstiftung Umwelt (DBU)</w:t>
      </w:r>
      <w:r w:rsidR="00324605">
        <w:t xml:space="preserve">. Wer </w:t>
      </w:r>
      <w:r w:rsidR="00627624">
        <w:t xml:space="preserve">im Park von Schloss Bellevue </w:t>
      </w:r>
      <w:r w:rsidR="00324605">
        <w:t>am Amtssitz von Bundespräsident Frank-Walter Steinmeier diese</w:t>
      </w:r>
      <w:r w:rsidR="000510C1">
        <w:t xml:space="preserve"> Innovationsschau mit Ideen und Lösungen für mehr Umweltschutz</w:t>
      </w:r>
      <w:r w:rsidR="00324605">
        <w:t xml:space="preserve"> live erleben will, muss sich</w:t>
      </w:r>
      <w:r w:rsidR="004C5B43">
        <w:t xml:space="preserve"> bis zum 15</w:t>
      </w:r>
      <w:r w:rsidR="000C1023">
        <w:t>.</w:t>
      </w:r>
      <w:r w:rsidR="004C5B43">
        <w:t xml:space="preserve"> Mai</w:t>
      </w:r>
      <w:r w:rsidR="00324605">
        <w:t xml:space="preserve"> unter folgendem Link anmelden: </w:t>
      </w:r>
      <w:hyperlink r:id="rId8" w:history="1">
        <w:r w:rsidR="00324605" w:rsidRPr="00060F8F">
          <w:rPr>
            <w:rStyle w:val="Hyperlink"/>
          </w:rPr>
          <w:t>www.dbu.de/anmeldung-wdu</w:t>
        </w:r>
      </w:hyperlink>
      <w:bookmarkEnd w:id="0"/>
      <w:r w:rsidR="00324605">
        <w:rPr>
          <w:rStyle w:val="Hyperlink"/>
          <w:u w:val="none"/>
        </w:rPr>
        <w:t>.</w:t>
      </w:r>
      <w:r w:rsidR="000510C1">
        <w:t xml:space="preserve"> </w:t>
      </w:r>
    </w:p>
    <w:p w14:paraId="7BE85076" w14:textId="4C526434" w:rsidR="00B72A5D" w:rsidRPr="003E6A2B" w:rsidRDefault="00CC32C4" w:rsidP="00B72A5D">
      <w:pPr>
        <w:pStyle w:val="KeinLeerraum"/>
      </w:pPr>
      <w:r>
        <w:t>„Fundgrube an herausragenden Projekten für den Schutz der Erde“</w:t>
      </w:r>
      <w:r w:rsidR="00B72A5D" w:rsidRPr="003E6A2B">
        <w:t xml:space="preserve"> </w:t>
      </w:r>
    </w:p>
    <w:p w14:paraId="1A63BEFF" w14:textId="6ADA67EC" w:rsidR="00732C71" w:rsidRDefault="002B5F16" w:rsidP="00944EFE">
      <w:pPr>
        <w:pStyle w:val="Textklein"/>
        <w:spacing w:after="240" w:line="300" w:lineRule="atLeast"/>
        <w:rPr>
          <w:color w:val="auto"/>
          <w:sz w:val="18"/>
        </w:rPr>
      </w:pPr>
      <w:r>
        <w:rPr>
          <w:color w:val="auto"/>
          <w:sz w:val="18"/>
        </w:rPr>
        <w:t xml:space="preserve">DBU-Generalsekretär Alexander Bonde verspricht „ein spannendes Angebot für Diskussion und Informationen“. </w:t>
      </w:r>
      <w:r w:rsidR="004C5B43">
        <w:rPr>
          <w:color w:val="auto"/>
          <w:sz w:val="18"/>
        </w:rPr>
        <w:t xml:space="preserve">Neben einem breitgefächerten Programm auf Haupt- und Fachbühne und in rund 70 Fachforen </w:t>
      </w:r>
      <w:r>
        <w:rPr>
          <w:color w:val="auto"/>
          <w:sz w:val="18"/>
        </w:rPr>
        <w:t>sei</w:t>
      </w:r>
      <w:r w:rsidR="004C5B43">
        <w:rPr>
          <w:color w:val="auto"/>
          <w:sz w:val="18"/>
        </w:rPr>
        <w:t xml:space="preserve"> die </w:t>
      </w:r>
      <w:r>
        <w:rPr>
          <w:color w:val="auto"/>
          <w:sz w:val="18"/>
        </w:rPr>
        <w:t>„</w:t>
      </w:r>
      <w:r w:rsidR="004C5B43">
        <w:rPr>
          <w:color w:val="auto"/>
          <w:sz w:val="18"/>
        </w:rPr>
        <w:t>Woche der Umwelt</w:t>
      </w:r>
      <w:r>
        <w:rPr>
          <w:color w:val="auto"/>
          <w:sz w:val="18"/>
        </w:rPr>
        <w:t>“</w:t>
      </w:r>
      <w:r w:rsidR="004C5B43">
        <w:rPr>
          <w:color w:val="auto"/>
          <w:sz w:val="18"/>
        </w:rPr>
        <w:t xml:space="preserve"> geprägt von den rund 190 Ausstellenden aus ganz Deutschland</w:t>
      </w:r>
      <w:r>
        <w:rPr>
          <w:color w:val="auto"/>
          <w:sz w:val="18"/>
        </w:rPr>
        <w:t>.</w:t>
      </w:r>
      <w:r w:rsidR="004C5B43">
        <w:rPr>
          <w:color w:val="auto"/>
          <w:sz w:val="18"/>
        </w:rPr>
        <w:t xml:space="preserve"> „Sie alle präsentieren eine Fundgrube an </w:t>
      </w:r>
      <w:r w:rsidR="00975DEF">
        <w:rPr>
          <w:color w:val="auto"/>
          <w:sz w:val="18"/>
        </w:rPr>
        <w:t>herausragenden Projekten,</w:t>
      </w:r>
      <w:r>
        <w:rPr>
          <w:color w:val="auto"/>
          <w:sz w:val="18"/>
        </w:rPr>
        <w:t xml:space="preserve"> Technologien und Geschäftsideen,</w:t>
      </w:r>
      <w:r w:rsidR="00975DEF">
        <w:rPr>
          <w:color w:val="auto"/>
          <w:sz w:val="18"/>
        </w:rPr>
        <w:t xml:space="preserve"> </w:t>
      </w:r>
      <w:r w:rsidR="000C1023">
        <w:rPr>
          <w:color w:val="auto"/>
          <w:sz w:val="18"/>
        </w:rPr>
        <w:t xml:space="preserve">die uns beim Schutz </w:t>
      </w:r>
      <w:r>
        <w:rPr>
          <w:color w:val="auto"/>
          <w:sz w:val="18"/>
        </w:rPr>
        <w:t>von Klima und Natur</w:t>
      </w:r>
      <w:r w:rsidR="000C1023">
        <w:rPr>
          <w:color w:val="auto"/>
          <w:sz w:val="18"/>
        </w:rPr>
        <w:t xml:space="preserve"> voranbringen.“ Die Ausstellenden, so Bonde, „zeigen, was alles in der Praxis möglich ist“.</w:t>
      </w:r>
    </w:p>
    <w:p w14:paraId="7FA3077D" w14:textId="45229456" w:rsidR="00627624" w:rsidRPr="004C5B43" w:rsidRDefault="00CC32C4" w:rsidP="00627624">
      <w:pPr>
        <w:pStyle w:val="KeinLeerraum"/>
      </w:pPr>
      <w:r>
        <w:t>Vision: Wasserstoffproduktion auf hoher See</w:t>
      </w:r>
      <w:r w:rsidR="00627624" w:rsidRPr="004C5B43">
        <w:t xml:space="preserve"> </w:t>
      </w:r>
    </w:p>
    <w:p w14:paraId="2C6331DC" w14:textId="245E9EE6" w:rsidR="00627624" w:rsidRPr="00485F65" w:rsidRDefault="007E0CD2" w:rsidP="00944EFE">
      <w:pPr>
        <w:pStyle w:val="Textklein"/>
        <w:spacing w:after="240" w:line="300" w:lineRule="atLeast"/>
        <w:rPr>
          <w:color w:val="auto"/>
          <w:sz w:val="18"/>
        </w:rPr>
      </w:pPr>
      <w:r>
        <w:rPr>
          <w:noProof/>
        </w:rPr>
        <mc:AlternateContent>
          <mc:Choice Requires="wps">
            <w:drawing>
              <wp:anchor distT="0" distB="0" distL="114300" distR="114300" simplePos="0" relativeHeight="251663360" behindDoc="1" locked="0" layoutInCell="1" allowOverlap="1" wp14:anchorId="2504290D" wp14:editId="6A9585A2">
                <wp:simplePos x="0" y="0"/>
                <wp:positionH relativeFrom="margin">
                  <wp:align>right</wp:align>
                </wp:positionH>
                <wp:positionV relativeFrom="paragraph">
                  <wp:posOffset>2353310</wp:posOffset>
                </wp:positionV>
                <wp:extent cx="2207895" cy="525145"/>
                <wp:effectExtent l="0" t="0" r="20955" b="27305"/>
                <wp:wrapTight wrapText="bothSides">
                  <wp:wrapPolygon edited="0">
                    <wp:start x="0" y="0"/>
                    <wp:lineTo x="0" y="21940"/>
                    <wp:lineTo x="21619" y="21940"/>
                    <wp:lineTo x="21619" y="0"/>
                    <wp:lineTo x="0" y="0"/>
                  </wp:wrapPolygon>
                </wp:wrapTight>
                <wp:docPr id="3" name="Textfeld 3"/>
                <wp:cNvGraphicFramePr/>
                <a:graphic xmlns:a="http://schemas.openxmlformats.org/drawingml/2006/main">
                  <a:graphicData uri="http://schemas.microsoft.com/office/word/2010/wordprocessingShape">
                    <wps:wsp>
                      <wps:cNvSpPr txBox="1"/>
                      <wps:spPr>
                        <a:xfrm>
                          <a:off x="0" y="0"/>
                          <a:ext cx="2207895" cy="525145"/>
                        </a:xfrm>
                        <a:prstGeom prst="rect">
                          <a:avLst/>
                        </a:prstGeom>
                        <a:solidFill>
                          <a:schemeClr val="lt1"/>
                        </a:solidFill>
                        <a:ln w="6350">
                          <a:solidFill>
                            <a:prstClr val="black"/>
                          </a:solidFill>
                        </a:ln>
                      </wps:spPr>
                      <wps:txbx>
                        <w:txbxContent>
                          <w:p w14:paraId="1DF55BF5" w14:textId="14FB09E9" w:rsidR="00557591" w:rsidRPr="00557591" w:rsidRDefault="00557591">
                            <w:pPr>
                              <w:rPr>
                                <w:sz w:val="12"/>
                                <w:szCs w:val="12"/>
                              </w:rPr>
                            </w:pPr>
                            <w:r w:rsidRPr="00557591">
                              <w:rPr>
                                <w:b/>
                                <w:sz w:val="12"/>
                                <w:szCs w:val="12"/>
                              </w:rPr>
                              <w:t>Visionäre Idee:</w:t>
                            </w:r>
                            <w:r>
                              <w:rPr>
                                <w:sz w:val="12"/>
                                <w:szCs w:val="12"/>
                              </w:rPr>
                              <w:t xml:space="preserve"> So könnte eines Tages die Wasserstoffproduktion auf hoher See aussehen – inklusive einer Plattform für Elektrolyse.</w:t>
                            </w:r>
                            <w:r>
                              <w:rPr>
                                <w:sz w:val="12"/>
                                <w:szCs w:val="12"/>
                              </w:rPr>
                              <w:br/>
                            </w:r>
                            <w:r w:rsidR="007E0CD2">
                              <w:rPr>
                                <w:b/>
                                <w:sz w:val="12"/>
                                <w:szCs w:val="12"/>
                              </w:rPr>
                              <w:t xml:space="preserve">         </w:t>
                            </w:r>
                            <w:r w:rsidRPr="00557591">
                              <w:rPr>
                                <w:b/>
                                <w:sz w:val="12"/>
                                <w:szCs w:val="12"/>
                              </w:rPr>
                              <w:t>Foto:</w:t>
                            </w:r>
                            <w:r>
                              <w:rPr>
                                <w:sz w:val="12"/>
                                <w:szCs w:val="12"/>
                              </w:rPr>
                              <w:t xml:space="preserve"> © Siemens </w:t>
                            </w:r>
                            <w:proofErr w:type="spellStart"/>
                            <w:r>
                              <w:rPr>
                                <w:sz w:val="12"/>
                                <w:szCs w:val="12"/>
                              </w:rPr>
                              <w:t>Gamesa</w:t>
                            </w:r>
                            <w:proofErr w:type="spellEnd"/>
                            <w:r>
                              <w:rPr>
                                <w:sz w:val="12"/>
                                <w:szCs w:val="12"/>
                              </w:rPr>
                              <w:t xml:space="preserve"> </w:t>
                            </w:r>
                            <w:proofErr w:type="spellStart"/>
                            <w:r>
                              <w:rPr>
                                <w:sz w:val="12"/>
                                <w:szCs w:val="12"/>
                              </w:rPr>
                              <w:t>Renewable</w:t>
                            </w:r>
                            <w:proofErr w:type="spellEnd"/>
                            <w:r>
                              <w:rPr>
                                <w:sz w:val="12"/>
                                <w:szCs w:val="12"/>
                              </w:rPr>
                              <w:t xml:space="preserve">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4290D" id="Textfeld 3" o:spid="_x0000_s1028" type="#_x0000_t202" style="position:absolute;margin-left:122.65pt;margin-top:185.3pt;width:173.85pt;height:41.3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" fillcolor="white [3201]" strokeweight=".5pt">
                <v:textbox>
                  <w:txbxContent>
                    <w:p w14:paraId="1DF55BF5" w14:textId="14FB09E9" w:rsidR="00557591" w:rsidRPr="00557591" w:rsidRDefault="00557591">
                      <w:pPr>
                        <w:rPr>
                          <w:sz w:val="12"/>
                          <w:szCs w:val="12"/>
                        </w:rPr>
                      </w:pPr>
                      <w:r w:rsidRPr="00557591">
                        <w:rPr>
                          <w:b/>
                          <w:sz w:val="12"/>
                          <w:szCs w:val="12"/>
                        </w:rPr>
                        <w:t>Visionäre Idee:</w:t>
                      </w:r>
                      <w:r>
                        <w:rPr>
                          <w:sz w:val="12"/>
                          <w:szCs w:val="12"/>
                        </w:rPr>
                        <w:t xml:space="preserve"> So könnte eines Tages die Wasserstoffproduktion auf hoher See aussehen – inklusive einer Plattform für Elektrolyse.</w:t>
                      </w:r>
                      <w:r>
                        <w:rPr>
                          <w:sz w:val="12"/>
                          <w:szCs w:val="12"/>
                        </w:rPr>
                        <w:br/>
                      </w:r>
                      <w:r w:rsidR="007E0CD2">
                        <w:rPr>
                          <w:b/>
                          <w:sz w:val="12"/>
                          <w:szCs w:val="12"/>
                        </w:rPr>
                        <w:t xml:space="preserve">         </w:t>
                      </w:r>
                      <w:r w:rsidRPr="00557591">
                        <w:rPr>
                          <w:b/>
                          <w:sz w:val="12"/>
                          <w:szCs w:val="12"/>
                        </w:rPr>
                        <w:t>Foto:</w:t>
                      </w:r>
                      <w:r>
                        <w:rPr>
                          <w:sz w:val="12"/>
                          <w:szCs w:val="12"/>
                        </w:rPr>
                        <w:t xml:space="preserve"> © Siemens </w:t>
                      </w:r>
                      <w:proofErr w:type="spellStart"/>
                      <w:r>
                        <w:rPr>
                          <w:sz w:val="12"/>
                          <w:szCs w:val="12"/>
                        </w:rPr>
                        <w:t>Gamesa</w:t>
                      </w:r>
                      <w:proofErr w:type="spellEnd"/>
                      <w:r>
                        <w:rPr>
                          <w:sz w:val="12"/>
                          <w:szCs w:val="12"/>
                        </w:rPr>
                        <w:t xml:space="preserve"> </w:t>
                      </w:r>
                      <w:proofErr w:type="spellStart"/>
                      <w:r>
                        <w:rPr>
                          <w:sz w:val="12"/>
                          <w:szCs w:val="12"/>
                        </w:rPr>
                        <w:t>Renewable</w:t>
                      </w:r>
                      <w:proofErr w:type="spellEnd"/>
                      <w:r>
                        <w:rPr>
                          <w:sz w:val="12"/>
                          <w:szCs w:val="12"/>
                        </w:rPr>
                        <w:t xml:space="preserve"> Energy</w:t>
                      </w:r>
                    </w:p>
                  </w:txbxContent>
                </v:textbox>
                <w10:wrap type="tight" anchorx="margin"/>
              </v:shape>
            </w:pict>
          </mc:Fallback>
        </mc:AlternateContent>
      </w:r>
      <w:r>
        <w:rPr>
          <w:noProof/>
        </w:rPr>
        <w:drawing>
          <wp:anchor distT="0" distB="0" distL="114300" distR="114300" simplePos="0" relativeHeight="251662336" behindDoc="1" locked="0" layoutInCell="1" allowOverlap="1" wp14:anchorId="4B40E2D2" wp14:editId="59B97C41">
            <wp:simplePos x="0" y="0"/>
            <wp:positionH relativeFrom="margin">
              <wp:align>right</wp:align>
            </wp:positionH>
            <wp:positionV relativeFrom="paragraph">
              <wp:posOffset>53975</wp:posOffset>
            </wp:positionV>
            <wp:extent cx="2228850" cy="2228850"/>
            <wp:effectExtent l="0" t="0" r="0" b="0"/>
            <wp:wrapTight wrapText="bothSides">
              <wp:wrapPolygon edited="0">
                <wp:start x="0" y="0"/>
                <wp:lineTo x="0" y="21415"/>
                <wp:lineTo x="21415" y="21415"/>
                <wp:lineTo x="2141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5F65" w:rsidRPr="00485F65">
        <w:rPr>
          <w:color w:val="auto"/>
          <w:sz w:val="18"/>
        </w:rPr>
        <w:t xml:space="preserve">In die </w:t>
      </w:r>
      <w:hyperlink r:id="rId10" w:history="1">
        <w:r w:rsidR="00485F65" w:rsidRPr="00D81F3C">
          <w:rPr>
            <w:rStyle w:val="Hyperlink"/>
            <w:sz w:val="18"/>
          </w:rPr>
          <w:t>Liste solcher Vorhaben</w:t>
        </w:r>
      </w:hyperlink>
      <w:r w:rsidR="00485F65">
        <w:rPr>
          <w:color w:val="auto"/>
          <w:sz w:val="18"/>
        </w:rPr>
        <w:t xml:space="preserve"> reiht sich </w:t>
      </w:r>
      <w:r w:rsidR="00AD5620">
        <w:rPr>
          <w:color w:val="auto"/>
          <w:sz w:val="18"/>
        </w:rPr>
        <w:t xml:space="preserve">an Stand 74 ein Unterfangen ein, das derzeit noch nach </w:t>
      </w:r>
      <w:r w:rsidR="00AD5620" w:rsidRPr="00A663BC">
        <w:rPr>
          <w:i/>
          <w:color w:val="auto"/>
          <w:sz w:val="18"/>
        </w:rPr>
        <w:t>Science Fiction</w:t>
      </w:r>
      <w:r w:rsidR="00AD5620">
        <w:rPr>
          <w:color w:val="auto"/>
          <w:sz w:val="18"/>
        </w:rPr>
        <w:t xml:space="preserve"> anmutet und bei dem sich alles um Wasserstoff dreht – einem Hoffnungsträger der Energiewende: „</w:t>
      </w:r>
      <w:hyperlink r:id="rId11" w:history="1">
        <w:r w:rsidR="00AD5620" w:rsidRPr="00D81F3C">
          <w:rPr>
            <w:rStyle w:val="Hyperlink"/>
            <w:sz w:val="18"/>
          </w:rPr>
          <w:t>H2Mare</w:t>
        </w:r>
      </w:hyperlink>
      <w:r w:rsidR="00AD5620">
        <w:rPr>
          <w:color w:val="auto"/>
          <w:sz w:val="18"/>
        </w:rPr>
        <w:t xml:space="preserve">“ ist eines von drei seitens des Bundesforschungsministeriums geförderten sogenannten Leitprojekten. „Und ein Beispiel dafür, wie sehr es bei der Transformation zu mehr Nachhaltigkeit, Umwelt- und Ressourcenschutz </w:t>
      </w:r>
      <w:r w:rsidR="00A663BC">
        <w:rPr>
          <w:color w:val="auto"/>
          <w:sz w:val="18"/>
        </w:rPr>
        <w:t xml:space="preserve">auch </w:t>
      </w:r>
      <w:r w:rsidR="00AD5620">
        <w:rPr>
          <w:color w:val="auto"/>
          <w:sz w:val="18"/>
        </w:rPr>
        <w:t xml:space="preserve">auf das Zusammenspiel von Forschung und Industrie ankommt“, sagt </w:t>
      </w:r>
      <w:r w:rsidR="00F440CE">
        <w:rPr>
          <w:color w:val="auto"/>
          <w:sz w:val="18"/>
        </w:rPr>
        <w:t xml:space="preserve">der </w:t>
      </w:r>
      <w:r w:rsidR="00AD5620">
        <w:rPr>
          <w:color w:val="auto"/>
          <w:sz w:val="18"/>
        </w:rPr>
        <w:t>DBU-Generalsekretär</w:t>
      </w:r>
      <w:r w:rsidR="00F440CE">
        <w:rPr>
          <w:color w:val="auto"/>
          <w:sz w:val="18"/>
        </w:rPr>
        <w:t>.</w:t>
      </w:r>
      <w:r w:rsidR="00A663BC">
        <w:rPr>
          <w:color w:val="auto"/>
          <w:sz w:val="18"/>
        </w:rPr>
        <w:t xml:space="preserve"> Expertinnen und Experten aus beiden Bereichen tüfteln an der Vision, auf hoher See das Potenzial des Windes zu nutzen – um damit einen noch zu entwickelnden Windturbinentyp samt </w:t>
      </w:r>
      <w:r w:rsidR="00D81F3C">
        <w:rPr>
          <w:color w:val="auto"/>
          <w:sz w:val="18"/>
        </w:rPr>
        <w:t>neuartigem Elektrolyseur zu speisen. Außerdem wird die Erzeugung von Wasserstoff-Folgeprodukten auf festen oder schwimmenden Plattformen erforscht.</w:t>
      </w:r>
    </w:p>
    <w:p w14:paraId="747C8AAD" w14:textId="77777777" w:rsidR="00627624" w:rsidRPr="00485F65" w:rsidRDefault="00CC32C4" w:rsidP="00627624">
      <w:pPr>
        <w:pStyle w:val="KeinLeerraum"/>
      </w:pPr>
      <w:r>
        <w:lastRenderedPageBreak/>
        <w:t xml:space="preserve">Schlaglicht auf einen Schlüsselsektor </w:t>
      </w:r>
      <w:r w:rsidR="008C13CA">
        <w:t>zur Senkung von Treibhausgasen</w:t>
      </w:r>
    </w:p>
    <w:p w14:paraId="68E1132B" w14:textId="173ADA75" w:rsidR="00416524" w:rsidRPr="00EF33E1" w:rsidRDefault="00EF33E1" w:rsidP="00944EFE">
      <w:pPr>
        <w:pStyle w:val="Textklein"/>
        <w:spacing w:after="240" w:line="300" w:lineRule="atLeast"/>
        <w:rPr>
          <w:color w:val="auto"/>
          <w:sz w:val="18"/>
        </w:rPr>
      </w:pPr>
      <w:r w:rsidRPr="00EF33E1">
        <w:rPr>
          <w:color w:val="auto"/>
          <w:sz w:val="18"/>
        </w:rPr>
        <w:t xml:space="preserve">Die </w:t>
      </w:r>
      <w:hyperlink r:id="rId12" w:history="1">
        <w:r w:rsidRPr="00CC32C4">
          <w:rPr>
            <w:rStyle w:val="Hyperlink"/>
            <w:sz w:val="18"/>
          </w:rPr>
          <w:t>Deutsche Gesellschaft für Nachhaltiges Bauen</w:t>
        </w:r>
      </w:hyperlink>
      <w:r>
        <w:rPr>
          <w:color w:val="auto"/>
          <w:sz w:val="18"/>
        </w:rPr>
        <w:t xml:space="preserve"> (DGNB) wirft an Stand 108 ein Schlaglicht auf einen Schlüsselsektor, </w:t>
      </w:r>
      <w:r w:rsidR="00193CC8">
        <w:rPr>
          <w:color w:val="auto"/>
          <w:sz w:val="18"/>
        </w:rPr>
        <w:t xml:space="preserve">der </w:t>
      </w:r>
      <w:r w:rsidR="00416524">
        <w:rPr>
          <w:color w:val="auto"/>
          <w:sz w:val="18"/>
        </w:rPr>
        <w:t>eine zentrale Rolle spielt, um den Ausstoß klimaschädlicher Treibhausgase wie Kohlendioxid (CO</w:t>
      </w:r>
      <w:r w:rsidR="00416524" w:rsidRPr="00416524">
        <w:rPr>
          <w:color w:val="auto"/>
          <w:sz w:val="18"/>
          <w:vertAlign w:val="subscript"/>
        </w:rPr>
        <w:t>2</w:t>
      </w:r>
      <w:r w:rsidR="00416524">
        <w:rPr>
          <w:color w:val="auto"/>
          <w:sz w:val="18"/>
        </w:rPr>
        <w:t xml:space="preserve">) zu senken. Die rund 21,4 Millionen Gebäude in Deutschland, darunter ungefähr zwei Millionen sogenannte Nichtwohngebäude, verursachen hierzulande etwa 40 Prozent der laut Umweltbundesamt-Statistik des Jahres 2022 bundesweit rund 746 Millionen Tonnen THG-Emissionen. Hauptursache für den hohen Anteil des Gebäudesektors ist der deutschlandweit immense Altbestand: Nahezu zwei Drittel der Gebäude wurden vor 1977 errichtet, bevor eine Wärmeschutzverordnung die Dämmung von Dächern, Decken und Wänden vorschrieb. „Wir müssen Tempo machen bei der Sanierung“, so Bonde. Auf der „Woche der Umwelt“ bietet der DGNB-Stand </w:t>
      </w:r>
      <w:r w:rsidR="00C30E96">
        <w:rPr>
          <w:color w:val="auto"/>
          <w:sz w:val="18"/>
        </w:rPr>
        <w:t xml:space="preserve">neben </w:t>
      </w:r>
      <w:r w:rsidR="00416524">
        <w:rPr>
          <w:color w:val="auto"/>
          <w:sz w:val="18"/>
        </w:rPr>
        <w:t>Einspartipps</w:t>
      </w:r>
      <w:r w:rsidR="00F440CE">
        <w:rPr>
          <w:color w:val="auto"/>
          <w:sz w:val="18"/>
        </w:rPr>
        <w:t xml:space="preserve"> auch einen großen</w:t>
      </w:r>
      <w:r w:rsidR="00416524">
        <w:rPr>
          <w:color w:val="auto"/>
          <w:sz w:val="18"/>
        </w:rPr>
        <w:t xml:space="preserve"> </w:t>
      </w:r>
      <w:r w:rsidR="00F440CE">
        <w:rPr>
          <w:color w:val="auto"/>
          <w:sz w:val="18"/>
        </w:rPr>
        <w:t>Wissensschatz</w:t>
      </w:r>
      <w:r w:rsidR="00416524">
        <w:rPr>
          <w:color w:val="auto"/>
          <w:sz w:val="18"/>
        </w:rPr>
        <w:t xml:space="preserve"> und </w:t>
      </w:r>
      <w:r w:rsidR="00C30E96">
        <w:rPr>
          <w:color w:val="auto"/>
          <w:sz w:val="18"/>
        </w:rPr>
        <w:t>Praxisbeispiele für nachhaltiges Bauen.</w:t>
      </w:r>
    </w:p>
    <w:p w14:paraId="1DA9506F" w14:textId="77777777" w:rsidR="00627624" w:rsidRPr="00416524" w:rsidRDefault="008C13CA" w:rsidP="00627624">
      <w:pPr>
        <w:pStyle w:val="KeinLeerraum"/>
      </w:pPr>
      <w:r>
        <w:t>Mit Lasertechnologie weniger Pestizideinsatz</w:t>
      </w:r>
      <w:r w:rsidR="00627624" w:rsidRPr="00416524">
        <w:t xml:space="preserve"> </w:t>
      </w:r>
    </w:p>
    <w:p w14:paraId="037F76D0" w14:textId="2DCAED6A" w:rsidR="00627624" w:rsidRPr="00C30E96" w:rsidRDefault="00C30E96" w:rsidP="00944EFE">
      <w:pPr>
        <w:pStyle w:val="Textklein"/>
        <w:spacing w:after="240" w:line="300" w:lineRule="atLeast"/>
        <w:rPr>
          <w:color w:val="auto"/>
          <w:sz w:val="18"/>
        </w:rPr>
      </w:pPr>
      <w:r w:rsidRPr="00C30E96">
        <w:rPr>
          <w:color w:val="auto"/>
          <w:sz w:val="18"/>
        </w:rPr>
        <w:t xml:space="preserve">Dass es bei </w:t>
      </w:r>
      <w:r>
        <w:rPr>
          <w:color w:val="auto"/>
          <w:sz w:val="18"/>
        </w:rPr>
        <w:t xml:space="preserve">Nachhaltigkeit und Umweltschutz nicht allein um den </w:t>
      </w:r>
      <w:r w:rsidR="00007ECB">
        <w:rPr>
          <w:color w:val="auto"/>
          <w:sz w:val="18"/>
        </w:rPr>
        <w:t xml:space="preserve">schlagkräftigen Einsatz </w:t>
      </w:r>
      <w:r>
        <w:rPr>
          <w:color w:val="auto"/>
          <w:sz w:val="18"/>
        </w:rPr>
        <w:t xml:space="preserve">gegen die Klima-, sondern auch gegen die Biodiversitätskrise geht, zeigt das </w:t>
      </w:r>
      <w:hyperlink r:id="rId13" w:history="1">
        <w:r w:rsidRPr="00CC32C4">
          <w:rPr>
            <w:rStyle w:val="Hyperlink"/>
            <w:sz w:val="18"/>
          </w:rPr>
          <w:t>Laser Zentrum Hannover</w:t>
        </w:r>
      </w:hyperlink>
      <w:r w:rsidR="00796E34">
        <w:rPr>
          <w:color w:val="auto"/>
          <w:sz w:val="18"/>
        </w:rPr>
        <w:t xml:space="preserve"> (LZH) </w:t>
      </w:r>
      <w:r>
        <w:rPr>
          <w:color w:val="auto"/>
          <w:sz w:val="18"/>
        </w:rPr>
        <w:t>am Stand 50</w:t>
      </w:r>
      <w:r w:rsidR="00007ECB">
        <w:rPr>
          <w:color w:val="auto"/>
          <w:sz w:val="18"/>
        </w:rPr>
        <w:t xml:space="preserve">: Das niedersächsische Unternehmen </w:t>
      </w:r>
      <w:r w:rsidR="00796E34">
        <w:rPr>
          <w:color w:val="auto"/>
          <w:sz w:val="18"/>
        </w:rPr>
        <w:t>stellt</w:t>
      </w:r>
      <w:r w:rsidR="00007ECB">
        <w:rPr>
          <w:color w:val="auto"/>
          <w:sz w:val="18"/>
        </w:rPr>
        <w:t xml:space="preserve"> ein Verfahren zum Lasereinsatz im Pflanzenschutz </w:t>
      </w:r>
      <w:r w:rsidR="00796E34">
        <w:rPr>
          <w:color w:val="auto"/>
          <w:sz w:val="18"/>
        </w:rPr>
        <w:t>vor</w:t>
      </w:r>
      <w:r w:rsidR="00007ECB">
        <w:rPr>
          <w:color w:val="auto"/>
          <w:sz w:val="18"/>
        </w:rPr>
        <w:t xml:space="preserve">. </w:t>
      </w:r>
      <w:r w:rsidR="00796E34">
        <w:rPr>
          <w:color w:val="auto"/>
          <w:sz w:val="18"/>
        </w:rPr>
        <w:t xml:space="preserve">Denn das LZH hat eine Methode entwickelt, mit der punktgenau mittels eines hauchdünnen Laserstrahls Unkraut und auch Schädlinge bekämpft werden können. Künstliche Intelligenz sorgt für die Lasersteuerung. </w:t>
      </w:r>
      <w:r w:rsidR="00007ECB">
        <w:rPr>
          <w:color w:val="auto"/>
          <w:sz w:val="18"/>
        </w:rPr>
        <w:t xml:space="preserve">Das Ziel: Der Einsatz chemischer und oft umweltschädlicher Pestizide soll minimiert oder </w:t>
      </w:r>
      <w:r w:rsidR="00796E34">
        <w:rPr>
          <w:color w:val="auto"/>
          <w:sz w:val="18"/>
        </w:rPr>
        <w:t xml:space="preserve">gar vermieden </w:t>
      </w:r>
      <w:r w:rsidR="00754971">
        <w:rPr>
          <w:color w:val="auto"/>
          <w:sz w:val="18"/>
        </w:rPr>
        <w:t xml:space="preserve">– und ein Beitrag zum Erhalt der Artenvielfalt geleistet </w:t>
      </w:r>
      <w:r w:rsidR="00796E34">
        <w:rPr>
          <w:color w:val="auto"/>
          <w:sz w:val="18"/>
        </w:rPr>
        <w:t xml:space="preserve">werden. </w:t>
      </w:r>
    </w:p>
    <w:p w14:paraId="4BFDBDCA" w14:textId="77777777" w:rsidR="00627624" w:rsidRPr="00007ECB" w:rsidRDefault="008C13CA" w:rsidP="00627624">
      <w:pPr>
        <w:pStyle w:val="KeinLeerraum"/>
      </w:pPr>
      <w:r>
        <w:t>Erfindergeist in der Stahlbranche auf dem Weg zur Klimaneutralität</w:t>
      </w:r>
      <w:r w:rsidR="00627624" w:rsidRPr="00007ECB">
        <w:t xml:space="preserve"> </w:t>
      </w:r>
    </w:p>
    <w:p w14:paraId="6066B902" w14:textId="312F2604" w:rsidR="00627624" w:rsidRDefault="000B490F" w:rsidP="00944EFE">
      <w:pPr>
        <w:pStyle w:val="Textklein"/>
        <w:spacing w:after="240" w:line="300" w:lineRule="atLeast"/>
        <w:rPr>
          <w:color w:val="auto"/>
          <w:sz w:val="18"/>
        </w:rPr>
      </w:pPr>
      <w:r w:rsidRPr="000B490F">
        <w:rPr>
          <w:color w:val="auto"/>
          <w:sz w:val="18"/>
        </w:rPr>
        <w:t>Ebenfalls aus Niedersachsen s</w:t>
      </w:r>
      <w:r>
        <w:rPr>
          <w:color w:val="auto"/>
          <w:sz w:val="18"/>
        </w:rPr>
        <w:t>tammt eine Ausstellerin, deren Erfind</w:t>
      </w:r>
      <w:r w:rsidR="00754971">
        <w:rPr>
          <w:color w:val="auto"/>
          <w:sz w:val="18"/>
        </w:rPr>
        <w:t>er</w:t>
      </w:r>
      <w:r>
        <w:rPr>
          <w:color w:val="auto"/>
          <w:sz w:val="18"/>
        </w:rPr>
        <w:t xml:space="preserve">geist </w:t>
      </w:r>
      <w:r w:rsidR="00460DA3">
        <w:rPr>
          <w:color w:val="auto"/>
          <w:sz w:val="18"/>
        </w:rPr>
        <w:t xml:space="preserve">die äußerst energieintensive Stahlbranche auf dem Weg in eine klimaneutrale Stahlproduktion beflügeln – und bundesweit zum Modell werden könnte: Die </w:t>
      </w:r>
      <w:hyperlink r:id="rId14" w:history="1">
        <w:r w:rsidR="00460DA3" w:rsidRPr="00CC32C4">
          <w:rPr>
            <w:rStyle w:val="Hyperlink"/>
            <w:sz w:val="18"/>
          </w:rPr>
          <w:t>Georgsmarienhütte Holding GmbH</w:t>
        </w:r>
      </w:hyperlink>
      <w:r w:rsidR="00460DA3">
        <w:rPr>
          <w:color w:val="auto"/>
          <w:sz w:val="18"/>
        </w:rPr>
        <w:t xml:space="preserve"> </w:t>
      </w:r>
      <w:r w:rsidR="00CC32C4">
        <w:rPr>
          <w:color w:val="auto"/>
          <w:sz w:val="18"/>
        </w:rPr>
        <w:t xml:space="preserve">(GMH Gruppe) </w:t>
      </w:r>
      <w:r w:rsidR="00460DA3">
        <w:rPr>
          <w:color w:val="auto"/>
          <w:sz w:val="18"/>
        </w:rPr>
        <w:t xml:space="preserve">ist am Stand 82 zu finden, wo sie nach eigenen Worten den Besucherinnen und Besuchern mit „Leidenschaft für Nachhaltigkeit“ und „Agilität eines Mittelständlers“ demonstrieren will, </w:t>
      </w:r>
      <w:r w:rsidR="00CC32C4">
        <w:rPr>
          <w:color w:val="auto"/>
          <w:sz w:val="18"/>
        </w:rPr>
        <w:t>wie wichtig Wirtschaft bei der Energiewende wird: „Wir wollen 2039 nahezu klimaneutral Stahlerzeugnisse produzieren“, setzt sich das Unternehmen ein ambitioniertes Ziel. Und: „Bereits heute sparen wir durch elektrische Schmelzprozesse 80 Prozent der CO</w:t>
      </w:r>
      <w:r w:rsidR="00CC32C4" w:rsidRPr="00754971">
        <w:rPr>
          <w:color w:val="auto"/>
          <w:sz w:val="18"/>
          <w:vertAlign w:val="subscript"/>
        </w:rPr>
        <w:t>2</w:t>
      </w:r>
      <w:r w:rsidR="00CC32C4">
        <w:rPr>
          <w:color w:val="auto"/>
          <w:sz w:val="18"/>
        </w:rPr>
        <w:t xml:space="preserve">-Emissionen im Vergleich zur konventionellen Stahlherstellung ein“, so die GMH Gruppe. </w:t>
      </w:r>
      <w:r w:rsidR="00C52BB8">
        <w:rPr>
          <w:color w:val="auto"/>
          <w:sz w:val="18"/>
        </w:rPr>
        <w:t xml:space="preserve">„Diese und all die anderen insgesamt rund 190 Ausstellenden sind eine echte Inspiration und Mutmacher, wie man den notwendigen Wandel zu einer nachhaltigen Wirtschafts- und Lebensweise schaffen kann“, sagt </w:t>
      </w:r>
      <w:r w:rsidR="0062708D">
        <w:rPr>
          <w:color w:val="auto"/>
          <w:sz w:val="18"/>
        </w:rPr>
        <w:t xml:space="preserve">der </w:t>
      </w:r>
      <w:r w:rsidR="00C52BB8">
        <w:rPr>
          <w:color w:val="auto"/>
          <w:sz w:val="18"/>
        </w:rPr>
        <w:t xml:space="preserve">DBU-Generalsekretär. „Den Besucherinnen und Besuchern bietet sich auf </w:t>
      </w:r>
      <w:proofErr w:type="gramStart"/>
      <w:r w:rsidR="00C52BB8">
        <w:rPr>
          <w:color w:val="auto"/>
          <w:sz w:val="18"/>
        </w:rPr>
        <w:t>der</w:t>
      </w:r>
      <w:r w:rsidR="0062708D">
        <w:rPr>
          <w:color w:val="auto"/>
          <w:sz w:val="18"/>
        </w:rPr>
        <w:t xml:space="preserve"> </w:t>
      </w:r>
      <w:r w:rsidR="00C52BB8">
        <w:rPr>
          <w:color w:val="auto"/>
          <w:sz w:val="18"/>
        </w:rPr>
        <w:t>,W</w:t>
      </w:r>
      <w:bookmarkStart w:id="1" w:name="_GoBack"/>
      <w:bookmarkEnd w:id="1"/>
      <w:r w:rsidR="00C52BB8">
        <w:rPr>
          <w:color w:val="auto"/>
          <w:sz w:val="18"/>
        </w:rPr>
        <w:t>oche</w:t>
      </w:r>
      <w:proofErr w:type="gramEnd"/>
      <w:r w:rsidR="00C52BB8">
        <w:rPr>
          <w:color w:val="auto"/>
          <w:sz w:val="18"/>
        </w:rPr>
        <w:t xml:space="preserve"> der Umwelt‘ eine einmalige Gelegenheit</w:t>
      </w:r>
      <w:r w:rsidR="0062708D">
        <w:rPr>
          <w:color w:val="auto"/>
          <w:sz w:val="18"/>
        </w:rPr>
        <w:t>, solche Innovationen und Ideen hautnah zu erleben – noch dazu im besonderen Ambiente im Park von Schloss Bellevue“, so Bonde weiter.</w:t>
      </w:r>
      <w:r w:rsidR="00C52BB8">
        <w:rPr>
          <w:color w:val="auto"/>
          <w:sz w:val="18"/>
        </w:rPr>
        <w:t xml:space="preserve"> </w:t>
      </w:r>
    </w:p>
    <w:p w14:paraId="1A13138E" w14:textId="77777777" w:rsidR="00CC32C4" w:rsidRPr="000B490F" w:rsidRDefault="00CC32C4" w:rsidP="00944EFE">
      <w:pPr>
        <w:pStyle w:val="Textklein"/>
        <w:spacing w:after="240" w:line="300" w:lineRule="atLeast"/>
        <w:rPr>
          <w:color w:val="auto"/>
          <w:sz w:val="18"/>
        </w:rPr>
      </w:pPr>
    </w:p>
    <w:p w14:paraId="68E1EC66" w14:textId="77777777" w:rsidR="00FE76E8" w:rsidRPr="0086554F" w:rsidRDefault="00732C71" w:rsidP="0086554F">
      <w:pPr>
        <w:pStyle w:val="Textklein"/>
        <w:spacing w:before="360"/>
        <w:rPr>
          <w:b/>
          <w:bCs/>
          <w:color w:val="0000FF"/>
        </w:rPr>
      </w:pPr>
      <w:r w:rsidRPr="00686764">
        <w:rPr>
          <w:b/>
          <w:bCs/>
        </w:rPr>
        <w:t xml:space="preserve">Fotos nach IPTC-Standard zur kostenfreien Veröffentlichung unter </w:t>
      </w:r>
      <w:r w:rsidRPr="00686764">
        <w:rPr>
          <w:b/>
          <w:bCs/>
          <w:color w:val="0000FF"/>
        </w:rPr>
        <w:t xml:space="preserve">www.dbu.de </w:t>
      </w:r>
    </w:p>
    <w:sectPr w:rsidR="00FE76E8" w:rsidRPr="0086554F" w:rsidSect="00557591">
      <w:headerReference w:type="default" r:id="rId15"/>
      <w:footerReference w:type="default" r:id="rId16"/>
      <w:pgSz w:w="11906" w:h="16838"/>
      <w:pgMar w:top="1701" w:right="1021" w:bottom="1985" w:left="90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A77D5" w14:textId="77777777" w:rsidR="00A2440A" w:rsidRDefault="00A2440A" w:rsidP="00732C71">
      <w:pPr>
        <w:spacing w:after="0" w:line="240" w:lineRule="auto"/>
      </w:pPr>
      <w:r>
        <w:separator/>
      </w:r>
    </w:p>
  </w:endnote>
  <w:endnote w:type="continuationSeparator" w:id="0">
    <w:p w14:paraId="03B3AC44" w14:textId="77777777" w:rsidR="00A2440A" w:rsidRDefault="00A2440A"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DDE2"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6A0D76DF" wp14:editId="21962DB8">
              <wp:simplePos x="0" y="0"/>
              <wp:positionH relativeFrom="page">
                <wp:align>center</wp:align>
              </wp:positionH>
              <wp:positionV relativeFrom="paragraph">
                <wp:posOffset>-867135</wp:posOffset>
              </wp:positionV>
              <wp:extent cx="4454957" cy="987552"/>
              <wp:effectExtent l="0" t="0" r="0" b="31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957" cy="987552"/>
                      </a:xfrm>
                      <a:prstGeom prst="rect">
                        <a:avLst/>
                      </a:prstGeom>
                      <a:noFill/>
                      <a:ln w="9525">
                        <a:noFill/>
                        <a:miter lim="800000"/>
                        <a:headEnd/>
                        <a:tailEnd/>
                      </a:ln>
                    </wps:spPr>
                    <wps:txb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1C0EBD" w14:paraId="7F85CB2B" w14:textId="77777777" w:rsidTr="001C0EBD">
                            <w:tc>
                              <w:tcPr>
                                <w:tcW w:w="2376" w:type="dxa"/>
                              </w:tcPr>
                              <w:p w14:paraId="79D06601" w14:textId="321CBB59" w:rsidR="001C0EBD" w:rsidRPr="00732C71" w:rsidRDefault="001C0EBD" w:rsidP="00C518A8">
                                <w:pPr>
                                  <w:tabs>
                                    <w:tab w:val="left" w:pos="1168"/>
                                  </w:tabs>
                                  <w:spacing w:before="120"/>
                                  <w:rPr>
                                    <w:b/>
                                    <w:sz w:val="12"/>
                                    <w:szCs w:val="12"/>
                                  </w:rPr>
                                </w:pPr>
                                <w:r w:rsidRPr="00732C71">
                                  <w:rPr>
                                    <w:b/>
                                    <w:sz w:val="12"/>
                                    <w:szCs w:val="12"/>
                                  </w:rPr>
                                  <w:t xml:space="preserve">Nr. </w:t>
                                </w:r>
                                <w:r w:rsidR="00C54885">
                                  <w:rPr>
                                    <w:b/>
                                    <w:sz w:val="12"/>
                                    <w:szCs w:val="12"/>
                                  </w:rPr>
                                  <w:t>064</w:t>
                                </w:r>
                                <w:r w:rsidRPr="00732C71">
                                  <w:rPr>
                                    <w:b/>
                                    <w:sz w:val="12"/>
                                    <w:szCs w:val="12"/>
                                  </w:rPr>
                                  <w:t>/202</w:t>
                                </w:r>
                                <w:r>
                                  <w:rPr>
                                    <w:b/>
                                    <w:sz w:val="12"/>
                                    <w:szCs w:val="12"/>
                                  </w:rPr>
                                  <w:t>4</w:t>
                                </w:r>
                                <w:r w:rsidRPr="00732C71">
                                  <w:rPr>
                                    <w:b/>
                                    <w:sz w:val="12"/>
                                    <w:szCs w:val="12"/>
                                  </w:rPr>
                                  <w:br/>
                                  <w:t xml:space="preserve">  </w:t>
                                </w:r>
                              </w:p>
                              <w:p w14:paraId="4AE62102" w14:textId="77777777" w:rsidR="001C0EBD" w:rsidRPr="00C76C43" w:rsidRDefault="001C0EBD"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798D3240" w14:textId="77777777" w:rsidR="001C0EBD" w:rsidRPr="00732C71" w:rsidRDefault="001C0EBD"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14:paraId="38CDAA00" w14:textId="77777777" w:rsidR="001C0EBD" w:rsidRPr="00732C71" w:rsidRDefault="001C0EBD" w:rsidP="00C518A8">
                                <w:pPr>
                                  <w:tabs>
                                    <w:tab w:val="left" w:pos="743"/>
                                  </w:tabs>
                                  <w:rPr>
                                    <w:sz w:val="12"/>
                                    <w:szCs w:val="12"/>
                                  </w:rPr>
                                </w:pPr>
                                <w:r w:rsidRPr="00732C71">
                                  <w:rPr>
                                    <w:sz w:val="12"/>
                                    <w:szCs w:val="12"/>
                                  </w:rPr>
                                  <w:t>Telefon</w:t>
                                </w:r>
                                <w:r w:rsidRPr="00732C71">
                                  <w:rPr>
                                    <w:sz w:val="12"/>
                                    <w:szCs w:val="12"/>
                                  </w:rPr>
                                  <w:tab/>
                                  <w:t>+49 541 9633-521</w:t>
                                </w:r>
                              </w:p>
                              <w:p w14:paraId="44FF9971" w14:textId="77777777" w:rsidR="001C0EBD" w:rsidRPr="00732C71" w:rsidRDefault="001C0EBD"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1CAE5CEB" w14:textId="77777777" w:rsidR="001C0EBD" w:rsidRPr="00732C71" w:rsidRDefault="00C54885" w:rsidP="00C518A8">
                                <w:pPr>
                                  <w:pStyle w:val="Fuzeile"/>
                                  <w:rPr>
                                    <w:rStyle w:val="Hyperlink"/>
                                    <w:sz w:val="12"/>
                                    <w:szCs w:val="12"/>
                                  </w:rPr>
                                </w:pPr>
                                <w:hyperlink r:id="rId2" w:history="1">
                                  <w:r w:rsidR="001C0EBD" w:rsidRPr="00732C71">
                                    <w:rPr>
                                      <w:rStyle w:val="Hyperlink"/>
                                      <w:sz w:val="12"/>
                                      <w:szCs w:val="12"/>
                                    </w:rPr>
                                    <w:t>www.dbu.de</w:t>
                                  </w:r>
                                </w:hyperlink>
                              </w:p>
                              <w:p w14:paraId="682F672E" w14:textId="77777777" w:rsidR="001C0EBD" w:rsidRPr="00732C71" w:rsidRDefault="001C0EBD" w:rsidP="00C518A8">
                                <w:pPr>
                                  <w:pStyle w:val="Fuzeile"/>
                                </w:pPr>
                              </w:p>
                            </w:tc>
                            <w:tc>
                              <w:tcPr>
                                <w:tcW w:w="2268" w:type="dxa"/>
                              </w:tcPr>
                              <w:p w14:paraId="7D96384F" w14:textId="77777777" w:rsidR="001C0EBD" w:rsidRPr="00732C71" w:rsidRDefault="001C0EBD"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59E97806" wp14:editId="6CAE7371">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7B8F9A27" wp14:editId="4F19BDC8">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99285FD" wp14:editId="752AF6B3">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06FB1E6C" w14:textId="77777777" w:rsidR="001C0EBD" w:rsidRDefault="001C0EBD" w:rsidP="00C518A8">
                                <w:pPr>
                                  <w:tabs>
                                    <w:tab w:val="left" w:pos="601"/>
                                    <w:tab w:val="left" w:pos="1168"/>
                                  </w:tabs>
                                  <w:spacing w:before="120" w:after="60"/>
                                  <w:rPr>
                                    <w:sz w:val="12"/>
                                    <w:szCs w:val="12"/>
                                  </w:rPr>
                                </w:pPr>
                                <w:r>
                                  <w:rPr>
                                    <w:noProof/>
                                    <w:sz w:val="12"/>
                                    <w:szCs w:val="12"/>
                                  </w:rPr>
                                  <w:drawing>
                                    <wp:inline distT="0" distB="0" distL="0" distR="0" wp14:anchorId="0C472F49" wp14:editId="21EDB98C">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7F3E1EA" wp14:editId="222E8E60">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F18AD79" wp14:editId="20C3E86E">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p w14:paraId="6ACAC21D" w14:textId="77777777" w:rsidR="001C0EBD" w:rsidRPr="00732C71" w:rsidRDefault="001C0EBD" w:rsidP="00C518A8">
                                <w:pPr>
                                  <w:tabs>
                                    <w:tab w:val="left" w:pos="601"/>
                                    <w:tab w:val="left" w:pos="1168"/>
                                  </w:tabs>
                                  <w:spacing w:before="120" w:after="60"/>
                                  <w:rPr>
                                    <w:b/>
                                    <w:bCs/>
                                    <w:sz w:val="12"/>
                                    <w:szCs w:val="12"/>
                                  </w:rPr>
                                </w:pPr>
                                <w:r>
                                  <w:rPr>
                                    <w:b/>
                                    <w:bCs/>
                                    <w:sz w:val="12"/>
                                    <w:szCs w:val="12"/>
                                  </w:rPr>
                                  <w:t>#</w:t>
                                </w:r>
                                <w:proofErr w:type="spellStart"/>
                                <w:r>
                                  <w:rPr>
                                    <w:b/>
                                    <w:bCs/>
                                    <w:sz w:val="12"/>
                                    <w:szCs w:val="12"/>
                                  </w:rPr>
                                  <w:t>W</w:t>
                                </w:r>
                                <w:r w:rsidR="007D4934">
                                  <w:rPr>
                                    <w:b/>
                                    <w:bCs/>
                                    <w:sz w:val="12"/>
                                    <w:szCs w:val="12"/>
                                  </w:rPr>
                                  <w:t>oche</w:t>
                                </w:r>
                                <w:r>
                                  <w:rPr>
                                    <w:b/>
                                    <w:bCs/>
                                    <w:sz w:val="12"/>
                                    <w:szCs w:val="12"/>
                                  </w:rPr>
                                  <w:t>d</w:t>
                                </w:r>
                                <w:r w:rsidR="007D4934">
                                  <w:rPr>
                                    <w:b/>
                                    <w:bCs/>
                                    <w:sz w:val="12"/>
                                    <w:szCs w:val="12"/>
                                  </w:rPr>
                                  <w:t>er</w:t>
                                </w:r>
                                <w:r>
                                  <w:rPr>
                                    <w:b/>
                                    <w:bCs/>
                                    <w:sz w:val="12"/>
                                    <w:szCs w:val="12"/>
                                  </w:rPr>
                                  <w:t>U</w:t>
                                </w:r>
                                <w:r w:rsidR="007D4934">
                                  <w:rPr>
                                    <w:b/>
                                    <w:bCs/>
                                    <w:sz w:val="12"/>
                                    <w:szCs w:val="12"/>
                                  </w:rPr>
                                  <w:t>mwelt</w:t>
                                </w:r>
                                <w:proofErr w:type="spellEnd"/>
                              </w:p>
                            </w:tc>
                          </w:tr>
                        </w:tbl>
                        <w:p w14:paraId="4AD01B8B"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D76DF" id="_x0000_t202" coordsize="21600,21600" o:spt="202" path="m,l,21600r21600,l21600,xe">
              <v:stroke joinstyle="miter"/>
              <v:path gradientshapeok="t" o:connecttype="rect"/>
            </v:shapetype>
            <v:shape id="_x0000_s1029" type="#_x0000_t202" style="position:absolute;margin-left:0;margin-top:-68.3pt;width:350.8pt;height:7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" filled="f" stroked="f">
              <v:textbo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1C0EBD" w14:paraId="7F85CB2B" w14:textId="77777777" w:rsidTr="001C0EBD">
                      <w:tc>
                        <w:tcPr>
                          <w:tcW w:w="2376" w:type="dxa"/>
                        </w:tcPr>
                        <w:p w14:paraId="79D06601" w14:textId="321CBB59" w:rsidR="001C0EBD" w:rsidRPr="00732C71" w:rsidRDefault="001C0EBD" w:rsidP="00C518A8">
                          <w:pPr>
                            <w:tabs>
                              <w:tab w:val="left" w:pos="1168"/>
                            </w:tabs>
                            <w:spacing w:before="120"/>
                            <w:rPr>
                              <w:b/>
                              <w:sz w:val="12"/>
                              <w:szCs w:val="12"/>
                            </w:rPr>
                          </w:pPr>
                          <w:r w:rsidRPr="00732C71">
                            <w:rPr>
                              <w:b/>
                              <w:sz w:val="12"/>
                              <w:szCs w:val="12"/>
                            </w:rPr>
                            <w:t xml:space="preserve">Nr. </w:t>
                          </w:r>
                          <w:r w:rsidR="00C54885">
                            <w:rPr>
                              <w:b/>
                              <w:sz w:val="12"/>
                              <w:szCs w:val="12"/>
                            </w:rPr>
                            <w:t>064</w:t>
                          </w:r>
                          <w:r w:rsidRPr="00732C71">
                            <w:rPr>
                              <w:b/>
                              <w:sz w:val="12"/>
                              <w:szCs w:val="12"/>
                            </w:rPr>
                            <w:t>/202</w:t>
                          </w:r>
                          <w:r>
                            <w:rPr>
                              <w:b/>
                              <w:sz w:val="12"/>
                              <w:szCs w:val="12"/>
                            </w:rPr>
                            <w:t>4</w:t>
                          </w:r>
                          <w:r w:rsidRPr="00732C71">
                            <w:rPr>
                              <w:b/>
                              <w:sz w:val="12"/>
                              <w:szCs w:val="12"/>
                            </w:rPr>
                            <w:br/>
                            <w:t xml:space="preserve">  </w:t>
                          </w:r>
                        </w:p>
                        <w:p w14:paraId="4AE62102" w14:textId="77777777" w:rsidR="001C0EBD" w:rsidRPr="00C76C43" w:rsidRDefault="001C0EBD" w:rsidP="00C518A8">
                          <w:pPr>
                            <w:pStyle w:val="Fuzeile"/>
                            <w:rPr>
                              <w:sz w:val="12"/>
                              <w:szCs w:val="12"/>
                            </w:rPr>
                          </w:pPr>
                          <w:r w:rsidRPr="00732C71">
                            <w:rPr>
                              <w:sz w:val="12"/>
                              <w:szCs w:val="12"/>
                            </w:rPr>
                            <w:t>Klaus Jongebloed</w:t>
                          </w:r>
                          <w:r w:rsidRPr="00732C71">
                            <w:rPr>
                              <w:sz w:val="12"/>
                              <w:szCs w:val="12"/>
                            </w:rPr>
                            <w:br/>
                          </w:r>
                          <w:r w:rsidRPr="00732C71">
                            <w:rPr>
                              <w:sz w:val="12"/>
                              <w:szCs w:val="12"/>
                            </w:rPr>
                            <w:br/>
                          </w:r>
                          <w:r>
                            <w:rPr>
                              <w:sz w:val="12"/>
                              <w:szCs w:val="12"/>
                            </w:rPr>
                            <w:t>Lea Kessens</w:t>
                          </w:r>
                        </w:p>
                      </w:tc>
                      <w:tc>
                        <w:tcPr>
                          <w:tcW w:w="2127" w:type="dxa"/>
                        </w:tcPr>
                        <w:p w14:paraId="798D3240" w14:textId="77777777" w:rsidR="001C0EBD" w:rsidRPr="00732C71" w:rsidRDefault="001C0EBD"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14:paraId="38CDAA00" w14:textId="77777777" w:rsidR="001C0EBD" w:rsidRPr="00732C71" w:rsidRDefault="001C0EBD" w:rsidP="00C518A8">
                          <w:pPr>
                            <w:tabs>
                              <w:tab w:val="left" w:pos="743"/>
                            </w:tabs>
                            <w:rPr>
                              <w:sz w:val="12"/>
                              <w:szCs w:val="12"/>
                            </w:rPr>
                          </w:pPr>
                          <w:r w:rsidRPr="00732C71">
                            <w:rPr>
                              <w:sz w:val="12"/>
                              <w:szCs w:val="12"/>
                            </w:rPr>
                            <w:t>Telefon</w:t>
                          </w:r>
                          <w:r w:rsidRPr="00732C71">
                            <w:rPr>
                              <w:sz w:val="12"/>
                              <w:szCs w:val="12"/>
                            </w:rPr>
                            <w:tab/>
                            <w:t>+49 541 9633-521</w:t>
                          </w:r>
                        </w:p>
                        <w:p w14:paraId="44FF9971" w14:textId="77777777" w:rsidR="001C0EBD" w:rsidRPr="00732C71" w:rsidRDefault="001C0EBD"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14:paraId="1CAE5CEB" w14:textId="77777777" w:rsidR="001C0EBD" w:rsidRPr="00732C71" w:rsidRDefault="00C54885" w:rsidP="00C518A8">
                          <w:pPr>
                            <w:pStyle w:val="Fuzeile"/>
                            <w:rPr>
                              <w:rStyle w:val="Hyperlink"/>
                              <w:sz w:val="12"/>
                              <w:szCs w:val="12"/>
                            </w:rPr>
                          </w:pPr>
                          <w:hyperlink r:id="rId16" w:history="1">
                            <w:r w:rsidR="001C0EBD" w:rsidRPr="00732C71">
                              <w:rPr>
                                <w:rStyle w:val="Hyperlink"/>
                                <w:sz w:val="12"/>
                                <w:szCs w:val="12"/>
                              </w:rPr>
                              <w:t>www.dbu.de</w:t>
                            </w:r>
                          </w:hyperlink>
                        </w:p>
                        <w:p w14:paraId="682F672E" w14:textId="77777777" w:rsidR="001C0EBD" w:rsidRPr="00732C71" w:rsidRDefault="001C0EBD" w:rsidP="00C518A8">
                          <w:pPr>
                            <w:pStyle w:val="Fuzeile"/>
                          </w:pPr>
                        </w:p>
                      </w:tc>
                      <w:tc>
                        <w:tcPr>
                          <w:tcW w:w="2268" w:type="dxa"/>
                        </w:tcPr>
                        <w:p w14:paraId="7D96384F" w14:textId="77777777" w:rsidR="001C0EBD" w:rsidRPr="00732C71" w:rsidRDefault="001C0EBD"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59E97806" wp14:editId="6CAE7371">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Pr>
                              <w:noProof/>
                              <w:sz w:val="12"/>
                              <w:szCs w:val="12"/>
                            </w:rPr>
                            <w:drawing>
                              <wp:inline distT="0" distB="0" distL="0" distR="0" wp14:anchorId="7B8F9A27" wp14:editId="4F19BDC8">
                                <wp:extent cx="182880" cy="133828"/>
                                <wp:effectExtent l="0" t="0" r="7620" b="0"/>
                                <wp:docPr id="12" name="Grafik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99285FD" wp14:editId="752AF6B3">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06FB1E6C" w14:textId="77777777" w:rsidR="001C0EBD" w:rsidRDefault="001C0EBD" w:rsidP="00C518A8">
                          <w:pPr>
                            <w:tabs>
                              <w:tab w:val="left" w:pos="601"/>
                              <w:tab w:val="left" w:pos="1168"/>
                            </w:tabs>
                            <w:spacing w:before="120" w:after="60"/>
                            <w:rPr>
                              <w:sz w:val="12"/>
                              <w:szCs w:val="12"/>
                            </w:rPr>
                          </w:pPr>
                          <w:r>
                            <w:rPr>
                              <w:noProof/>
                              <w:sz w:val="12"/>
                              <w:szCs w:val="12"/>
                            </w:rPr>
                            <w:drawing>
                              <wp:inline distT="0" distB="0" distL="0" distR="0" wp14:anchorId="0C472F49" wp14:editId="21EDB98C">
                                <wp:extent cx="178777" cy="178777"/>
                                <wp:effectExtent l="0" t="0" r="0" b="0"/>
                                <wp:docPr id="13" name="Grafik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7F3E1EA" wp14:editId="222E8E60">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F18AD79" wp14:editId="20C3E86E">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p>
                        <w:p w14:paraId="6ACAC21D" w14:textId="77777777" w:rsidR="001C0EBD" w:rsidRPr="00732C71" w:rsidRDefault="001C0EBD" w:rsidP="00C518A8">
                          <w:pPr>
                            <w:tabs>
                              <w:tab w:val="left" w:pos="601"/>
                              <w:tab w:val="left" w:pos="1168"/>
                            </w:tabs>
                            <w:spacing w:before="120" w:after="60"/>
                            <w:rPr>
                              <w:b/>
                              <w:bCs/>
                              <w:sz w:val="12"/>
                              <w:szCs w:val="12"/>
                            </w:rPr>
                          </w:pPr>
                          <w:r>
                            <w:rPr>
                              <w:b/>
                              <w:bCs/>
                              <w:sz w:val="12"/>
                              <w:szCs w:val="12"/>
                            </w:rPr>
                            <w:t>#</w:t>
                          </w:r>
                          <w:proofErr w:type="spellStart"/>
                          <w:r>
                            <w:rPr>
                              <w:b/>
                              <w:bCs/>
                              <w:sz w:val="12"/>
                              <w:szCs w:val="12"/>
                            </w:rPr>
                            <w:t>W</w:t>
                          </w:r>
                          <w:r w:rsidR="007D4934">
                            <w:rPr>
                              <w:b/>
                              <w:bCs/>
                              <w:sz w:val="12"/>
                              <w:szCs w:val="12"/>
                            </w:rPr>
                            <w:t>oche</w:t>
                          </w:r>
                          <w:r>
                            <w:rPr>
                              <w:b/>
                              <w:bCs/>
                              <w:sz w:val="12"/>
                              <w:szCs w:val="12"/>
                            </w:rPr>
                            <w:t>d</w:t>
                          </w:r>
                          <w:r w:rsidR="007D4934">
                            <w:rPr>
                              <w:b/>
                              <w:bCs/>
                              <w:sz w:val="12"/>
                              <w:szCs w:val="12"/>
                            </w:rPr>
                            <w:t>er</w:t>
                          </w:r>
                          <w:r>
                            <w:rPr>
                              <w:b/>
                              <w:bCs/>
                              <w:sz w:val="12"/>
                              <w:szCs w:val="12"/>
                            </w:rPr>
                            <w:t>U</w:t>
                          </w:r>
                          <w:r w:rsidR="007D4934">
                            <w:rPr>
                              <w:b/>
                              <w:bCs/>
                              <w:sz w:val="12"/>
                              <w:szCs w:val="12"/>
                            </w:rPr>
                            <w:t>mwelt</w:t>
                          </w:r>
                          <w:proofErr w:type="spellEnd"/>
                        </w:p>
                      </w:tc>
                    </w:tr>
                  </w:tbl>
                  <w:p w14:paraId="4AD01B8B" w14:textId="77777777" w:rsidR="00732C71" w:rsidRDefault="00732C71" w:rsidP="00732C71"/>
                </w:txbxContent>
              </v:textbox>
              <w10:wrap anchorx="page"/>
            </v:shape>
          </w:pict>
        </mc:Fallback>
      </mc:AlternateContent>
    </w:r>
  </w:p>
  <w:p w14:paraId="3F3610C0"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50BD" w14:textId="77777777" w:rsidR="00A2440A" w:rsidRDefault="00A2440A" w:rsidP="00732C71">
      <w:pPr>
        <w:spacing w:after="0" w:line="240" w:lineRule="auto"/>
      </w:pPr>
      <w:r>
        <w:separator/>
      </w:r>
    </w:p>
  </w:footnote>
  <w:footnote w:type="continuationSeparator" w:id="0">
    <w:p w14:paraId="72990206" w14:textId="77777777" w:rsidR="00A2440A" w:rsidRDefault="00A2440A"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14:paraId="3A534CFD"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28BD60FD"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0A"/>
    <w:rsid w:val="00007ECB"/>
    <w:rsid w:val="000510C1"/>
    <w:rsid w:val="000B490F"/>
    <w:rsid w:val="000C1023"/>
    <w:rsid w:val="00111323"/>
    <w:rsid w:val="00131EE0"/>
    <w:rsid w:val="00193CC8"/>
    <w:rsid w:val="001C0EBD"/>
    <w:rsid w:val="00254C62"/>
    <w:rsid w:val="002B5F16"/>
    <w:rsid w:val="00324605"/>
    <w:rsid w:val="00331CE3"/>
    <w:rsid w:val="003C17E6"/>
    <w:rsid w:val="003E5C92"/>
    <w:rsid w:val="003F00F0"/>
    <w:rsid w:val="00416524"/>
    <w:rsid w:val="00424F67"/>
    <w:rsid w:val="00460DA3"/>
    <w:rsid w:val="00485F65"/>
    <w:rsid w:val="004C5B43"/>
    <w:rsid w:val="00523E20"/>
    <w:rsid w:val="00557591"/>
    <w:rsid w:val="0062708D"/>
    <w:rsid w:val="00627624"/>
    <w:rsid w:val="00631FD8"/>
    <w:rsid w:val="00686764"/>
    <w:rsid w:val="006914C4"/>
    <w:rsid w:val="00732C71"/>
    <w:rsid w:val="00754971"/>
    <w:rsid w:val="00796E34"/>
    <w:rsid w:val="007D10D6"/>
    <w:rsid w:val="007D4934"/>
    <w:rsid w:val="007E0CD2"/>
    <w:rsid w:val="0086554F"/>
    <w:rsid w:val="008C13CA"/>
    <w:rsid w:val="008C355F"/>
    <w:rsid w:val="00944EFE"/>
    <w:rsid w:val="00975DEF"/>
    <w:rsid w:val="00A12465"/>
    <w:rsid w:val="00A2440A"/>
    <w:rsid w:val="00A663BC"/>
    <w:rsid w:val="00A71291"/>
    <w:rsid w:val="00AD5620"/>
    <w:rsid w:val="00B72A5D"/>
    <w:rsid w:val="00C30E96"/>
    <w:rsid w:val="00C3163B"/>
    <w:rsid w:val="00C47C4F"/>
    <w:rsid w:val="00C52BB8"/>
    <w:rsid w:val="00C54885"/>
    <w:rsid w:val="00C76C43"/>
    <w:rsid w:val="00CC32C4"/>
    <w:rsid w:val="00D81F3C"/>
    <w:rsid w:val="00EF33E1"/>
    <w:rsid w:val="00F43C2D"/>
    <w:rsid w:val="00F440C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87C45"/>
  <w15:docId w15:val="{91527F2B-1A55-4DB5-9BE3-E9B38E9A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BesuchterLink">
    <w:name w:val="FollowedHyperlink"/>
    <w:basedOn w:val="Absatz-Standardschriftart"/>
    <w:uiPriority w:val="99"/>
    <w:semiHidden/>
    <w:unhideWhenUsed/>
    <w:rsid w:val="00324605"/>
    <w:rPr>
      <w:color w:val="800080" w:themeColor="followedHyperlink"/>
      <w:u w:val="single"/>
    </w:rPr>
  </w:style>
  <w:style w:type="character" w:styleId="NichtaufgelsteErwhnung">
    <w:name w:val="Unresolved Mention"/>
    <w:basedOn w:val="Absatz-Standardschriftart"/>
    <w:uiPriority w:val="99"/>
    <w:semiHidden/>
    <w:unhideWhenUsed/>
    <w:rsid w:val="00D8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u.de/anmeldung-wdu" TargetMode="External"/><Relationship Id="rId13" Type="http://schemas.openxmlformats.org/officeDocument/2006/relationships/hyperlink" Target="https://www.woche-der-umwelt.de/wdu-aussteller/laser-zentrum-hannover-e-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woche-der-umwelt.de/wdu-aussteller/deutsche-gesellschaft-fuer-nachhaltiges-bauen-dgnb-e-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woche-der-umwelt.de/" TargetMode="External"/><Relationship Id="rId11" Type="http://schemas.openxmlformats.org/officeDocument/2006/relationships/hyperlink" Target="https://www.woche-der-umwelt.de/wdu-aussteller/h%e2%82%82mar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woche-der-umwelt.de/wdu-aussteller/"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woche-der-umwelt.de/wdu-aussteller/georgsmarienhuette-holding-gmbh/"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7.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4.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6.png"/><Relationship Id="rId4" Type="http://schemas.openxmlformats.org/officeDocument/2006/relationships/image" Target="media/image3.jpeg"/><Relationship Id="rId9" Type="http://schemas.openxmlformats.org/officeDocument/2006/relationships/hyperlink" Target="https://www.instagram.com/deutsche.bundesstiftung.umwelt/" TargetMode="External"/><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ABTS-DAT\REF-PRES\Woche%20der%20Umwelt\Woche%20der%20Umwelt%202024\Einladungen,%20Mitteilungen\Vorlagen\PR_Pressemitteilung_WdU%202024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PR_Pressemitteilung_WdU 2024_DBU.dotx</Template>
  <TotalTime>0</TotalTime>
  <Pages>2</Pages>
  <Words>775</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Jongebloed, Klaus</dc:creator>
  <cp:lastModifiedBy>Rase, Chantal</cp:lastModifiedBy>
  <cp:revision>3</cp:revision>
  <cp:lastPrinted>2024-05-07T16:17:00Z</cp:lastPrinted>
  <dcterms:created xsi:type="dcterms:W3CDTF">2024-05-08T10:23:00Z</dcterms:created>
  <dcterms:modified xsi:type="dcterms:W3CDTF">2024-05-08T12:44:00Z</dcterms:modified>
</cp:coreProperties>
</file>