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DEDAA" w14:textId="77777777" w:rsidR="00A049B5" w:rsidRDefault="00A049B5" w:rsidP="00A049B5">
      <w:pPr>
        <w:spacing w:line="360" w:lineRule="auto"/>
        <w:rPr>
          <w:b/>
          <w:bCs/>
          <w:color w:val="0303B8" w:themeColor="text1"/>
          <w:sz w:val="28"/>
          <w:szCs w:val="28"/>
          <w:lang w:val="de-DE"/>
        </w:rPr>
      </w:pPr>
      <w:bookmarkStart w:id="0" w:name="_Hlk1378866"/>
      <w:r w:rsidRPr="00A049B5">
        <w:rPr>
          <w:b/>
          <w:bCs/>
          <w:color w:val="0303B8" w:themeColor="text1"/>
          <w:sz w:val="28"/>
          <w:szCs w:val="28"/>
          <w:lang w:val="de-DE"/>
        </w:rPr>
        <w:t>GEA erweitert sein Portfolio an pharmazeutischen Separatoren um neue Modelle GEA aseptic 15 und GEA pure 15</w:t>
      </w:r>
    </w:p>
    <w:p w14:paraId="6605CEB1" w14:textId="77777777" w:rsidR="00A049B5" w:rsidRPr="00A049B5" w:rsidRDefault="00A049B5" w:rsidP="00A049B5">
      <w:pPr>
        <w:spacing w:line="360" w:lineRule="auto"/>
        <w:rPr>
          <w:b/>
          <w:bCs/>
          <w:color w:val="0303B8" w:themeColor="text1"/>
          <w:sz w:val="28"/>
          <w:szCs w:val="28"/>
          <w:lang w:val="de-DE"/>
        </w:rPr>
      </w:pPr>
    </w:p>
    <w:p w14:paraId="6FDE349A" w14:textId="178FBCF8" w:rsidR="00A049B5" w:rsidRPr="00A049B5" w:rsidRDefault="00A049B5" w:rsidP="00A049B5">
      <w:pPr>
        <w:spacing w:line="360" w:lineRule="auto"/>
        <w:rPr>
          <w:bCs/>
          <w:color w:val="auto"/>
          <w:lang w:val="de-DE"/>
        </w:rPr>
      </w:pPr>
      <w:r w:rsidRPr="00A049B5">
        <w:rPr>
          <w:b/>
          <w:color w:val="0303B8" w:themeColor="text1"/>
          <w:lang w:val="de-DE"/>
        </w:rPr>
        <w:t>Düsseldorf</w:t>
      </w:r>
      <w:r w:rsidR="00F47103">
        <w:rPr>
          <w:b/>
          <w:color w:val="0303B8" w:themeColor="text1"/>
          <w:lang w:val="de-DE"/>
        </w:rPr>
        <w:t xml:space="preserve">, </w:t>
      </w:r>
      <w:r w:rsidRPr="00A049B5">
        <w:rPr>
          <w:b/>
          <w:color w:val="0303B8" w:themeColor="text1"/>
          <w:lang w:val="de-DE"/>
        </w:rPr>
        <w:t xml:space="preserve">17. September 2026 – </w:t>
      </w:r>
      <w:r w:rsidRPr="00A049B5">
        <w:rPr>
          <w:bCs/>
          <w:color w:val="auto"/>
          <w:lang w:val="de-DE"/>
        </w:rPr>
        <w:t>GEA erweitert seine Plattform für pharmazeutische Separatoren um die neuen Modelle GEA aseptic 15 und GEA pure 15. Diese kompakten Separatoren ergänzen die bestehende Baureihe, indem sie eine Lösung für kleinere Durchsatzbereiche bieten, und unterstützen Hersteller von Arzneimitteln und Biopharmazeutika flexibel, sicher und kosteneffizient bei Entwicklungs-, Pilot- und Produktionsprozessen. Die kompakten Separatoren für kleinere Produktionsmengen vereinen hohe Prozessflexibilität, hygienisches Design und effiziente Produktausbeute. Mit Kapazitäten von 250 bis 500 Litern pro Stunde in der Klärbehälterausführung und von 350 bis 600 Litern pro Stunde in der Trommel-Ausführung schließen die neuen Modelle die Lücke zwischen Labor- und größeren Produktionsseparatoren. Sie eignen sich besonders gut für kleinere Chargen, klinische Anwendungen sowie die Entwicklung und Skalierung neuer biopharmazeutischer Prozesse. „Mit dem aseptic 15 und dem pure 15 bringen wir die bewährten Vorteile unsere</w:t>
      </w:r>
      <w:r>
        <w:rPr>
          <w:bCs/>
          <w:color w:val="auto"/>
          <w:lang w:val="de-DE"/>
        </w:rPr>
        <w:t>s</w:t>
      </w:r>
      <w:r w:rsidRPr="00A049B5">
        <w:rPr>
          <w:bCs/>
          <w:color w:val="auto"/>
          <w:lang w:val="de-DE"/>
        </w:rPr>
        <w:t xml:space="preserve"> neuen pharmazeutischen Zentrifugen</w:t>
      </w:r>
      <w:r>
        <w:rPr>
          <w:bCs/>
          <w:color w:val="auto"/>
          <w:lang w:val="de-DE"/>
        </w:rPr>
        <w:t xml:space="preserve">-Portfolio </w:t>
      </w:r>
      <w:r w:rsidRPr="00A049B5">
        <w:rPr>
          <w:bCs/>
          <w:color w:val="auto"/>
          <w:lang w:val="de-DE"/>
        </w:rPr>
        <w:t>auch für kleinere Produktionsmengen auf den Markt“, sagt Rüdiger Göhmann, Produktmanager bei GEA. „Kunden profitieren von derselben technologischen Plattform, hohen Hygienestandards und voller Flexibilität für unterschiedliche Produkte und Feststoffgehalte – und das alles in einer kompakten Bauweise, die speziell auf anspruchsvolle pharmazeutische Umgebungen zugeschnitten ist.“</w:t>
      </w:r>
    </w:p>
    <w:p w14:paraId="3A94DC0D" w14:textId="77777777" w:rsidR="00A049B5" w:rsidRPr="00A049B5" w:rsidRDefault="00A049B5" w:rsidP="00A049B5">
      <w:pPr>
        <w:spacing w:line="360" w:lineRule="auto"/>
        <w:rPr>
          <w:b/>
          <w:color w:val="0303B8" w:themeColor="text1"/>
          <w:lang w:val="de-DE"/>
        </w:rPr>
      </w:pPr>
    </w:p>
    <w:p w14:paraId="7BCAABF8"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t>Maximale Flexibilität durch das flexChange-Konzept</w:t>
      </w:r>
    </w:p>
    <w:p w14:paraId="333EBD4A" w14:textId="17FE3609" w:rsidR="00A049B5" w:rsidRDefault="00A049B5" w:rsidP="00A049B5">
      <w:pPr>
        <w:spacing w:line="360" w:lineRule="auto"/>
        <w:rPr>
          <w:bCs/>
          <w:color w:val="auto"/>
          <w:lang w:val="de-DE"/>
        </w:rPr>
      </w:pPr>
      <w:r w:rsidRPr="00A049B5">
        <w:rPr>
          <w:bCs/>
          <w:color w:val="auto"/>
          <w:lang w:val="de-DE"/>
        </w:rPr>
        <w:t xml:space="preserve">Ein wesentliches Merkmal der neuen Baugröße ist das flexChange-Konzept. Es ermöglicht Anwendern, unterschiedliche Trommelkonfigurationen auf demselben Skid einzusetzen und die Maschine so an unterschiedliche Prozessanforderungen, Produktviskositäten und Feststoffgehalte anzupassen. Für aseptic 15 und pure 15 stehen vier Trommeloptionen zur Verfügung. </w:t>
      </w:r>
    </w:p>
    <w:p w14:paraId="0E88BF70" w14:textId="77777777" w:rsidR="00A049B5" w:rsidRDefault="00A049B5" w:rsidP="00A049B5">
      <w:pPr>
        <w:spacing w:line="360" w:lineRule="auto"/>
        <w:rPr>
          <w:bCs/>
          <w:color w:val="auto"/>
          <w:lang w:val="de-DE"/>
        </w:rPr>
      </w:pPr>
    </w:p>
    <w:p w14:paraId="293453B6" w14:textId="08F08771" w:rsidR="00A049B5" w:rsidRPr="00A049B5" w:rsidRDefault="00A049B5" w:rsidP="00A049B5">
      <w:pPr>
        <w:spacing w:line="360" w:lineRule="auto"/>
        <w:rPr>
          <w:bCs/>
          <w:color w:val="auto"/>
          <w:lang w:val="de-DE"/>
        </w:rPr>
      </w:pPr>
      <w:r w:rsidRPr="00A049B5">
        <w:rPr>
          <w:bCs/>
          <w:color w:val="auto"/>
          <w:lang w:val="de-DE"/>
        </w:rPr>
        <w:t>Folgende Varianten sind erhältlich:</w:t>
      </w:r>
    </w:p>
    <w:p w14:paraId="577C4874" w14:textId="77777777" w:rsidR="00A049B5" w:rsidRPr="00A049B5" w:rsidRDefault="00A049B5" w:rsidP="00A049B5">
      <w:pPr>
        <w:spacing w:line="360" w:lineRule="auto"/>
        <w:rPr>
          <w:bCs/>
          <w:color w:val="auto"/>
          <w:lang w:val="de-DE"/>
        </w:rPr>
      </w:pPr>
    </w:p>
    <w:p w14:paraId="55F47417" w14:textId="77777777" w:rsidR="00A049B5" w:rsidRPr="00A049B5" w:rsidRDefault="00A049B5" w:rsidP="00A049B5">
      <w:pPr>
        <w:spacing w:line="360" w:lineRule="auto"/>
        <w:rPr>
          <w:bCs/>
          <w:color w:val="auto"/>
          <w:lang w:val="de-DE"/>
        </w:rPr>
      </w:pPr>
      <w:r w:rsidRPr="00A049B5">
        <w:rPr>
          <w:bCs/>
          <w:color w:val="auto"/>
          <w:lang w:val="de-DE"/>
        </w:rPr>
        <w:t>• HighSigma-Klärtrommel für Feststoffgehalte bis zu 5 Volumenprozent</w:t>
      </w:r>
    </w:p>
    <w:p w14:paraId="1E166A0E" w14:textId="77777777" w:rsidR="00A049B5" w:rsidRPr="00A049B5" w:rsidRDefault="00A049B5" w:rsidP="00A049B5">
      <w:pPr>
        <w:spacing w:line="360" w:lineRule="auto"/>
        <w:rPr>
          <w:bCs/>
          <w:color w:val="auto"/>
          <w:lang w:val="de-DE"/>
        </w:rPr>
      </w:pPr>
      <w:r w:rsidRPr="00A049B5">
        <w:rPr>
          <w:bCs/>
          <w:color w:val="auto"/>
          <w:lang w:val="de-DE"/>
        </w:rPr>
        <w:t>• HighVol-Klärtrommel für Feststoffgehalte bis zu 10 Volumenprozent</w:t>
      </w:r>
    </w:p>
    <w:p w14:paraId="5CEF4A70" w14:textId="77777777" w:rsidR="00A049B5" w:rsidRPr="00A049B5" w:rsidRDefault="00A049B5" w:rsidP="00A049B5">
      <w:pPr>
        <w:spacing w:line="360" w:lineRule="auto"/>
        <w:rPr>
          <w:bCs/>
          <w:color w:val="auto"/>
          <w:lang w:val="de-DE"/>
        </w:rPr>
      </w:pPr>
      <w:r w:rsidRPr="00A049B5">
        <w:rPr>
          <w:bCs/>
          <w:color w:val="auto"/>
          <w:lang w:val="de-DE"/>
        </w:rPr>
        <w:t>• flexiCon-Düsen-Trommel für Feststoffgehalte bis zu 30 Volumenprozent</w:t>
      </w:r>
    </w:p>
    <w:p w14:paraId="6307A318" w14:textId="77777777" w:rsidR="00A049B5" w:rsidRPr="00A049B5" w:rsidRDefault="00A049B5" w:rsidP="00A049B5">
      <w:pPr>
        <w:spacing w:line="360" w:lineRule="auto"/>
        <w:rPr>
          <w:bCs/>
          <w:color w:val="auto"/>
          <w:lang w:val="de-DE"/>
        </w:rPr>
      </w:pPr>
      <w:r w:rsidRPr="00A049B5">
        <w:rPr>
          <w:bCs/>
          <w:color w:val="auto"/>
          <w:lang w:val="de-DE"/>
        </w:rPr>
        <w:lastRenderedPageBreak/>
        <w:t>• visCon-Düsen-Trommel für anspruchsvolle Anwendungen mit höherem Durchsatz</w:t>
      </w:r>
    </w:p>
    <w:p w14:paraId="3708CBF3" w14:textId="77777777" w:rsidR="00A049B5" w:rsidRPr="00A049B5" w:rsidRDefault="00A049B5" w:rsidP="00A049B5">
      <w:pPr>
        <w:spacing w:line="360" w:lineRule="auto"/>
        <w:rPr>
          <w:bCs/>
          <w:color w:val="auto"/>
          <w:lang w:val="de-DE"/>
        </w:rPr>
      </w:pPr>
      <w:r w:rsidRPr="00A049B5">
        <w:rPr>
          <w:bCs/>
          <w:color w:val="auto"/>
          <w:lang w:val="de-DE"/>
        </w:rPr>
        <w:t>Dadurch können Hersteller sich an wechselnde Produkte anpassen, ohne für jede Anwendung eine separate Maschine vorhalten zu müssen. Dies fördert eine höhere Auslastung der Anlage, erleichtert die Prozessentwicklung und das Scale-up und kann dazu beitragen, die Ausbeute und die Prozesseffizienz zu verbessern.</w:t>
      </w:r>
    </w:p>
    <w:p w14:paraId="75C11CF6" w14:textId="77777777" w:rsidR="00A049B5" w:rsidRPr="00A049B5" w:rsidRDefault="00A049B5" w:rsidP="00A049B5">
      <w:pPr>
        <w:spacing w:line="360" w:lineRule="auto"/>
        <w:rPr>
          <w:bCs/>
          <w:color w:val="auto"/>
          <w:lang w:val="de-DE"/>
        </w:rPr>
      </w:pPr>
    </w:p>
    <w:p w14:paraId="0C811077"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t>Hygienisches Design für unterschiedliche Anforderungen</w:t>
      </w:r>
    </w:p>
    <w:p w14:paraId="4E616BE3" w14:textId="77777777" w:rsidR="00A049B5" w:rsidRPr="00A049B5" w:rsidRDefault="00A049B5" w:rsidP="00A049B5">
      <w:pPr>
        <w:spacing w:line="360" w:lineRule="auto"/>
        <w:rPr>
          <w:bCs/>
          <w:color w:val="auto"/>
          <w:lang w:val="de-DE"/>
        </w:rPr>
      </w:pPr>
      <w:r w:rsidRPr="00A049B5">
        <w:rPr>
          <w:bCs/>
          <w:color w:val="auto"/>
          <w:lang w:val="de-DE"/>
        </w:rPr>
        <w:t>Die GEA pure 15 ist für hygienisch anspruchsvolle Anwendungen konzipiert und lässt sich entsprechend spezifischer Prozessanforderungen konfigurieren. Die GEA aseptic 15 ist für Anwendungen mit besonders hohen Anforderungen an Produktsicherheit, Reinraumtauglichkeit, Reinigbarkeit und Validierung vorgesehen und für die Sterilisation vor Ort (SIP) ausgelegt. Beide Modelle basieren auf dem modularen Hygienekonzept der GEA Pharma-Separatoren. Dazu gehören hervorragende Reinigbarkeit, glatte Produktkontaktflächen, automatische CIP-Fähigkeit sowie – je nach Konfiguration und Kundenanforderungen – zusätzliche Dokumentations-, Material- und Oberflächenzertifizierungen.</w:t>
      </w:r>
    </w:p>
    <w:p w14:paraId="0A74C852" w14:textId="77777777" w:rsidR="00A049B5" w:rsidRPr="00A049B5" w:rsidRDefault="00A049B5" w:rsidP="00A049B5">
      <w:pPr>
        <w:spacing w:line="360" w:lineRule="auto"/>
        <w:rPr>
          <w:bCs/>
          <w:color w:val="auto"/>
          <w:lang w:val="de-DE"/>
        </w:rPr>
      </w:pPr>
    </w:p>
    <w:p w14:paraId="3D35B7FF"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t>Integrierter Direktantrieb reduziert Wartungsaufwand und Platzbedarf</w:t>
      </w:r>
    </w:p>
    <w:p w14:paraId="50E0930B" w14:textId="77777777" w:rsidR="00A049B5" w:rsidRPr="00A049B5" w:rsidRDefault="00A049B5" w:rsidP="00A049B5">
      <w:pPr>
        <w:spacing w:line="360" w:lineRule="auto"/>
        <w:rPr>
          <w:bCs/>
          <w:color w:val="auto"/>
          <w:lang w:val="de-DE"/>
        </w:rPr>
      </w:pPr>
      <w:r w:rsidRPr="00A049B5">
        <w:rPr>
          <w:bCs/>
          <w:color w:val="auto"/>
          <w:lang w:val="de-DE"/>
        </w:rPr>
        <w:t>Beim neuen Modell der Baugröße 15 setzt GEA auf einen integrierten Direktantrieb mit austauschbarer Antriebskassette. Das XDD-Antriebskonzept reduziert die Anzahl beweglicher und verschleißanfälliger Teile, vereinfacht die Wartung und sorgt für eine hohe Anlagenverfügbarkeit. Die kompakte Bauweise hilft, Platz in kostenintensiven Reinraumumgebungen zu sparen. Gleichzeitig trägt das neue Antriebskonzept zu einem energieeffizienten Betrieb und geringeren Geräuschemissionen bei.</w:t>
      </w:r>
    </w:p>
    <w:p w14:paraId="5275EBEE" w14:textId="77777777" w:rsidR="00A049B5" w:rsidRPr="00A049B5" w:rsidRDefault="00A049B5" w:rsidP="00A049B5">
      <w:pPr>
        <w:spacing w:line="360" w:lineRule="auto"/>
        <w:rPr>
          <w:bCs/>
          <w:color w:val="auto"/>
          <w:lang w:val="de-DE"/>
        </w:rPr>
      </w:pPr>
    </w:p>
    <w:p w14:paraId="10E8E8A0"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t>Teil einer skalierbaren pharmazeutischen Plattform</w:t>
      </w:r>
    </w:p>
    <w:p w14:paraId="5230E976" w14:textId="1E2B1032" w:rsidR="00A049B5" w:rsidRPr="00A049B5" w:rsidRDefault="00A049B5" w:rsidP="00A049B5">
      <w:pPr>
        <w:spacing w:line="360" w:lineRule="auto"/>
        <w:rPr>
          <w:bCs/>
          <w:color w:val="auto"/>
          <w:lang w:val="de-DE"/>
        </w:rPr>
      </w:pPr>
      <w:r w:rsidRPr="00A049B5">
        <w:rPr>
          <w:bCs/>
          <w:color w:val="auto"/>
          <w:lang w:val="de-DE"/>
        </w:rPr>
        <w:t xml:space="preserve">Mit </w:t>
      </w:r>
      <w:r>
        <w:rPr>
          <w:bCs/>
          <w:color w:val="auto"/>
          <w:lang w:val="de-DE"/>
        </w:rPr>
        <w:t>a</w:t>
      </w:r>
      <w:r w:rsidRPr="00A049B5">
        <w:rPr>
          <w:bCs/>
          <w:color w:val="auto"/>
          <w:lang w:val="de-DE"/>
        </w:rPr>
        <w:t xml:space="preserve">septic 15 und </w:t>
      </w:r>
      <w:r>
        <w:rPr>
          <w:bCs/>
          <w:color w:val="auto"/>
          <w:lang w:val="de-DE"/>
        </w:rPr>
        <w:t>p</w:t>
      </w:r>
      <w:r w:rsidRPr="00A049B5">
        <w:rPr>
          <w:bCs/>
          <w:color w:val="auto"/>
          <w:lang w:val="de-DE"/>
        </w:rPr>
        <w:t>ure 15 umfasst die pharmazeutische Separator-Serie nun fünf Baugrößen. Der Kapazitätsbereich reicht von 250 bis 20.000 Liter pro Stunde und ermöglicht so eine nahtlose Technologieplattform vom Entwicklungs- und Pilotmaßstab bis hin zur industriellen Produktion. Für Hersteller erleichtert dies die sichere Prozessübertragung, Validierung und anschließende Skalierung.</w:t>
      </w:r>
    </w:p>
    <w:p w14:paraId="39793B92" w14:textId="77777777" w:rsidR="00A049B5" w:rsidRPr="00A049B5" w:rsidRDefault="00A049B5" w:rsidP="00A049B5">
      <w:pPr>
        <w:spacing w:line="360" w:lineRule="auto"/>
        <w:rPr>
          <w:bCs/>
          <w:color w:val="auto"/>
          <w:lang w:val="de-DE"/>
        </w:rPr>
      </w:pPr>
    </w:p>
    <w:p w14:paraId="7AEF127F" w14:textId="3CAFC2F5" w:rsidR="00A049B5" w:rsidRPr="00A049B5" w:rsidRDefault="00A049B5" w:rsidP="00A049B5">
      <w:pPr>
        <w:spacing w:line="360" w:lineRule="auto"/>
        <w:rPr>
          <w:bCs/>
          <w:color w:val="auto"/>
          <w:lang w:val="de-DE"/>
        </w:rPr>
      </w:pPr>
      <w:r w:rsidRPr="00A049B5">
        <w:rPr>
          <w:bCs/>
          <w:color w:val="auto"/>
          <w:lang w:val="de-DE"/>
        </w:rPr>
        <w:t xml:space="preserve">Weitere Informationen zu den neuen Separatoren GEA </w:t>
      </w:r>
      <w:r>
        <w:rPr>
          <w:bCs/>
          <w:color w:val="auto"/>
          <w:lang w:val="de-DE"/>
        </w:rPr>
        <w:t>a</w:t>
      </w:r>
      <w:r w:rsidRPr="00A049B5">
        <w:rPr>
          <w:bCs/>
          <w:color w:val="auto"/>
          <w:lang w:val="de-DE"/>
        </w:rPr>
        <w:t xml:space="preserve">septic 15 und GEA </w:t>
      </w:r>
      <w:r>
        <w:rPr>
          <w:bCs/>
          <w:color w:val="auto"/>
          <w:lang w:val="de-DE"/>
        </w:rPr>
        <w:t>p</w:t>
      </w:r>
      <w:r w:rsidRPr="00A049B5">
        <w:rPr>
          <w:bCs/>
          <w:color w:val="auto"/>
          <w:lang w:val="de-DE"/>
        </w:rPr>
        <w:t>ure 15 finden Sie unter</w:t>
      </w:r>
      <w:hyperlink r:id="rId11" w:history="1">
        <w:r w:rsidRPr="00A049B5">
          <w:rPr>
            <w:rStyle w:val="Hyperlink"/>
            <w:bCs/>
            <w:color w:val="auto"/>
            <w:lang w:val="de-DE"/>
          </w:rPr>
          <w:t xml:space="preserve"> www.gea.com</w:t>
        </w:r>
      </w:hyperlink>
      <w:r w:rsidRPr="00A049B5">
        <w:rPr>
          <w:bCs/>
          <w:color w:val="auto"/>
          <w:lang w:val="de-DE"/>
        </w:rPr>
        <w:t>.</w:t>
      </w:r>
    </w:p>
    <w:p w14:paraId="26B02059"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lastRenderedPageBreak/>
        <w:t>Fotos:</w:t>
      </w:r>
    </w:p>
    <w:p w14:paraId="4DD5B2A6" w14:textId="77777777" w:rsidR="00A049B5" w:rsidRPr="00A049B5" w:rsidRDefault="00A049B5" w:rsidP="00A049B5">
      <w:pPr>
        <w:spacing w:line="360" w:lineRule="auto"/>
        <w:rPr>
          <w:b/>
          <w:color w:val="0303B8" w:themeColor="text1"/>
          <w:lang w:val="de-DE"/>
        </w:rPr>
      </w:pPr>
    </w:p>
    <w:p w14:paraId="1A336C9D"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t xml:space="preserve">Foto 1: </w:t>
      </w:r>
    </w:p>
    <w:p w14:paraId="41DA8280" w14:textId="77777777" w:rsidR="00A049B5" w:rsidRDefault="00A049B5" w:rsidP="00A049B5">
      <w:pPr>
        <w:spacing w:line="360" w:lineRule="auto"/>
        <w:rPr>
          <w:b/>
          <w:color w:val="0303B8" w:themeColor="text1"/>
          <w:lang w:val="de-DE"/>
        </w:rPr>
      </w:pPr>
    </w:p>
    <w:p w14:paraId="3947B710" w14:textId="0F46A440" w:rsidR="00F06EB2" w:rsidRPr="00A049B5" w:rsidRDefault="00F06EB2" w:rsidP="00A049B5">
      <w:pPr>
        <w:spacing w:line="360" w:lineRule="auto"/>
        <w:rPr>
          <w:b/>
          <w:color w:val="0303B8" w:themeColor="text1"/>
          <w:lang w:val="de-DE"/>
        </w:rPr>
      </w:pPr>
      <w:r w:rsidRPr="003B245B">
        <w:rPr>
          <w:noProof/>
          <w:szCs w:val="23"/>
          <w:lang w:val="de-DE" w:eastAsia="de-DE"/>
        </w:rPr>
        <w:drawing>
          <wp:inline distT="0" distB="0" distL="0" distR="0" wp14:anchorId="2417F103" wp14:editId="4585B7B0">
            <wp:extent cx="5715000" cy="5791200"/>
            <wp:effectExtent l="0" t="0" r="0" b="0"/>
            <wp:docPr id="2012433233"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5791200"/>
                    </a:xfrm>
                    <a:prstGeom prst="rect">
                      <a:avLst/>
                    </a:prstGeom>
                    <a:noFill/>
                    <a:ln>
                      <a:noFill/>
                    </a:ln>
                  </pic:spPr>
                </pic:pic>
              </a:graphicData>
            </a:graphic>
          </wp:inline>
        </w:drawing>
      </w:r>
    </w:p>
    <w:p w14:paraId="76CD3C91" w14:textId="77777777" w:rsidR="00A049B5" w:rsidRPr="00A049B5" w:rsidRDefault="00A049B5" w:rsidP="00A049B5">
      <w:pPr>
        <w:spacing w:line="360" w:lineRule="auto"/>
        <w:rPr>
          <w:b/>
          <w:color w:val="0303B8" w:themeColor="text1"/>
          <w:lang w:val="de-DE"/>
        </w:rPr>
      </w:pPr>
    </w:p>
    <w:p w14:paraId="3A997F3C" w14:textId="77777777" w:rsidR="00A049B5" w:rsidRPr="00A049B5" w:rsidRDefault="00A049B5" w:rsidP="00A049B5">
      <w:pPr>
        <w:spacing w:line="360" w:lineRule="auto"/>
        <w:rPr>
          <w:b/>
          <w:color w:val="0303B8" w:themeColor="text1"/>
          <w:lang w:val="de-DE"/>
        </w:rPr>
      </w:pPr>
    </w:p>
    <w:p w14:paraId="2DB304AD" w14:textId="3BF7F2C6" w:rsidR="00A049B5" w:rsidRPr="00F06EB2" w:rsidRDefault="00A049B5" w:rsidP="00A049B5">
      <w:pPr>
        <w:spacing w:line="360" w:lineRule="auto"/>
        <w:rPr>
          <w:bCs/>
          <w:color w:val="auto"/>
          <w:lang w:val="de-DE"/>
        </w:rPr>
      </w:pPr>
      <w:r w:rsidRPr="00F06EB2">
        <w:rPr>
          <w:bCs/>
          <w:color w:val="auto"/>
          <w:lang w:val="de-DE"/>
        </w:rPr>
        <w:t>Foto 1, Bildunterschrift: GEA erweitert seine pharmazeutische SeparatoPortfolio um den neuen GEA aseptic 15 (Foto: GEA)</w:t>
      </w:r>
    </w:p>
    <w:p w14:paraId="47C73F8F" w14:textId="77777777" w:rsidR="00A049B5" w:rsidRPr="00A049B5" w:rsidRDefault="00A049B5" w:rsidP="00A049B5">
      <w:pPr>
        <w:spacing w:line="360" w:lineRule="auto"/>
        <w:rPr>
          <w:b/>
          <w:color w:val="0303B8" w:themeColor="text1"/>
          <w:lang w:val="de-DE"/>
        </w:rPr>
      </w:pPr>
    </w:p>
    <w:p w14:paraId="41DE1B34" w14:textId="77777777" w:rsidR="00A049B5" w:rsidRPr="00A049B5" w:rsidRDefault="00A049B5" w:rsidP="00A049B5">
      <w:pPr>
        <w:spacing w:line="360" w:lineRule="auto"/>
        <w:rPr>
          <w:b/>
          <w:color w:val="0303B8" w:themeColor="text1"/>
          <w:lang w:val="de-DE"/>
        </w:rPr>
      </w:pPr>
    </w:p>
    <w:p w14:paraId="0D6359B0" w14:textId="77777777" w:rsidR="00A049B5" w:rsidRPr="00A049B5" w:rsidRDefault="00A049B5" w:rsidP="00A049B5">
      <w:pPr>
        <w:spacing w:line="360" w:lineRule="auto"/>
        <w:rPr>
          <w:b/>
          <w:color w:val="0303B8" w:themeColor="text1"/>
          <w:lang w:val="de-DE"/>
        </w:rPr>
      </w:pPr>
      <w:r w:rsidRPr="00A049B5">
        <w:rPr>
          <w:b/>
          <w:bCs/>
          <w:color w:val="0303B8" w:themeColor="text1"/>
          <w:lang w:val="de-DE"/>
        </w:rPr>
        <w:lastRenderedPageBreak/>
        <w:t>Foto 2:</w:t>
      </w:r>
    </w:p>
    <w:p w14:paraId="37747F1E" w14:textId="77777777" w:rsidR="00A049B5" w:rsidRPr="00A049B5" w:rsidRDefault="00A049B5" w:rsidP="00A049B5">
      <w:pPr>
        <w:spacing w:line="360" w:lineRule="auto"/>
        <w:rPr>
          <w:b/>
          <w:color w:val="0303B8" w:themeColor="text1"/>
          <w:lang w:val="de-DE"/>
        </w:rPr>
      </w:pPr>
    </w:p>
    <w:p w14:paraId="0B3D74FF" w14:textId="5C0121E1" w:rsidR="00A049B5" w:rsidRPr="00A049B5" w:rsidRDefault="00F06EB2" w:rsidP="00A049B5">
      <w:pPr>
        <w:spacing w:line="360" w:lineRule="auto"/>
        <w:rPr>
          <w:b/>
          <w:color w:val="0303B8" w:themeColor="text1"/>
          <w:lang w:val="de-DE"/>
        </w:rPr>
      </w:pPr>
      <w:r w:rsidRPr="003B245B">
        <w:rPr>
          <w:noProof/>
          <w:szCs w:val="23"/>
          <w:lang w:val="de-DE" w:eastAsia="de-DE"/>
        </w:rPr>
        <w:drawing>
          <wp:inline distT="0" distB="0" distL="0" distR="0" wp14:anchorId="327D9A6B" wp14:editId="38BF9266">
            <wp:extent cx="6480175" cy="3644900"/>
            <wp:effectExtent l="0" t="0" r="0" b="0"/>
            <wp:docPr id="126397539"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0175" cy="3644900"/>
                    </a:xfrm>
                    <a:prstGeom prst="rect">
                      <a:avLst/>
                    </a:prstGeom>
                    <a:noFill/>
                    <a:ln>
                      <a:noFill/>
                    </a:ln>
                  </pic:spPr>
                </pic:pic>
              </a:graphicData>
            </a:graphic>
          </wp:inline>
        </w:drawing>
      </w:r>
    </w:p>
    <w:p w14:paraId="4FBE1EF8" w14:textId="77777777" w:rsidR="00A049B5" w:rsidRPr="00A049B5" w:rsidRDefault="00A049B5" w:rsidP="00A049B5">
      <w:pPr>
        <w:spacing w:line="360" w:lineRule="auto"/>
        <w:rPr>
          <w:b/>
          <w:color w:val="0303B8" w:themeColor="text1"/>
          <w:lang w:val="de-DE"/>
        </w:rPr>
      </w:pPr>
    </w:p>
    <w:p w14:paraId="4BB7031C" w14:textId="77777777" w:rsidR="00A049B5" w:rsidRPr="00F06EB2" w:rsidRDefault="00A049B5" w:rsidP="00A049B5">
      <w:pPr>
        <w:spacing w:line="360" w:lineRule="auto"/>
        <w:rPr>
          <w:bCs/>
          <w:color w:val="auto"/>
          <w:lang w:val="de-DE"/>
        </w:rPr>
      </w:pPr>
    </w:p>
    <w:p w14:paraId="46FF1C0B" w14:textId="77777777" w:rsidR="00A049B5" w:rsidRPr="00F06EB2" w:rsidRDefault="00A049B5" w:rsidP="00A049B5">
      <w:pPr>
        <w:spacing w:line="360" w:lineRule="auto"/>
        <w:rPr>
          <w:bCs/>
          <w:color w:val="auto"/>
          <w:lang w:val="de-DE"/>
        </w:rPr>
      </w:pPr>
      <w:r w:rsidRPr="00F06EB2">
        <w:rPr>
          <w:bCs/>
          <w:color w:val="auto"/>
          <w:lang w:val="de-DE"/>
        </w:rPr>
        <w:t xml:space="preserve">Foto 2, Bildunterschrift: GEA präsentiert das Modell pure 15. (Foto: GEA) </w:t>
      </w:r>
    </w:p>
    <w:p w14:paraId="6558E906" w14:textId="77777777" w:rsidR="008D0B03" w:rsidRPr="00F06EB2" w:rsidRDefault="008D0B03" w:rsidP="00A049B5">
      <w:pPr>
        <w:spacing w:line="360" w:lineRule="auto"/>
        <w:rPr>
          <w:rStyle w:val="Untertitel1Subline"/>
          <w:b w:val="0"/>
          <w:bCs/>
          <w:color w:val="auto"/>
          <w:lang w:val="de-DE"/>
        </w:rPr>
      </w:pPr>
    </w:p>
    <w:p w14:paraId="2AB9D941" w14:textId="36D06329" w:rsidR="00F929C2" w:rsidRPr="00F56787" w:rsidRDefault="00F929C2" w:rsidP="008D0B03">
      <w:pPr>
        <w:autoSpaceDE w:val="0"/>
        <w:autoSpaceDN w:val="0"/>
        <w:adjustRightInd w:val="0"/>
        <w:spacing w:line="360" w:lineRule="auto"/>
        <w:rPr>
          <w:rFonts w:eastAsia="Times New Roman" w:cs="Arial"/>
          <w:sz w:val="18"/>
          <w:szCs w:val="18"/>
          <w:lang w:val="de-DE" w:eastAsia="de-DE"/>
        </w:rPr>
      </w:pPr>
      <w:bookmarkStart w:id="1" w:name="_Hlk148951337"/>
      <w:bookmarkEnd w:id="0"/>
    </w:p>
    <w:p w14:paraId="519CC098" w14:textId="77777777" w:rsidR="002224AD" w:rsidRPr="00F56787" w:rsidRDefault="002224AD" w:rsidP="002224AD">
      <w:pPr>
        <w:rPr>
          <w:lang w:val="de-DE" w:eastAsia="de-DE"/>
        </w:rPr>
      </w:pPr>
    </w:p>
    <w:p w14:paraId="05956EA0" w14:textId="77777777" w:rsidR="002224AD" w:rsidRPr="00F56787" w:rsidRDefault="002224AD" w:rsidP="002224AD">
      <w:pPr>
        <w:pBdr>
          <w:top w:val="single" w:sz="4" w:space="1" w:color="0303B8" w:themeColor="text1"/>
        </w:pBdr>
        <w:rPr>
          <w:rStyle w:val="Untertitel1Subline"/>
          <w:lang w:val="de-DE"/>
        </w:rPr>
      </w:pPr>
    </w:p>
    <w:p w14:paraId="50C196B6" w14:textId="77777777" w:rsidR="002224AD" w:rsidRPr="00111275" w:rsidRDefault="002224AD" w:rsidP="002224AD">
      <w:pPr>
        <w:pBdr>
          <w:top w:val="single" w:sz="4" w:space="1" w:color="0303B8" w:themeColor="text1"/>
        </w:pBdr>
        <w:rPr>
          <w:rStyle w:val="Untertitel1Subline"/>
          <w:lang w:val="de-DE"/>
        </w:rPr>
      </w:pPr>
      <w:r w:rsidRPr="00111275">
        <w:rPr>
          <w:rStyle w:val="Untertitel1Subline"/>
          <w:lang w:val="de-DE"/>
        </w:rPr>
        <w:t>HINWEIS FÜR DIE REDAKTION</w:t>
      </w:r>
    </w:p>
    <w:p w14:paraId="2DBFB2DD" w14:textId="77777777" w:rsidR="002224AD" w:rsidRPr="004A7CF1" w:rsidRDefault="002224AD" w:rsidP="002224AD">
      <w:pPr>
        <w:pStyle w:val="Bullets"/>
        <w:numPr>
          <w:ilvl w:val="0"/>
          <w:numId w:val="11"/>
        </w:numPr>
        <w:spacing w:line="276" w:lineRule="auto"/>
      </w:pPr>
      <w:r w:rsidRPr="004A7CF1">
        <w:t>Weitere </w:t>
      </w:r>
      <w:hyperlink r:id="rId14" w:history="1">
        <w:r w:rsidRPr="00866DCF">
          <w:rPr>
            <w:rStyle w:val="Hyperlink"/>
          </w:rPr>
          <w:t>Informationen</w:t>
        </w:r>
      </w:hyperlink>
      <w:r w:rsidRPr="004A7CF1">
        <w:t> zu GEA</w:t>
      </w:r>
    </w:p>
    <w:p w14:paraId="2E3D8D98" w14:textId="77777777" w:rsidR="002224AD" w:rsidRPr="007C654E" w:rsidRDefault="002224AD" w:rsidP="002224AD">
      <w:pPr>
        <w:pStyle w:val="Bullets"/>
        <w:numPr>
          <w:ilvl w:val="0"/>
          <w:numId w:val="11"/>
        </w:numPr>
        <w:spacing w:line="276" w:lineRule="auto"/>
        <w:rPr>
          <w:rStyle w:val="Hyperlink"/>
          <w:bCs w:val="0"/>
          <w:color w:val="auto"/>
          <w:u w:val="single"/>
        </w:rPr>
      </w:pPr>
      <w:r w:rsidRPr="004A7CF1">
        <w:t>Zur GEA </w:t>
      </w:r>
      <w:hyperlink r:id="rId15" w:history="1">
        <w:r w:rsidRPr="00866DCF">
          <w:rPr>
            <w:rStyle w:val="Hyperlink"/>
          </w:rPr>
          <w:t>Mediathek</w:t>
        </w:r>
      </w:hyperlink>
    </w:p>
    <w:p w14:paraId="481A374A" w14:textId="5CEDF4F5" w:rsidR="007C654E" w:rsidRPr="007C654E" w:rsidRDefault="007C654E" w:rsidP="002224AD">
      <w:pPr>
        <w:pStyle w:val="Bullets"/>
        <w:numPr>
          <w:ilvl w:val="0"/>
          <w:numId w:val="11"/>
        </w:numPr>
        <w:spacing w:line="276" w:lineRule="auto"/>
        <w:rPr>
          <w:b/>
          <w:bCs w:val="0"/>
          <w:color w:val="auto"/>
          <w:u w:val="single"/>
          <w:lang w:val="de-DE"/>
        </w:rPr>
      </w:pPr>
      <w:hyperlink r:id="rId16" w:history="1">
        <w:r w:rsidRPr="007C654E">
          <w:rPr>
            <w:rStyle w:val="Hyperlink"/>
            <w:bCs w:val="0"/>
            <w:lang w:val="de-DE"/>
          </w:rPr>
          <w:t>Feature</w:t>
        </w:r>
      </w:hyperlink>
      <w:r>
        <w:rPr>
          <w:b/>
          <w:bCs w:val="0"/>
          <w:color w:val="0303B8" w:themeColor="text1"/>
          <w:lang w:val="de-DE"/>
        </w:rPr>
        <w:t>s</w:t>
      </w:r>
      <w:r w:rsidRPr="007C654E">
        <w:rPr>
          <w:lang w:val="de-DE"/>
        </w:rPr>
        <w:t xml:space="preserve"> zu aktuellen T</w:t>
      </w:r>
      <w:r>
        <w:rPr>
          <w:lang w:val="de-DE"/>
        </w:rPr>
        <w:t>hemen</w:t>
      </w:r>
    </w:p>
    <w:p w14:paraId="0A6DDABC" w14:textId="77777777" w:rsidR="002224AD" w:rsidRPr="004A7CF1" w:rsidRDefault="002224AD" w:rsidP="002224AD">
      <w:pPr>
        <w:pStyle w:val="Bullets"/>
        <w:numPr>
          <w:ilvl w:val="0"/>
          <w:numId w:val="11"/>
        </w:numPr>
        <w:spacing w:line="276" w:lineRule="auto"/>
      </w:pPr>
      <w:r w:rsidRPr="004A7CF1">
        <w:t xml:space="preserve">Übersicht </w:t>
      </w:r>
      <w:hyperlink r:id="rId17" w:history="1">
        <w:r w:rsidRPr="004A7CF1">
          <w:rPr>
            <w:rStyle w:val="Hyperlink"/>
          </w:rPr>
          <w:t>Pressetermine</w:t>
        </w:r>
      </w:hyperlink>
    </w:p>
    <w:p w14:paraId="336D21F5" w14:textId="789AFE5A" w:rsidR="002224AD" w:rsidRPr="004A7CF1" w:rsidRDefault="002224AD" w:rsidP="002224AD">
      <w:pPr>
        <w:pStyle w:val="Bullets"/>
        <w:numPr>
          <w:ilvl w:val="0"/>
          <w:numId w:val="11"/>
        </w:numPr>
        <w:spacing w:line="276" w:lineRule="auto"/>
        <w:rPr>
          <w:sz w:val="22"/>
        </w:rPr>
      </w:pPr>
      <w:r w:rsidRPr="004A7CF1">
        <w:t xml:space="preserve">Folgen Sie GEA auf  </w:t>
      </w:r>
      <w:r w:rsidRPr="004A7CF1">
        <w:rPr>
          <w:noProof/>
        </w:rPr>
        <w:drawing>
          <wp:inline distT="0" distB="0" distL="0" distR="0" wp14:anchorId="43C6F057" wp14:editId="4690EF2D">
            <wp:extent cx="152400" cy="133350"/>
            <wp:effectExtent l="0" t="0" r="0" b="0"/>
            <wp:docPr id="36" name="Picture 3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rsidRPr="004A7CF1">
        <w:t xml:space="preserve">  </w:t>
      </w:r>
      <w:r w:rsidRPr="004A7CF1">
        <w:rPr>
          <w:noProof/>
        </w:rPr>
        <w:drawing>
          <wp:inline distT="0" distB="0" distL="0" distR="0" wp14:anchorId="2F397B8F" wp14:editId="4B45E8ED">
            <wp:extent cx="180975" cy="133350"/>
            <wp:effectExtent l="0" t="0" r="9525" b="0"/>
            <wp:docPr id="39" name="Picture 3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4A7CF1">
        <w:t xml:space="preserve"> </w:t>
      </w:r>
    </w:p>
    <w:p w14:paraId="7CBC8EAA" w14:textId="77777777" w:rsidR="002224AD" w:rsidRPr="004A7CF1" w:rsidRDefault="002224AD" w:rsidP="002224AD">
      <w:pPr>
        <w:pBdr>
          <w:bottom w:val="single" w:sz="4" w:space="1" w:color="0303B8" w:themeColor="text1"/>
        </w:pBdr>
        <w:spacing w:line="240" w:lineRule="auto"/>
        <w:rPr>
          <w:rStyle w:val="Untertitel1Subline"/>
        </w:rPr>
      </w:pPr>
    </w:p>
    <w:p w14:paraId="68BA07B7" w14:textId="41345FF3" w:rsidR="002224AD" w:rsidRDefault="002224AD" w:rsidP="002224AD">
      <w:pPr>
        <w:pStyle w:val="TableHead1"/>
        <w:rPr>
          <w:rStyle w:val="Untertitel1Subline"/>
          <w:b/>
        </w:rPr>
      </w:pPr>
    </w:p>
    <w:p w14:paraId="1151B583" w14:textId="77777777" w:rsidR="002224AD" w:rsidRPr="004A7CF1" w:rsidRDefault="002224AD" w:rsidP="002224AD">
      <w:pPr>
        <w:pStyle w:val="TableHead1"/>
        <w:rPr>
          <w:rStyle w:val="Untertitel1Subline"/>
          <w:b/>
        </w:rPr>
      </w:pPr>
    </w:p>
    <w:p w14:paraId="5C37B012" w14:textId="77777777" w:rsidR="00392FD9" w:rsidRDefault="00392FD9" w:rsidP="00940FB0">
      <w:pPr>
        <w:pStyle w:val="BoilerplateBold"/>
        <w:rPr>
          <w:lang w:val="de-DE"/>
        </w:rPr>
      </w:pPr>
    </w:p>
    <w:p w14:paraId="3DB74075" w14:textId="77777777" w:rsidR="0069424A" w:rsidRDefault="0069424A" w:rsidP="00940FB0">
      <w:pPr>
        <w:pStyle w:val="BoilerplateBold"/>
        <w:rPr>
          <w:rStyle w:val="Untertitel1Subline"/>
          <w:b/>
          <w:sz w:val="18"/>
          <w:lang w:val="de-DE"/>
        </w:rPr>
      </w:pPr>
    </w:p>
    <w:p w14:paraId="7E412CFF" w14:textId="77777777" w:rsidR="00F06EB2" w:rsidRDefault="00F06EB2" w:rsidP="00940FB0">
      <w:pPr>
        <w:pStyle w:val="BoilerplateBold"/>
        <w:rPr>
          <w:rStyle w:val="Untertitel1Subline"/>
          <w:b/>
          <w:sz w:val="18"/>
          <w:lang w:val="de-DE"/>
        </w:rPr>
      </w:pPr>
    </w:p>
    <w:p w14:paraId="273CED68" w14:textId="77777777" w:rsidR="00F06EB2" w:rsidRPr="00AB2928" w:rsidRDefault="00F06EB2" w:rsidP="00940FB0">
      <w:pPr>
        <w:pStyle w:val="BoilerplateBold"/>
        <w:rPr>
          <w:rStyle w:val="Untertitel1Subline"/>
          <w:b/>
          <w:sz w:val="18"/>
          <w:lang w:val="de-DE"/>
        </w:rPr>
      </w:pPr>
    </w:p>
    <w:p w14:paraId="1E430FE1" w14:textId="77777777" w:rsidR="00392FD9" w:rsidRPr="00AB2928" w:rsidRDefault="00392FD9" w:rsidP="00940FB0">
      <w:pPr>
        <w:pStyle w:val="BoilerplateBold"/>
        <w:rPr>
          <w:rStyle w:val="Untertitel1Subline"/>
          <w:b/>
          <w:sz w:val="18"/>
          <w:lang w:val="de-DE"/>
        </w:rPr>
      </w:pPr>
    </w:p>
    <w:p w14:paraId="26515575" w14:textId="77777777" w:rsidR="007C654E" w:rsidRPr="00AB2928" w:rsidRDefault="007C654E" w:rsidP="007C654E">
      <w:pPr>
        <w:pStyle w:val="BoilerplateBold"/>
        <w:rPr>
          <w:rStyle w:val="Untertitel1Subline"/>
          <w:b/>
          <w:sz w:val="18"/>
          <w:lang w:val="de-DE"/>
        </w:rPr>
      </w:pPr>
      <w:r w:rsidRPr="00AB2928">
        <w:rPr>
          <w:rStyle w:val="Untertitel1Subline"/>
          <w:b/>
          <w:sz w:val="18"/>
          <w:lang w:val="de-DE"/>
        </w:rPr>
        <w:lastRenderedPageBreak/>
        <w:t>Über GEA</w:t>
      </w:r>
    </w:p>
    <w:bookmarkEnd w:id="1"/>
    <w:p w14:paraId="4A69EC6F" w14:textId="35743AB6"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weltweit einer der größten Systemanbieter für die Nahrungsmittel-, Getränke- und Pharmaindustrie. Der 1881 gegründete und international tätige Technologiekonzern fokussiert sich dabei auf Maschinen und Anlagen sowie auf anspruchsvolle Prozesstechnik, Komponenten und umfassende Service-Dienstleistungen. So wird beispielsweise jeder zweite Pharmaseparator für essenzielle Gesundheitsprodukte wie Impfstoffe oder neuartige Biopharmazeutika von GEA hergestellt. Im Lebensmittelbereich wird jede vierte Nudelpackung oder jedes dritte Hähnchen-Nugget mit Technologie von GEA verarbeitet. </w:t>
      </w:r>
    </w:p>
    <w:p w14:paraId="5CA0292D" w14:textId="77777777" w:rsidR="00331562" w:rsidRPr="00331562" w:rsidRDefault="00331562" w:rsidP="00331562">
      <w:pPr>
        <w:rPr>
          <w:color w:val="808080" w:themeColor="background1" w:themeShade="80"/>
          <w:sz w:val="18"/>
          <w:szCs w:val="18"/>
          <w:lang w:val="de-DE"/>
        </w:rPr>
      </w:pPr>
    </w:p>
    <w:p w14:paraId="07588ECC"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Mit mehr als 18.000 Beschäftigten erwirtschaftete der Konzern im Geschäftsjahr 2025 in über 150 Ländern einen Umsatz von rund 5,5 Mrd. EUR. Weltweit verbessern die Anlagen, Prozesse und Komponenten von GEA die Effizienz und Nachhaltigkeit in der Produktion von Kunden. Sie tragen erheblich dazu bei, den CO2-Ausstoß, den Einsatz von Plastik und Lebensmittelabfall zu reduzieren. Dadurch leistet GEA einen entscheidenden Beitrag auf dem Weg in eine nachhaltige Zukunft, ganz im Sinne des Unternehmensleitbildes: „Engineering for a better world“. </w:t>
      </w:r>
    </w:p>
    <w:p w14:paraId="6B6AEDB7" w14:textId="77777777" w:rsidR="00331562" w:rsidRPr="00331562" w:rsidRDefault="00331562" w:rsidP="00331562">
      <w:pPr>
        <w:rPr>
          <w:color w:val="808080" w:themeColor="background1" w:themeShade="80"/>
          <w:sz w:val="18"/>
          <w:szCs w:val="18"/>
          <w:lang w:val="de-DE"/>
        </w:rPr>
      </w:pPr>
    </w:p>
    <w:p w14:paraId="002E7BDF" w14:textId="77777777" w:rsidR="00331562" w:rsidRPr="00331562" w:rsidRDefault="00331562" w:rsidP="00331562">
      <w:pPr>
        <w:rPr>
          <w:color w:val="808080" w:themeColor="background1" w:themeShade="80"/>
          <w:sz w:val="18"/>
          <w:szCs w:val="18"/>
          <w:lang w:val="de-DE"/>
        </w:rPr>
      </w:pPr>
      <w:r w:rsidRPr="00331562">
        <w:rPr>
          <w:color w:val="808080" w:themeColor="background1" w:themeShade="80"/>
          <w:sz w:val="18"/>
          <w:szCs w:val="18"/>
          <w:lang w:val="de-DE"/>
        </w:rPr>
        <w:t xml:space="preserve">GEA ist im DAX und im STOXX® Europe 600 Index notiert und ist darüber hinaus Bestandteil der führenden Nachhaltigkeitsindizes DAX 50 ESG, MSCI Global Sustainability sowie Dow Jones Best-in-Class World und Best-in-Class Europe. </w:t>
      </w:r>
    </w:p>
    <w:p w14:paraId="1252CD31" w14:textId="77777777" w:rsidR="00331562" w:rsidRPr="00331562" w:rsidRDefault="00331562" w:rsidP="00331562">
      <w:pPr>
        <w:rPr>
          <w:color w:val="808080" w:themeColor="background1" w:themeShade="80"/>
          <w:sz w:val="18"/>
          <w:szCs w:val="18"/>
          <w:lang w:val="de-DE"/>
        </w:rPr>
      </w:pPr>
    </w:p>
    <w:p w14:paraId="37F5B131" w14:textId="77777777" w:rsidR="00F10344" w:rsidRPr="00F10344" w:rsidRDefault="00F10344" w:rsidP="00F10344">
      <w:pPr>
        <w:rPr>
          <w:color w:val="auto"/>
          <w:sz w:val="18"/>
          <w:szCs w:val="18"/>
          <w:lang w:val="de-DE"/>
        </w:rPr>
      </w:pPr>
      <w:r w:rsidRPr="00F10344">
        <w:rPr>
          <w:color w:val="808080" w:themeColor="background1" w:themeShade="80"/>
          <w:sz w:val="18"/>
          <w:szCs w:val="18"/>
          <w:lang w:val="de-DE"/>
        </w:rPr>
        <w:t>Weitere Informationen finden Sie im Internet unter</w:t>
      </w:r>
      <w:r w:rsidRPr="00F10344">
        <w:rPr>
          <w:color w:val="auto"/>
          <w:sz w:val="18"/>
          <w:szCs w:val="18"/>
          <w:lang w:val="de-DE"/>
        </w:rPr>
        <w:t xml:space="preserve"> </w:t>
      </w:r>
      <w:r w:rsidRPr="00F10344">
        <w:rPr>
          <w:b/>
          <w:color w:val="0303B8" w:themeColor="text1"/>
          <w:sz w:val="18"/>
          <w:szCs w:val="18"/>
          <w:lang w:val="de-DE"/>
        </w:rPr>
        <w:t>gea.com</w:t>
      </w:r>
      <w:r w:rsidRPr="00F10344">
        <w:rPr>
          <w:color w:val="0303B8" w:themeColor="text1"/>
          <w:sz w:val="18"/>
          <w:szCs w:val="18"/>
          <w:lang w:val="de-DE"/>
        </w:rPr>
        <w:t>.</w:t>
      </w:r>
    </w:p>
    <w:p w14:paraId="679B713A" w14:textId="77777777" w:rsidR="00F10344" w:rsidRPr="00F10344" w:rsidRDefault="00F10344" w:rsidP="00F10344">
      <w:pPr>
        <w:rPr>
          <w:color w:val="0303B8" w:themeColor="text1"/>
          <w:sz w:val="18"/>
          <w:szCs w:val="18"/>
          <w:lang w:val="de-DE"/>
        </w:rPr>
      </w:pPr>
      <w:r w:rsidRPr="00F10344">
        <w:rPr>
          <w:color w:val="808080" w:themeColor="background1" w:themeShade="80"/>
          <w:sz w:val="18"/>
          <w:szCs w:val="18"/>
          <w:lang w:val="de-DE"/>
        </w:rPr>
        <w:t>Sollten Sie keine weiteren Mitteilungen der GEA erhalten wollen, senden Sie bitte eine E-Mail an</w:t>
      </w:r>
      <w:r w:rsidRPr="00F10344">
        <w:rPr>
          <w:color w:val="auto"/>
          <w:sz w:val="18"/>
          <w:szCs w:val="18"/>
          <w:lang w:val="de-DE"/>
        </w:rPr>
        <w:t xml:space="preserve"> </w:t>
      </w:r>
      <w:r w:rsidRPr="00F10344">
        <w:rPr>
          <w:b/>
          <w:color w:val="0303B8" w:themeColor="text1"/>
          <w:sz w:val="18"/>
          <w:szCs w:val="18"/>
          <w:lang w:val="de-DE"/>
        </w:rPr>
        <w:t>pr@gea.com</w:t>
      </w:r>
      <w:r w:rsidRPr="00F10344">
        <w:rPr>
          <w:color w:val="0303B8" w:themeColor="text1"/>
          <w:sz w:val="18"/>
          <w:szCs w:val="18"/>
          <w:lang w:val="de-DE"/>
        </w:rPr>
        <w:t>.</w:t>
      </w:r>
    </w:p>
    <w:p w14:paraId="468AC211" w14:textId="77777777" w:rsidR="00F10344" w:rsidRDefault="00F10344" w:rsidP="00F05AF6">
      <w:pPr>
        <w:pStyle w:val="Boilerplate"/>
        <w:rPr>
          <w:lang w:val="de-DE"/>
        </w:rPr>
      </w:pPr>
    </w:p>
    <w:p w14:paraId="3853EF3D" w14:textId="77777777" w:rsidR="00834F9B" w:rsidRDefault="00834F9B" w:rsidP="00F05AF6">
      <w:pPr>
        <w:pStyle w:val="Boilerplate"/>
        <w:rPr>
          <w:lang w:val="de-DE"/>
        </w:rPr>
      </w:pPr>
    </w:p>
    <w:p w14:paraId="124EDBCD" w14:textId="76530C1B" w:rsidR="00F06EB2" w:rsidRDefault="00F06EB2" w:rsidP="00F05AF6">
      <w:pPr>
        <w:pStyle w:val="Boilerplate"/>
        <w:rPr>
          <w:lang w:val="de-DE"/>
        </w:rPr>
      </w:pPr>
      <w:r>
        <w:rPr>
          <w:lang w:val="de-DE"/>
        </w:rPr>
        <w:t>7</w:t>
      </w:r>
    </w:p>
    <w:p w14:paraId="1F8AB5B5" w14:textId="77777777" w:rsidR="00F06EB2" w:rsidRDefault="00F06EB2" w:rsidP="00F05AF6">
      <w:pPr>
        <w:pStyle w:val="Boilerplate"/>
        <w:rPr>
          <w:lang w:val="de-DE"/>
        </w:rPr>
      </w:pPr>
    </w:p>
    <w:p w14:paraId="676C75F6" w14:textId="77777777" w:rsidR="00F06EB2" w:rsidRPr="008D0B03" w:rsidRDefault="00F06EB2" w:rsidP="00F06EB2">
      <w:pPr>
        <w:pStyle w:val="BoilerplateBold"/>
        <w:rPr>
          <w:lang w:val="de-DE"/>
        </w:rPr>
      </w:pPr>
      <w:r w:rsidRPr="008D0B03">
        <w:rPr>
          <w:lang w:val="de-DE"/>
        </w:rPr>
        <w:t>Media Relations</w:t>
      </w:r>
    </w:p>
    <w:p w14:paraId="46F64DA3" w14:textId="77777777" w:rsidR="00F06EB2" w:rsidRDefault="00F06EB2" w:rsidP="00F06EB2">
      <w:pPr>
        <w:rPr>
          <w:color w:val="808080" w:themeColor="background1" w:themeShade="80"/>
          <w:sz w:val="18"/>
          <w:szCs w:val="18"/>
          <w:lang w:val="de-DE"/>
        </w:rPr>
      </w:pPr>
      <w:r>
        <w:rPr>
          <w:color w:val="808080" w:themeColor="background1" w:themeShade="80"/>
          <w:sz w:val="18"/>
          <w:szCs w:val="18"/>
          <w:lang w:val="de-DE"/>
        </w:rPr>
        <w:t>GEA Group Aktiengesellschaft</w:t>
      </w:r>
    </w:p>
    <w:p w14:paraId="720D35F0" w14:textId="77777777" w:rsidR="00F06EB2" w:rsidRPr="007B187A" w:rsidRDefault="00F06EB2" w:rsidP="00F06EB2">
      <w:pPr>
        <w:rPr>
          <w:color w:val="808080" w:themeColor="background1" w:themeShade="80"/>
          <w:sz w:val="18"/>
          <w:szCs w:val="18"/>
          <w:lang w:val="de-DE"/>
        </w:rPr>
      </w:pPr>
      <w:r>
        <w:rPr>
          <w:color w:val="808080" w:themeColor="background1" w:themeShade="80"/>
          <w:sz w:val="18"/>
          <w:szCs w:val="18"/>
          <w:lang w:val="de-DE"/>
        </w:rPr>
        <w:t>Dr. Michael Golek</w:t>
      </w:r>
    </w:p>
    <w:p w14:paraId="7FDB1C37" w14:textId="77777777" w:rsidR="00F06EB2" w:rsidRDefault="00F06EB2" w:rsidP="00F06EB2">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13D656B4" w14:textId="77777777" w:rsidR="00F06EB2" w:rsidRDefault="00F06EB2" w:rsidP="00F06EB2">
      <w:pPr>
        <w:rPr>
          <w:lang w:val="de-DE"/>
        </w:rPr>
      </w:pPr>
      <w:r w:rsidRPr="00F06EB2">
        <w:rPr>
          <w:color w:val="808080"/>
          <w:sz w:val="18"/>
          <w:szCs w:val="18"/>
          <w:lang w:val="de-DE"/>
        </w:rPr>
        <w:t>Telefon 021191361505</w:t>
      </w:r>
    </w:p>
    <w:p w14:paraId="20C90073" w14:textId="77777777" w:rsidR="00F06EB2" w:rsidRPr="00AB2928" w:rsidRDefault="00F06EB2" w:rsidP="00F06EB2">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5A22F313" w14:textId="77777777" w:rsidR="00F06EB2" w:rsidRPr="00AB2928" w:rsidRDefault="00F06EB2" w:rsidP="00F06EB2">
      <w:pPr>
        <w:pStyle w:val="BoilerplateBold"/>
        <w:rPr>
          <w:lang w:val="de-DE"/>
        </w:rPr>
      </w:pPr>
    </w:p>
    <w:p w14:paraId="09D3FBB1" w14:textId="77777777" w:rsidR="00F06EB2" w:rsidRPr="00AB2928" w:rsidRDefault="00F06EB2" w:rsidP="00F06EB2">
      <w:pPr>
        <w:pStyle w:val="BoilerplateBold"/>
        <w:rPr>
          <w:rStyle w:val="Untertitel1Subline"/>
          <w:b/>
          <w:sz w:val="18"/>
          <w:lang w:val="de-DE"/>
        </w:rPr>
      </w:pPr>
    </w:p>
    <w:p w14:paraId="383CAACE" w14:textId="77777777" w:rsidR="00834F9B" w:rsidRDefault="00834F9B" w:rsidP="00F05AF6">
      <w:pPr>
        <w:pStyle w:val="Boilerplate"/>
        <w:rPr>
          <w:lang w:val="de-DE"/>
        </w:rPr>
      </w:pPr>
    </w:p>
    <w:sectPr w:rsidR="00834F9B" w:rsidSect="001143EE">
      <w:headerReference w:type="default" r:id="rId22"/>
      <w:footerReference w:type="even" r:id="rId23"/>
      <w:footerReference w:type="default" r:id="rId24"/>
      <w:headerReference w:type="first" r:id="rId25"/>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B9E9" w14:textId="77777777" w:rsidR="002E2050" w:rsidRDefault="002E2050" w:rsidP="00E668F9">
      <w:r>
        <w:separator/>
      </w:r>
    </w:p>
  </w:endnote>
  <w:endnote w:type="continuationSeparator" w:id="0">
    <w:p w14:paraId="23F98276" w14:textId="77777777" w:rsidR="002E2050" w:rsidRDefault="002E2050"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Cambria">
    <w:panose1 w:val="02040503050406030204"/>
    <w:charset w:val="00"/>
    <w:family w:val="roman"/>
    <w:pitch w:val="variable"/>
    <w:sig w:usb0="E00006FF" w:usb1="420024FF" w:usb2="02000000"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426B8DF7"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32087C"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B47A"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4EC1A853" w14:textId="77777777" w:rsidR="00AC692F" w:rsidRPr="008D0B03" w:rsidRDefault="00AC692F" w:rsidP="00AC692F">
        <w:pPr>
          <w:pStyle w:val="Seite"/>
          <w:framePr w:wrap="none"/>
          <w:rPr>
            <w:rStyle w:val="Seitenzahl"/>
            <w:rFonts w:cs="Arial"/>
            <w:lang w:val="de-DE"/>
          </w:rPr>
        </w:pPr>
        <w:r w:rsidRPr="00AC692F">
          <w:rPr>
            <w:rFonts w:cs="Arial"/>
          </w:rPr>
          <w:fldChar w:fldCharType="begin"/>
        </w:r>
        <w:r w:rsidRPr="008D0B03">
          <w:rPr>
            <w:rFonts w:cs="Arial"/>
            <w:lang w:val="de-DE"/>
          </w:rPr>
          <w:instrText xml:space="preserve"> PAGE </w:instrText>
        </w:r>
        <w:r w:rsidRPr="00AC692F">
          <w:rPr>
            <w:rFonts w:cs="Arial"/>
          </w:rPr>
          <w:fldChar w:fldCharType="separate"/>
        </w:r>
        <w:r w:rsidRPr="008D0B03">
          <w:rPr>
            <w:rFonts w:cs="Arial"/>
            <w:lang w:val="de-DE"/>
          </w:rPr>
          <w:t>2</w:t>
        </w:r>
        <w:r w:rsidRPr="00AC692F">
          <w:rPr>
            <w:rFonts w:cs="Arial"/>
          </w:rPr>
          <w:fldChar w:fldCharType="end"/>
        </w:r>
        <w:r w:rsidRPr="008D0B03">
          <w:rPr>
            <w:rFonts w:cs="Arial"/>
            <w:lang w:val="de-DE"/>
          </w:rPr>
          <w:t xml:space="preserve"> / </w:t>
        </w:r>
        <w:r w:rsidRPr="00AC692F">
          <w:rPr>
            <w:rFonts w:cs="Arial"/>
          </w:rPr>
          <w:fldChar w:fldCharType="begin"/>
        </w:r>
        <w:r w:rsidRPr="008D0B03">
          <w:rPr>
            <w:rFonts w:cs="Arial"/>
            <w:lang w:val="de-DE"/>
          </w:rPr>
          <w:instrText xml:space="preserve"> NUMPAGES  \* MERGEFORMAT </w:instrText>
        </w:r>
        <w:r w:rsidRPr="00AC692F">
          <w:rPr>
            <w:rFonts w:cs="Arial"/>
          </w:rPr>
          <w:fldChar w:fldCharType="separate"/>
        </w:r>
        <w:r w:rsidRPr="008D0B03">
          <w:rPr>
            <w:rFonts w:cs="Arial"/>
            <w:lang w:val="de-DE"/>
          </w:rPr>
          <w:t>5</w:t>
        </w:r>
        <w:r w:rsidRPr="00AC692F">
          <w:rPr>
            <w:rFonts w:cs="Arial"/>
          </w:rPr>
          <w:fldChar w:fldCharType="end"/>
        </w:r>
      </w:p>
    </w:sdtContent>
  </w:sdt>
  <w:p w14:paraId="2C7AC7D2" w14:textId="77777777" w:rsidR="00417F09" w:rsidRPr="008D0B03" w:rsidRDefault="00417F09" w:rsidP="00417F09">
    <w:pPr>
      <w:pStyle w:val="FooterHead"/>
      <w:rPr>
        <w:rStyle w:val="Untertitel1Subline"/>
        <w:rFonts w:cs="Arial"/>
        <w:b/>
        <w:bCs/>
        <w:sz w:val="12"/>
        <w:lang w:val="de-DE"/>
      </w:rPr>
    </w:pPr>
    <w:r w:rsidRPr="008D0B03">
      <w:rPr>
        <w:lang w:val="de-DE"/>
      </w:rPr>
      <w:t>GEA Group Aktiengesellschaft</w:t>
    </w:r>
    <w:r w:rsidRPr="008D0B03">
      <w:rPr>
        <w:rStyle w:val="Untertitel1Subline"/>
        <w:rFonts w:cs="Arial"/>
        <w:b/>
        <w:bCs/>
        <w:sz w:val="12"/>
        <w:lang w:val="de-DE"/>
      </w:rPr>
      <w:tab/>
    </w:r>
    <w:r w:rsidRPr="008D0B03">
      <w:rPr>
        <w:lang w:val="de-DE"/>
      </w:rPr>
      <w:t>Media Relations</w:t>
    </w:r>
  </w:p>
  <w:p w14:paraId="7D509063" w14:textId="569818E5" w:rsidR="00417F09" w:rsidRPr="008D0B03" w:rsidRDefault="00F940CC" w:rsidP="00417F09">
    <w:pPr>
      <w:pStyle w:val="Fuzeile"/>
      <w:rPr>
        <w:lang w:val="de-DE"/>
      </w:rPr>
    </w:pPr>
    <w:r>
      <w:rPr>
        <w:lang w:val="de-DE"/>
      </w:rPr>
      <w:t>Ulmenstraße 99</w:t>
    </w:r>
    <w:r w:rsidR="00417F09" w:rsidRPr="008D0B03">
      <w:rPr>
        <w:lang w:val="de-DE"/>
      </w:rPr>
      <w:t>, 404</w:t>
    </w:r>
    <w:r>
      <w:rPr>
        <w:lang w:val="de-DE"/>
      </w:rPr>
      <w:t>76</w:t>
    </w:r>
    <w:r w:rsidR="00417F09" w:rsidRPr="008D0B03">
      <w:rPr>
        <w:lang w:val="de-DE"/>
      </w:rPr>
      <w:t xml:space="preserve"> Düsseldorf, Deutschland</w:t>
    </w:r>
    <w:r w:rsidR="00417F09" w:rsidRPr="008D0B03">
      <w:rPr>
        <w:lang w:val="de-DE"/>
      </w:rPr>
      <w:tab/>
      <w:t>Telefon +49 211 9136-</w:t>
    </w:r>
    <w:r w:rsidR="00C07470">
      <w:rPr>
        <w:lang w:val="de-DE"/>
      </w:rPr>
      <w:t>1505</w:t>
    </w:r>
  </w:p>
  <w:p w14:paraId="16C022A6" w14:textId="77777777" w:rsidR="00417F09" w:rsidRPr="008D0B03" w:rsidRDefault="00417F09" w:rsidP="00417F09">
    <w:pPr>
      <w:pStyle w:val="Fuzeile"/>
      <w:rPr>
        <w:lang w:val="de-DE"/>
      </w:rPr>
    </w:pPr>
    <w:r w:rsidRPr="008D0B03">
      <w:rPr>
        <w:lang w:val="de-DE"/>
      </w:rPr>
      <w:t>GEA.com</w:t>
    </w:r>
    <w:r w:rsidRPr="008D0B03">
      <w:rPr>
        <w:lang w:val="de-DE"/>
      </w:rPr>
      <w:tab/>
      <w:t>pr@gea.com</w:t>
    </w:r>
  </w:p>
  <w:p w14:paraId="0CAD9F57" w14:textId="32D3B46E" w:rsidR="00A84047" w:rsidRPr="008D0B03"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42EE" w14:textId="77777777" w:rsidR="002E2050" w:rsidRDefault="002E2050" w:rsidP="00E668F9">
      <w:r>
        <w:separator/>
      </w:r>
    </w:p>
  </w:footnote>
  <w:footnote w:type="continuationSeparator" w:id="0">
    <w:p w14:paraId="1264F835" w14:textId="77777777" w:rsidR="002E2050" w:rsidRDefault="002E2050"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60B5" w14:textId="33984A84" w:rsidR="00A84047" w:rsidRPr="003E3323" w:rsidRDefault="00531EB6" w:rsidP="003E3323">
    <w:pPr>
      <w:pStyle w:val="Kopfzeile"/>
    </w:pPr>
    <w:r w:rsidRPr="003E3323">
      <w:rPr>
        <w:noProof/>
      </w:rPr>
      <mc:AlternateContent>
        <mc:Choice Requires="wpg">
          <w:drawing>
            <wp:anchor distT="0" distB="0" distL="114300" distR="114300" simplePos="0" relativeHeight="251659264" behindDoc="0" locked="0" layoutInCell="1" allowOverlap="1" wp14:anchorId="7AFFCCB1" wp14:editId="746F6C30">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55B54A3"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D1129D" w:rsidRPr="003E3323">
      <w:t>Presse</w:t>
    </w:r>
    <w:r w:rsidR="00EA40CB" w:rsidRPr="003E3323">
      <w:t>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380AC" w14:textId="77777777" w:rsidR="00A93E59" w:rsidRPr="00A93E59" w:rsidRDefault="00A93E59" w:rsidP="00B2668C">
    <w:pPr>
      <w:pStyle w:val="Kopfzeile"/>
    </w:pPr>
    <w:r w:rsidRPr="00A93E59">
      <w:rPr>
        <w:noProof/>
        <w:lang w:val="en-GB" w:eastAsia="en-GB"/>
      </w:rPr>
      <w:drawing>
        <wp:inline distT="0" distB="0" distL="0" distR="0" wp14:anchorId="76D5E067" wp14:editId="060ECB0E">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6C0C014D" w14:textId="77777777" w:rsidR="00A93E59" w:rsidRPr="00A93E59" w:rsidRDefault="00A93E59" w:rsidP="00B2668C">
    <w:pPr>
      <w:pStyle w:val="Kopfzeile"/>
    </w:pPr>
  </w:p>
  <w:p w14:paraId="239AD75E" w14:textId="77777777" w:rsidR="00A93E59" w:rsidRPr="00A93E59" w:rsidRDefault="00A93E59" w:rsidP="00B2668C">
    <w:pPr>
      <w:pStyle w:val="Kopfzeile"/>
    </w:pPr>
    <w:r w:rsidRPr="00A93E59">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AB62425"/>
    <w:multiLevelType w:val="hybridMultilevel"/>
    <w:tmpl w:val="A94C41EE"/>
    <w:lvl w:ilvl="0" w:tplc="04130001">
      <w:start w:val="1"/>
      <w:numFmt w:val="bullet"/>
      <w:lvlText w:val=""/>
      <w:lvlJc w:val="left"/>
      <w:pPr>
        <w:tabs>
          <w:tab w:val="num" w:pos="720"/>
        </w:tabs>
        <w:ind w:left="720" w:hanging="360"/>
      </w:pPr>
      <w:rPr>
        <w:rFonts w:ascii="Symbol" w:hAnsi="Symbol" w:hint="default"/>
      </w:rPr>
    </w:lvl>
    <w:lvl w:ilvl="1" w:tplc="6712973C">
      <w:numFmt w:val="bullet"/>
      <w:lvlText w:val=""/>
      <w:lvlJc w:val="left"/>
      <w:pPr>
        <w:tabs>
          <w:tab w:val="num" w:pos="1440"/>
        </w:tabs>
        <w:ind w:left="1440" w:hanging="360"/>
      </w:pPr>
      <w:rPr>
        <w:rFonts w:ascii="Wingdings" w:hAnsi="Wingdings" w:hint="default"/>
      </w:rPr>
    </w:lvl>
    <w:lvl w:ilvl="2" w:tplc="6B90CD38">
      <w:start w:val="1"/>
      <w:numFmt w:val="bullet"/>
      <w:lvlText w:val=""/>
      <w:lvlJc w:val="left"/>
      <w:pPr>
        <w:tabs>
          <w:tab w:val="num" w:pos="2160"/>
        </w:tabs>
        <w:ind w:left="2160" w:hanging="360"/>
      </w:pPr>
      <w:rPr>
        <w:rFonts w:ascii="Wingdings" w:hAnsi="Wingdings" w:hint="default"/>
      </w:rPr>
    </w:lvl>
    <w:lvl w:ilvl="3" w:tplc="922A0066" w:tentative="1">
      <w:start w:val="1"/>
      <w:numFmt w:val="bullet"/>
      <w:lvlText w:val=""/>
      <w:lvlJc w:val="left"/>
      <w:pPr>
        <w:tabs>
          <w:tab w:val="num" w:pos="2880"/>
        </w:tabs>
        <w:ind w:left="2880" w:hanging="360"/>
      </w:pPr>
      <w:rPr>
        <w:rFonts w:ascii="Wingdings" w:hAnsi="Wingdings" w:hint="default"/>
      </w:rPr>
    </w:lvl>
    <w:lvl w:ilvl="4" w:tplc="C8DE9B18" w:tentative="1">
      <w:start w:val="1"/>
      <w:numFmt w:val="bullet"/>
      <w:lvlText w:val=""/>
      <w:lvlJc w:val="left"/>
      <w:pPr>
        <w:tabs>
          <w:tab w:val="num" w:pos="3600"/>
        </w:tabs>
        <w:ind w:left="3600" w:hanging="360"/>
      </w:pPr>
      <w:rPr>
        <w:rFonts w:ascii="Wingdings" w:hAnsi="Wingdings" w:hint="default"/>
      </w:rPr>
    </w:lvl>
    <w:lvl w:ilvl="5" w:tplc="92068BC8" w:tentative="1">
      <w:start w:val="1"/>
      <w:numFmt w:val="bullet"/>
      <w:lvlText w:val=""/>
      <w:lvlJc w:val="left"/>
      <w:pPr>
        <w:tabs>
          <w:tab w:val="num" w:pos="4320"/>
        </w:tabs>
        <w:ind w:left="4320" w:hanging="360"/>
      </w:pPr>
      <w:rPr>
        <w:rFonts w:ascii="Wingdings" w:hAnsi="Wingdings" w:hint="default"/>
      </w:rPr>
    </w:lvl>
    <w:lvl w:ilvl="6" w:tplc="FA7CEA4A" w:tentative="1">
      <w:start w:val="1"/>
      <w:numFmt w:val="bullet"/>
      <w:lvlText w:val=""/>
      <w:lvlJc w:val="left"/>
      <w:pPr>
        <w:tabs>
          <w:tab w:val="num" w:pos="5040"/>
        </w:tabs>
        <w:ind w:left="5040" w:hanging="360"/>
      </w:pPr>
      <w:rPr>
        <w:rFonts w:ascii="Wingdings" w:hAnsi="Wingdings" w:hint="default"/>
      </w:rPr>
    </w:lvl>
    <w:lvl w:ilvl="7" w:tplc="D56C1B94" w:tentative="1">
      <w:start w:val="1"/>
      <w:numFmt w:val="bullet"/>
      <w:lvlText w:val=""/>
      <w:lvlJc w:val="left"/>
      <w:pPr>
        <w:tabs>
          <w:tab w:val="num" w:pos="5760"/>
        </w:tabs>
        <w:ind w:left="5760" w:hanging="360"/>
      </w:pPr>
      <w:rPr>
        <w:rFonts w:ascii="Wingdings" w:hAnsi="Wingdings" w:hint="default"/>
      </w:rPr>
    </w:lvl>
    <w:lvl w:ilvl="8" w:tplc="477008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BF0366"/>
    <w:multiLevelType w:val="hybridMultilevel"/>
    <w:tmpl w:val="FD126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7D441A"/>
    <w:multiLevelType w:val="hybridMultilevel"/>
    <w:tmpl w:val="47DE7E2C"/>
    <w:lvl w:ilvl="0" w:tplc="FCD2B8B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F71746F"/>
    <w:multiLevelType w:val="hybridMultilevel"/>
    <w:tmpl w:val="2370F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9"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175067A"/>
    <w:multiLevelType w:val="hybridMultilevel"/>
    <w:tmpl w:val="347256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EA4276"/>
    <w:multiLevelType w:val="hybridMultilevel"/>
    <w:tmpl w:val="CD12B6DE"/>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7" w15:restartNumberingAfterBreak="0">
    <w:nsid w:val="72C01190"/>
    <w:multiLevelType w:val="hybridMultilevel"/>
    <w:tmpl w:val="A5B241FC"/>
    <w:lvl w:ilvl="0" w:tplc="DB4CACAA">
      <w:numFmt w:val="bullet"/>
      <w:lvlText w:val="-"/>
      <w:lvlJc w:val="left"/>
      <w:pPr>
        <w:ind w:left="720" w:hanging="360"/>
      </w:pPr>
      <w:rPr>
        <w:rFonts w:ascii="Arial" w:eastAsia="Cambria"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D6A1436"/>
    <w:multiLevelType w:val="hybridMultilevel"/>
    <w:tmpl w:val="3BAC89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0999743">
    <w:abstractNumId w:val="19"/>
  </w:num>
  <w:num w:numId="2" w16cid:durableId="1384475897">
    <w:abstractNumId w:val="15"/>
  </w:num>
  <w:num w:numId="3" w16cid:durableId="968897614">
    <w:abstractNumId w:val="10"/>
  </w:num>
  <w:num w:numId="4" w16cid:durableId="1958566247">
    <w:abstractNumId w:val="29"/>
  </w:num>
  <w:num w:numId="5" w16cid:durableId="136144842">
    <w:abstractNumId w:val="24"/>
  </w:num>
  <w:num w:numId="6" w16cid:durableId="1219056101">
    <w:abstractNumId w:val="26"/>
  </w:num>
  <w:num w:numId="7" w16cid:durableId="1904952107">
    <w:abstractNumId w:val="25"/>
  </w:num>
  <w:num w:numId="8" w16cid:durableId="457187070">
    <w:abstractNumId w:val="17"/>
  </w:num>
  <w:num w:numId="9" w16cid:durableId="1914855657">
    <w:abstractNumId w:val="16"/>
  </w:num>
  <w:num w:numId="10" w16cid:durableId="1998879519">
    <w:abstractNumId w:val="18"/>
  </w:num>
  <w:num w:numId="11" w16cid:durableId="2006469945">
    <w:abstractNumId w:val="21"/>
  </w:num>
  <w:num w:numId="12" w16cid:durableId="1496845087">
    <w:abstractNumId w:val="0"/>
  </w:num>
  <w:num w:numId="13" w16cid:durableId="500510705">
    <w:abstractNumId w:val="1"/>
  </w:num>
  <w:num w:numId="14" w16cid:durableId="378437334">
    <w:abstractNumId w:val="2"/>
  </w:num>
  <w:num w:numId="15" w16cid:durableId="773404415">
    <w:abstractNumId w:val="3"/>
  </w:num>
  <w:num w:numId="16" w16cid:durableId="2131588349">
    <w:abstractNumId w:val="8"/>
  </w:num>
  <w:num w:numId="17" w16cid:durableId="35279597">
    <w:abstractNumId w:val="4"/>
  </w:num>
  <w:num w:numId="18" w16cid:durableId="1688098192">
    <w:abstractNumId w:val="5"/>
  </w:num>
  <w:num w:numId="19" w16cid:durableId="591355153">
    <w:abstractNumId w:val="6"/>
  </w:num>
  <w:num w:numId="20" w16cid:durableId="1376348707">
    <w:abstractNumId w:val="7"/>
  </w:num>
  <w:num w:numId="21" w16cid:durableId="1698389729">
    <w:abstractNumId w:val="9"/>
  </w:num>
  <w:num w:numId="22" w16cid:durableId="705645120">
    <w:abstractNumId w:val="21"/>
  </w:num>
  <w:num w:numId="23" w16cid:durableId="655688877">
    <w:abstractNumId w:val="21"/>
  </w:num>
  <w:num w:numId="24" w16cid:durableId="1032077449">
    <w:abstractNumId w:val="11"/>
  </w:num>
  <w:num w:numId="25" w16cid:durableId="1952472746">
    <w:abstractNumId w:val="27"/>
  </w:num>
  <w:num w:numId="26" w16cid:durableId="281689103">
    <w:abstractNumId w:val="22"/>
  </w:num>
  <w:num w:numId="27" w16cid:durableId="235285842">
    <w:abstractNumId w:val="28"/>
  </w:num>
  <w:num w:numId="28" w16cid:durableId="807749203">
    <w:abstractNumId w:val="14"/>
  </w:num>
  <w:num w:numId="29" w16cid:durableId="139924570">
    <w:abstractNumId w:val="20"/>
  </w:num>
  <w:num w:numId="30" w16cid:durableId="1080324538">
    <w:abstractNumId w:val="23"/>
  </w:num>
  <w:num w:numId="31" w16cid:durableId="1866290687">
    <w:abstractNumId w:val="12"/>
  </w:num>
  <w:num w:numId="32" w16cid:durableId="12196286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20"/>
    <w:rsid w:val="00000345"/>
    <w:rsid w:val="00000664"/>
    <w:rsid w:val="0000444C"/>
    <w:rsid w:val="00007002"/>
    <w:rsid w:val="000106C2"/>
    <w:rsid w:val="0001252A"/>
    <w:rsid w:val="00012E88"/>
    <w:rsid w:val="0001450C"/>
    <w:rsid w:val="00015BFB"/>
    <w:rsid w:val="000165C0"/>
    <w:rsid w:val="00016652"/>
    <w:rsid w:val="0001675F"/>
    <w:rsid w:val="00016836"/>
    <w:rsid w:val="00020954"/>
    <w:rsid w:val="00024096"/>
    <w:rsid w:val="00024696"/>
    <w:rsid w:val="00024FEC"/>
    <w:rsid w:val="00026401"/>
    <w:rsid w:val="000265A9"/>
    <w:rsid w:val="00026B9F"/>
    <w:rsid w:val="00031165"/>
    <w:rsid w:val="00032864"/>
    <w:rsid w:val="00033507"/>
    <w:rsid w:val="00033869"/>
    <w:rsid w:val="00034520"/>
    <w:rsid w:val="000370A3"/>
    <w:rsid w:val="00040E44"/>
    <w:rsid w:val="00041128"/>
    <w:rsid w:val="0004152B"/>
    <w:rsid w:val="000433CB"/>
    <w:rsid w:val="00043411"/>
    <w:rsid w:val="00046409"/>
    <w:rsid w:val="000465E9"/>
    <w:rsid w:val="00050046"/>
    <w:rsid w:val="0005037E"/>
    <w:rsid w:val="000505DC"/>
    <w:rsid w:val="00052E83"/>
    <w:rsid w:val="00054C61"/>
    <w:rsid w:val="000554FB"/>
    <w:rsid w:val="0005711E"/>
    <w:rsid w:val="00064646"/>
    <w:rsid w:val="0006541F"/>
    <w:rsid w:val="00065587"/>
    <w:rsid w:val="00072456"/>
    <w:rsid w:val="000729AA"/>
    <w:rsid w:val="00074596"/>
    <w:rsid w:val="0007668E"/>
    <w:rsid w:val="00081665"/>
    <w:rsid w:val="000825EF"/>
    <w:rsid w:val="000837A0"/>
    <w:rsid w:val="000844C3"/>
    <w:rsid w:val="00085788"/>
    <w:rsid w:val="00085BC8"/>
    <w:rsid w:val="00090FE1"/>
    <w:rsid w:val="00091B7E"/>
    <w:rsid w:val="00092993"/>
    <w:rsid w:val="000942DF"/>
    <w:rsid w:val="00094A52"/>
    <w:rsid w:val="000A018B"/>
    <w:rsid w:val="000A028E"/>
    <w:rsid w:val="000A26BC"/>
    <w:rsid w:val="000A373B"/>
    <w:rsid w:val="000A38A2"/>
    <w:rsid w:val="000A5043"/>
    <w:rsid w:val="000A6720"/>
    <w:rsid w:val="000A7768"/>
    <w:rsid w:val="000B1839"/>
    <w:rsid w:val="000B380B"/>
    <w:rsid w:val="000B3F5E"/>
    <w:rsid w:val="000B4599"/>
    <w:rsid w:val="000B4F01"/>
    <w:rsid w:val="000B5BE5"/>
    <w:rsid w:val="000B73EF"/>
    <w:rsid w:val="000B7547"/>
    <w:rsid w:val="000B7B47"/>
    <w:rsid w:val="000C6691"/>
    <w:rsid w:val="000C765E"/>
    <w:rsid w:val="000D0951"/>
    <w:rsid w:val="000D2B07"/>
    <w:rsid w:val="000D7155"/>
    <w:rsid w:val="000E03D1"/>
    <w:rsid w:val="000E2047"/>
    <w:rsid w:val="000E2B95"/>
    <w:rsid w:val="000E59AF"/>
    <w:rsid w:val="000E6556"/>
    <w:rsid w:val="000E6B1A"/>
    <w:rsid w:val="000F04AB"/>
    <w:rsid w:val="000F1167"/>
    <w:rsid w:val="000F445A"/>
    <w:rsid w:val="000F5917"/>
    <w:rsid w:val="000F61A1"/>
    <w:rsid w:val="00101226"/>
    <w:rsid w:val="00102728"/>
    <w:rsid w:val="00103E24"/>
    <w:rsid w:val="00103E81"/>
    <w:rsid w:val="001043C9"/>
    <w:rsid w:val="00104987"/>
    <w:rsid w:val="00105943"/>
    <w:rsid w:val="00110A4C"/>
    <w:rsid w:val="00111275"/>
    <w:rsid w:val="001114DF"/>
    <w:rsid w:val="001126E7"/>
    <w:rsid w:val="00112BB6"/>
    <w:rsid w:val="001143EE"/>
    <w:rsid w:val="001176E9"/>
    <w:rsid w:val="00117860"/>
    <w:rsid w:val="00120F2C"/>
    <w:rsid w:val="00121507"/>
    <w:rsid w:val="00121545"/>
    <w:rsid w:val="00121A27"/>
    <w:rsid w:val="001221AD"/>
    <w:rsid w:val="001317BD"/>
    <w:rsid w:val="00131BED"/>
    <w:rsid w:val="00132F77"/>
    <w:rsid w:val="00135725"/>
    <w:rsid w:val="00142BA6"/>
    <w:rsid w:val="00146693"/>
    <w:rsid w:val="00147123"/>
    <w:rsid w:val="00147EFA"/>
    <w:rsid w:val="00150742"/>
    <w:rsid w:val="001525F2"/>
    <w:rsid w:val="001527BD"/>
    <w:rsid w:val="00154332"/>
    <w:rsid w:val="0016079C"/>
    <w:rsid w:val="00161462"/>
    <w:rsid w:val="00162B13"/>
    <w:rsid w:val="00164C21"/>
    <w:rsid w:val="00164C93"/>
    <w:rsid w:val="00167838"/>
    <w:rsid w:val="001701C3"/>
    <w:rsid w:val="00170BFB"/>
    <w:rsid w:val="00175A98"/>
    <w:rsid w:val="00176E00"/>
    <w:rsid w:val="001773A1"/>
    <w:rsid w:val="001779FF"/>
    <w:rsid w:val="0018002E"/>
    <w:rsid w:val="00181889"/>
    <w:rsid w:val="00182C49"/>
    <w:rsid w:val="001858ED"/>
    <w:rsid w:val="00186C90"/>
    <w:rsid w:val="00191651"/>
    <w:rsid w:val="00193BB6"/>
    <w:rsid w:val="001945EB"/>
    <w:rsid w:val="00195333"/>
    <w:rsid w:val="001953B6"/>
    <w:rsid w:val="0019591C"/>
    <w:rsid w:val="00196B08"/>
    <w:rsid w:val="001A2E5E"/>
    <w:rsid w:val="001A5AC2"/>
    <w:rsid w:val="001A712B"/>
    <w:rsid w:val="001B243B"/>
    <w:rsid w:val="001B2AC0"/>
    <w:rsid w:val="001B2BDB"/>
    <w:rsid w:val="001B3737"/>
    <w:rsid w:val="001B44EB"/>
    <w:rsid w:val="001B5120"/>
    <w:rsid w:val="001B5E3F"/>
    <w:rsid w:val="001B6489"/>
    <w:rsid w:val="001B64D1"/>
    <w:rsid w:val="001B749E"/>
    <w:rsid w:val="001C031B"/>
    <w:rsid w:val="001C76A1"/>
    <w:rsid w:val="001C7904"/>
    <w:rsid w:val="001D234E"/>
    <w:rsid w:val="001D3EA4"/>
    <w:rsid w:val="001D60D8"/>
    <w:rsid w:val="001D6AC6"/>
    <w:rsid w:val="001D709C"/>
    <w:rsid w:val="001E1700"/>
    <w:rsid w:val="001E2837"/>
    <w:rsid w:val="001E2A0C"/>
    <w:rsid w:val="001E3005"/>
    <w:rsid w:val="001E40FD"/>
    <w:rsid w:val="001E51BC"/>
    <w:rsid w:val="001F39D3"/>
    <w:rsid w:val="001F4035"/>
    <w:rsid w:val="001F4642"/>
    <w:rsid w:val="001F519B"/>
    <w:rsid w:val="001F553B"/>
    <w:rsid w:val="0020160A"/>
    <w:rsid w:val="00201660"/>
    <w:rsid w:val="00204D58"/>
    <w:rsid w:val="002060A1"/>
    <w:rsid w:val="002065D6"/>
    <w:rsid w:val="002066F6"/>
    <w:rsid w:val="00206A36"/>
    <w:rsid w:val="00210FC6"/>
    <w:rsid w:val="00212797"/>
    <w:rsid w:val="00212AA8"/>
    <w:rsid w:val="00220028"/>
    <w:rsid w:val="002216CF"/>
    <w:rsid w:val="00221C32"/>
    <w:rsid w:val="00221F43"/>
    <w:rsid w:val="002224AD"/>
    <w:rsid w:val="002237CF"/>
    <w:rsid w:val="00225C3D"/>
    <w:rsid w:val="002268A8"/>
    <w:rsid w:val="00226A36"/>
    <w:rsid w:val="00226F07"/>
    <w:rsid w:val="00227DAE"/>
    <w:rsid w:val="00231A75"/>
    <w:rsid w:val="002320DF"/>
    <w:rsid w:val="00233A65"/>
    <w:rsid w:val="0023568E"/>
    <w:rsid w:val="00236389"/>
    <w:rsid w:val="0023751D"/>
    <w:rsid w:val="00237CCA"/>
    <w:rsid w:val="002418D1"/>
    <w:rsid w:val="00242E77"/>
    <w:rsid w:val="002435E6"/>
    <w:rsid w:val="002441F9"/>
    <w:rsid w:val="00244238"/>
    <w:rsid w:val="00245C74"/>
    <w:rsid w:val="0024703B"/>
    <w:rsid w:val="0024731E"/>
    <w:rsid w:val="00247D02"/>
    <w:rsid w:val="00256D8A"/>
    <w:rsid w:val="002623A6"/>
    <w:rsid w:val="00262403"/>
    <w:rsid w:val="002728A2"/>
    <w:rsid w:val="002733F8"/>
    <w:rsid w:val="00273892"/>
    <w:rsid w:val="002743C8"/>
    <w:rsid w:val="002771B2"/>
    <w:rsid w:val="00283388"/>
    <w:rsid w:val="00283705"/>
    <w:rsid w:val="00283FB0"/>
    <w:rsid w:val="00285B48"/>
    <w:rsid w:val="00287573"/>
    <w:rsid w:val="00290CEE"/>
    <w:rsid w:val="00293846"/>
    <w:rsid w:val="00293D74"/>
    <w:rsid w:val="00293E2D"/>
    <w:rsid w:val="00294BF1"/>
    <w:rsid w:val="00295C3F"/>
    <w:rsid w:val="00297027"/>
    <w:rsid w:val="00297705"/>
    <w:rsid w:val="00297A2A"/>
    <w:rsid w:val="002A063A"/>
    <w:rsid w:val="002A1EDA"/>
    <w:rsid w:val="002A29AA"/>
    <w:rsid w:val="002A2DF7"/>
    <w:rsid w:val="002A2E2D"/>
    <w:rsid w:val="002B0A7D"/>
    <w:rsid w:val="002B2472"/>
    <w:rsid w:val="002B56EF"/>
    <w:rsid w:val="002B5DE3"/>
    <w:rsid w:val="002B6825"/>
    <w:rsid w:val="002B7761"/>
    <w:rsid w:val="002C00DD"/>
    <w:rsid w:val="002C0AF5"/>
    <w:rsid w:val="002C17D7"/>
    <w:rsid w:val="002C1FB4"/>
    <w:rsid w:val="002C34FA"/>
    <w:rsid w:val="002C4195"/>
    <w:rsid w:val="002D1F88"/>
    <w:rsid w:val="002D2064"/>
    <w:rsid w:val="002D34AD"/>
    <w:rsid w:val="002D3B26"/>
    <w:rsid w:val="002D607F"/>
    <w:rsid w:val="002D70BC"/>
    <w:rsid w:val="002D7A11"/>
    <w:rsid w:val="002D7C75"/>
    <w:rsid w:val="002E04EF"/>
    <w:rsid w:val="002E2050"/>
    <w:rsid w:val="002E2A4C"/>
    <w:rsid w:val="002E602D"/>
    <w:rsid w:val="002E6E4A"/>
    <w:rsid w:val="002F089E"/>
    <w:rsid w:val="002F0BB5"/>
    <w:rsid w:val="002F1DCA"/>
    <w:rsid w:val="002F38C6"/>
    <w:rsid w:val="002F3F72"/>
    <w:rsid w:val="002F47C4"/>
    <w:rsid w:val="002F48EE"/>
    <w:rsid w:val="002F6DE1"/>
    <w:rsid w:val="002F712B"/>
    <w:rsid w:val="002F7707"/>
    <w:rsid w:val="00300ABC"/>
    <w:rsid w:val="00303094"/>
    <w:rsid w:val="00311136"/>
    <w:rsid w:val="00311956"/>
    <w:rsid w:val="00312FE7"/>
    <w:rsid w:val="003130CF"/>
    <w:rsid w:val="0031418B"/>
    <w:rsid w:val="00314CB4"/>
    <w:rsid w:val="00315A9B"/>
    <w:rsid w:val="00317E12"/>
    <w:rsid w:val="00320682"/>
    <w:rsid w:val="00320A64"/>
    <w:rsid w:val="00320FB5"/>
    <w:rsid w:val="003213E4"/>
    <w:rsid w:val="00322B93"/>
    <w:rsid w:val="00323279"/>
    <w:rsid w:val="00323DB7"/>
    <w:rsid w:val="00323FA4"/>
    <w:rsid w:val="003241FA"/>
    <w:rsid w:val="003244D9"/>
    <w:rsid w:val="00324DB1"/>
    <w:rsid w:val="003304F6"/>
    <w:rsid w:val="003307C9"/>
    <w:rsid w:val="00330A1E"/>
    <w:rsid w:val="00331562"/>
    <w:rsid w:val="00340C38"/>
    <w:rsid w:val="0034611A"/>
    <w:rsid w:val="003470B7"/>
    <w:rsid w:val="00350CD7"/>
    <w:rsid w:val="003525D3"/>
    <w:rsid w:val="003527E5"/>
    <w:rsid w:val="0035394E"/>
    <w:rsid w:val="00354A2B"/>
    <w:rsid w:val="00355182"/>
    <w:rsid w:val="00361CDC"/>
    <w:rsid w:val="00362A28"/>
    <w:rsid w:val="003662EF"/>
    <w:rsid w:val="003667D0"/>
    <w:rsid w:val="0036772F"/>
    <w:rsid w:val="00367F6C"/>
    <w:rsid w:val="003722F2"/>
    <w:rsid w:val="0037456F"/>
    <w:rsid w:val="00374CA4"/>
    <w:rsid w:val="00374F3E"/>
    <w:rsid w:val="00375EBC"/>
    <w:rsid w:val="00377669"/>
    <w:rsid w:val="00380078"/>
    <w:rsid w:val="00380E0C"/>
    <w:rsid w:val="00381319"/>
    <w:rsid w:val="003823AC"/>
    <w:rsid w:val="003836E7"/>
    <w:rsid w:val="00383A61"/>
    <w:rsid w:val="00384D62"/>
    <w:rsid w:val="0038546B"/>
    <w:rsid w:val="00385C0E"/>
    <w:rsid w:val="003878B3"/>
    <w:rsid w:val="003912AD"/>
    <w:rsid w:val="00392FD9"/>
    <w:rsid w:val="003967C4"/>
    <w:rsid w:val="0039710D"/>
    <w:rsid w:val="003A2C16"/>
    <w:rsid w:val="003A3804"/>
    <w:rsid w:val="003A72FE"/>
    <w:rsid w:val="003B3F57"/>
    <w:rsid w:val="003B4362"/>
    <w:rsid w:val="003B4F71"/>
    <w:rsid w:val="003C0D1B"/>
    <w:rsid w:val="003C1D50"/>
    <w:rsid w:val="003C20EA"/>
    <w:rsid w:val="003C37FC"/>
    <w:rsid w:val="003C3EEB"/>
    <w:rsid w:val="003E2BF5"/>
    <w:rsid w:val="003E3323"/>
    <w:rsid w:val="003E436D"/>
    <w:rsid w:val="003E43D4"/>
    <w:rsid w:val="003E4E67"/>
    <w:rsid w:val="003E75FA"/>
    <w:rsid w:val="003F02E7"/>
    <w:rsid w:val="003F1BBF"/>
    <w:rsid w:val="003F29AE"/>
    <w:rsid w:val="003F35C4"/>
    <w:rsid w:val="003F6D53"/>
    <w:rsid w:val="004000AB"/>
    <w:rsid w:val="00400221"/>
    <w:rsid w:val="0040073C"/>
    <w:rsid w:val="00401777"/>
    <w:rsid w:val="00401FD8"/>
    <w:rsid w:val="004040DF"/>
    <w:rsid w:val="00404932"/>
    <w:rsid w:val="00405AE8"/>
    <w:rsid w:val="004063F8"/>
    <w:rsid w:val="0041063D"/>
    <w:rsid w:val="00411516"/>
    <w:rsid w:val="00413CF6"/>
    <w:rsid w:val="00414496"/>
    <w:rsid w:val="004174DD"/>
    <w:rsid w:val="00417DE6"/>
    <w:rsid w:val="00417F09"/>
    <w:rsid w:val="00420E23"/>
    <w:rsid w:val="00421F10"/>
    <w:rsid w:val="00425170"/>
    <w:rsid w:val="00430776"/>
    <w:rsid w:val="004309D5"/>
    <w:rsid w:val="00430BEC"/>
    <w:rsid w:val="004321C0"/>
    <w:rsid w:val="00434686"/>
    <w:rsid w:val="00435A97"/>
    <w:rsid w:val="00436B8C"/>
    <w:rsid w:val="0044056F"/>
    <w:rsid w:val="00440672"/>
    <w:rsid w:val="00441345"/>
    <w:rsid w:val="00444D84"/>
    <w:rsid w:val="004456A4"/>
    <w:rsid w:val="00450102"/>
    <w:rsid w:val="0045172B"/>
    <w:rsid w:val="0045179E"/>
    <w:rsid w:val="00451E55"/>
    <w:rsid w:val="00452E73"/>
    <w:rsid w:val="0045303F"/>
    <w:rsid w:val="00454491"/>
    <w:rsid w:val="0045604F"/>
    <w:rsid w:val="004614A6"/>
    <w:rsid w:val="00465CFA"/>
    <w:rsid w:val="00470477"/>
    <w:rsid w:val="0047360F"/>
    <w:rsid w:val="00473805"/>
    <w:rsid w:val="00473CE8"/>
    <w:rsid w:val="0047497B"/>
    <w:rsid w:val="00475249"/>
    <w:rsid w:val="00475A7E"/>
    <w:rsid w:val="00476722"/>
    <w:rsid w:val="004819A0"/>
    <w:rsid w:val="00481D0E"/>
    <w:rsid w:val="00482FC3"/>
    <w:rsid w:val="00484FB3"/>
    <w:rsid w:val="004855BE"/>
    <w:rsid w:val="004867F0"/>
    <w:rsid w:val="00493807"/>
    <w:rsid w:val="004A11EB"/>
    <w:rsid w:val="004A3D72"/>
    <w:rsid w:val="004A5437"/>
    <w:rsid w:val="004A5462"/>
    <w:rsid w:val="004A5865"/>
    <w:rsid w:val="004A65B7"/>
    <w:rsid w:val="004A75E4"/>
    <w:rsid w:val="004B05A4"/>
    <w:rsid w:val="004B1AC5"/>
    <w:rsid w:val="004B1EA2"/>
    <w:rsid w:val="004B2B0F"/>
    <w:rsid w:val="004B44B0"/>
    <w:rsid w:val="004B65D6"/>
    <w:rsid w:val="004B74C7"/>
    <w:rsid w:val="004B750D"/>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4EB6"/>
    <w:rsid w:val="004F6D6F"/>
    <w:rsid w:val="004F7212"/>
    <w:rsid w:val="004F7CEA"/>
    <w:rsid w:val="00503F61"/>
    <w:rsid w:val="00505AB8"/>
    <w:rsid w:val="005065E9"/>
    <w:rsid w:val="00507161"/>
    <w:rsid w:val="0050782E"/>
    <w:rsid w:val="00510761"/>
    <w:rsid w:val="00510BBA"/>
    <w:rsid w:val="005117D6"/>
    <w:rsid w:val="00512C05"/>
    <w:rsid w:val="00513E4E"/>
    <w:rsid w:val="00515B15"/>
    <w:rsid w:val="00516AF2"/>
    <w:rsid w:val="00525CE7"/>
    <w:rsid w:val="00527D6C"/>
    <w:rsid w:val="00530280"/>
    <w:rsid w:val="00531EB6"/>
    <w:rsid w:val="005377DA"/>
    <w:rsid w:val="0054270C"/>
    <w:rsid w:val="005450C8"/>
    <w:rsid w:val="00545CC7"/>
    <w:rsid w:val="005465BD"/>
    <w:rsid w:val="005475B0"/>
    <w:rsid w:val="00550421"/>
    <w:rsid w:val="00551929"/>
    <w:rsid w:val="00552FEF"/>
    <w:rsid w:val="00554D9B"/>
    <w:rsid w:val="00563E1C"/>
    <w:rsid w:val="005653D2"/>
    <w:rsid w:val="005665CB"/>
    <w:rsid w:val="0057014D"/>
    <w:rsid w:val="00570600"/>
    <w:rsid w:val="00570FDF"/>
    <w:rsid w:val="00571F8F"/>
    <w:rsid w:val="00572F34"/>
    <w:rsid w:val="0057370B"/>
    <w:rsid w:val="00573BEC"/>
    <w:rsid w:val="00576DB6"/>
    <w:rsid w:val="0058262D"/>
    <w:rsid w:val="0058343C"/>
    <w:rsid w:val="0059025C"/>
    <w:rsid w:val="00590301"/>
    <w:rsid w:val="005906C8"/>
    <w:rsid w:val="00594215"/>
    <w:rsid w:val="00594C07"/>
    <w:rsid w:val="00595BE4"/>
    <w:rsid w:val="005A14F2"/>
    <w:rsid w:val="005A1621"/>
    <w:rsid w:val="005A1A58"/>
    <w:rsid w:val="005A3E14"/>
    <w:rsid w:val="005A4774"/>
    <w:rsid w:val="005A66E9"/>
    <w:rsid w:val="005A6889"/>
    <w:rsid w:val="005B0203"/>
    <w:rsid w:val="005B0AB2"/>
    <w:rsid w:val="005B1C4D"/>
    <w:rsid w:val="005B27F6"/>
    <w:rsid w:val="005B329E"/>
    <w:rsid w:val="005B58A4"/>
    <w:rsid w:val="005B659D"/>
    <w:rsid w:val="005B7C34"/>
    <w:rsid w:val="005C025B"/>
    <w:rsid w:val="005C09C9"/>
    <w:rsid w:val="005C2958"/>
    <w:rsid w:val="005C2D84"/>
    <w:rsid w:val="005C682A"/>
    <w:rsid w:val="005D2275"/>
    <w:rsid w:val="005D7E1A"/>
    <w:rsid w:val="005E37F4"/>
    <w:rsid w:val="005E42AE"/>
    <w:rsid w:val="005E4D25"/>
    <w:rsid w:val="005E4D37"/>
    <w:rsid w:val="005E56FD"/>
    <w:rsid w:val="005E581A"/>
    <w:rsid w:val="005F050B"/>
    <w:rsid w:val="005F0769"/>
    <w:rsid w:val="005F4024"/>
    <w:rsid w:val="005F518E"/>
    <w:rsid w:val="00602CAB"/>
    <w:rsid w:val="006042AC"/>
    <w:rsid w:val="00604314"/>
    <w:rsid w:val="00606519"/>
    <w:rsid w:val="00606750"/>
    <w:rsid w:val="00606AE5"/>
    <w:rsid w:val="00607DF2"/>
    <w:rsid w:val="0061035B"/>
    <w:rsid w:val="006173ED"/>
    <w:rsid w:val="00617B2F"/>
    <w:rsid w:val="00617C0E"/>
    <w:rsid w:val="0062410F"/>
    <w:rsid w:val="006260A0"/>
    <w:rsid w:val="006307C0"/>
    <w:rsid w:val="00630B43"/>
    <w:rsid w:val="00632E34"/>
    <w:rsid w:val="00637986"/>
    <w:rsid w:val="00641404"/>
    <w:rsid w:val="00645A59"/>
    <w:rsid w:val="00645AF5"/>
    <w:rsid w:val="0064752C"/>
    <w:rsid w:val="00652D73"/>
    <w:rsid w:val="00657242"/>
    <w:rsid w:val="00657912"/>
    <w:rsid w:val="006602CA"/>
    <w:rsid w:val="00662D9A"/>
    <w:rsid w:val="006634AE"/>
    <w:rsid w:val="00664DC5"/>
    <w:rsid w:val="00667140"/>
    <w:rsid w:val="0066735D"/>
    <w:rsid w:val="00667C05"/>
    <w:rsid w:val="00667F5C"/>
    <w:rsid w:val="00671550"/>
    <w:rsid w:val="0067226E"/>
    <w:rsid w:val="00672B0A"/>
    <w:rsid w:val="00673199"/>
    <w:rsid w:val="0067638C"/>
    <w:rsid w:val="00676966"/>
    <w:rsid w:val="00682546"/>
    <w:rsid w:val="00682E20"/>
    <w:rsid w:val="00683A5A"/>
    <w:rsid w:val="00694027"/>
    <w:rsid w:val="0069424A"/>
    <w:rsid w:val="00694CEF"/>
    <w:rsid w:val="006A12A8"/>
    <w:rsid w:val="006A2710"/>
    <w:rsid w:val="006A2953"/>
    <w:rsid w:val="006A4C2F"/>
    <w:rsid w:val="006A55CB"/>
    <w:rsid w:val="006B0A33"/>
    <w:rsid w:val="006B0B15"/>
    <w:rsid w:val="006B1E5E"/>
    <w:rsid w:val="006B277C"/>
    <w:rsid w:val="006B27EB"/>
    <w:rsid w:val="006B38C3"/>
    <w:rsid w:val="006B3A13"/>
    <w:rsid w:val="006B46F7"/>
    <w:rsid w:val="006B60C1"/>
    <w:rsid w:val="006C0529"/>
    <w:rsid w:val="006C0AD2"/>
    <w:rsid w:val="006C0D65"/>
    <w:rsid w:val="006C2FE0"/>
    <w:rsid w:val="006C3616"/>
    <w:rsid w:val="006C447F"/>
    <w:rsid w:val="006C578B"/>
    <w:rsid w:val="006C650E"/>
    <w:rsid w:val="006C69BC"/>
    <w:rsid w:val="006C71C0"/>
    <w:rsid w:val="006C7ADF"/>
    <w:rsid w:val="006D3C21"/>
    <w:rsid w:val="006D47DC"/>
    <w:rsid w:val="006D4B41"/>
    <w:rsid w:val="006D6551"/>
    <w:rsid w:val="006D690D"/>
    <w:rsid w:val="006D7955"/>
    <w:rsid w:val="006D7B6E"/>
    <w:rsid w:val="006E173A"/>
    <w:rsid w:val="006E309E"/>
    <w:rsid w:val="006E3D2C"/>
    <w:rsid w:val="006E6ED8"/>
    <w:rsid w:val="006E78D6"/>
    <w:rsid w:val="006F1824"/>
    <w:rsid w:val="006F2D6F"/>
    <w:rsid w:val="006F5C03"/>
    <w:rsid w:val="007005C8"/>
    <w:rsid w:val="00700839"/>
    <w:rsid w:val="00702898"/>
    <w:rsid w:val="00703076"/>
    <w:rsid w:val="0070355A"/>
    <w:rsid w:val="007046F8"/>
    <w:rsid w:val="007108B7"/>
    <w:rsid w:val="00710C07"/>
    <w:rsid w:val="0071209F"/>
    <w:rsid w:val="00712920"/>
    <w:rsid w:val="00712CE5"/>
    <w:rsid w:val="0071327E"/>
    <w:rsid w:val="00714969"/>
    <w:rsid w:val="007154AE"/>
    <w:rsid w:val="00716B24"/>
    <w:rsid w:val="00716F6D"/>
    <w:rsid w:val="0071705C"/>
    <w:rsid w:val="007211E3"/>
    <w:rsid w:val="007221AD"/>
    <w:rsid w:val="007236D5"/>
    <w:rsid w:val="007243D3"/>
    <w:rsid w:val="00725B8E"/>
    <w:rsid w:val="00726F77"/>
    <w:rsid w:val="00730421"/>
    <w:rsid w:val="007312E1"/>
    <w:rsid w:val="007319BE"/>
    <w:rsid w:val="0073295D"/>
    <w:rsid w:val="00733059"/>
    <w:rsid w:val="00735565"/>
    <w:rsid w:val="0073618A"/>
    <w:rsid w:val="00737098"/>
    <w:rsid w:val="00737AFC"/>
    <w:rsid w:val="0074025E"/>
    <w:rsid w:val="00740D78"/>
    <w:rsid w:val="00740F20"/>
    <w:rsid w:val="00742610"/>
    <w:rsid w:val="007443CC"/>
    <w:rsid w:val="00747021"/>
    <w:rsid w:val="00747E68"/>
    <w:rsid w:val="00751A80"/>
    <w:rsid w:val="00754152"/>
    <w:rsid w:val="007568B8"/>
    <w:rsid w:val="00761101"/>
    <w:rsid w:val="0076227A"/>
    <w:rsid w:val="00762DF5"/>
    <w:rsid w:val="007633EE"/>
    <w:rsid w:val="00763CB3"/>
    <w:rsid w:val="00764011"/>
    <w:rsid w:val="00764323"/>
    <w:rsid w:val="00764FC3"/>
    <w:rsid w:val="00765E49"/>
    <w:rsid w:val="00766353"/>
    <w:rsid w:val="00767E8D"/>
    <w:rsid w:val="00770ACF"/>
    <w:rsid w:val="0077166D"/>
    <w:rsid w:val="0077174C"/>
    <w:rsid w:val="007718BC"/>
    <w:rsid w:val="0077546D"/>
    <w:rsid w:val="00782FD4"/>
    <w:rsid w:val="0078318C"/>
    <w:rsid w:val="00783368"/>
    <w:rsid w:val="00783E2E"/>
    <w:rsid w:val="00790C7B"/>
    <w:rsid w:val="007918E5"/>
    <w:rsid w:val="0079244E"/>
    <w:rsid w:val="007948C1"/>
    <w:rsid w:val="00794B17"/>
    <w:rsid w:val="00795F65"/>
    <w:rsid w:val="007A1395"/>
    <w:rsid w:val="007A2383"/>
    <w:rsid w:val="007A3510"/>
    <w:rsid w:val="007A42A3"/>
    <w:rsid w:val="007A76B7"/>
    <w:rsid w:val="007A7F50"/>
    <w:rsid w:val="007B187A"/>
    <w:rsid w:val="007B1891"/>
    <w:rsid w:val="007B230C"/>
    <w:rsid w:val="007B2780"/>
    <w:rsid w:val="007B2BC8"/>
    <w:rsid w:val="007B3538"/>
    <w:rsid w:val="007B37AF"/>
    <w:rsid w:val="007B4696"/>
    <w:rsid w:val="007B5380"/>
    <w:rsid w:val="007B7513"/>
    <w:rsid w:val="007B7A10"/>
    <w:rsid w:val="007C0254"/>
    <w:rsid w:val="007C04A9"/>
    <w:rsid w:val="007C13D2"/>
    <w:rsid w:val="007C1A6F"/>
    <w:rsid w:val="007C23B4"/>
    <w:rsid w:val="007C286B"/>
    <w:rsid w:val="007C3AA2"/>
    <w:rsid w:val="007C538D"/>
    <w:rsid w:val="007C53E8"/>
    <w:rsid w:val="007C654E"/>
    <w:rsid w:val="007C7534"/>
    <w:rsid w:val="007D424F"/>
    <w:rsid w:val="007D4492"/>
    <w:rsid w:val="007D44F6"/>
    <w:rsid w:val="007D63F2"/>
    <w:rsid w:val="007D6D12"/>
    <w:rsid w:val="007E63B4"/>
    <w:rsid w:val="007F1174"/>
    <w:rsid w:val="007F3FBB"/>
    <w:rsid w:val="007F4241"/>
    <w:rsid w:val="007F50B3"/>
    <w:rsid w:val="00801454"/>
    <w:rsid w:val="008030FB"/>
    <w:rsid w:val="0080441D"/>
    <w:rsid w:val="00804837"/>
    <w:rsid w:val="00812C60"/>
    <w:rsid w:val="008132B8"/>
    <w:rsid w:val="008137B0"/>
    <w:rsid w:val="00813BBD"/>
    <w:rsid w:val="00814E71"/>
    <w:rsid w:val="00814F1A"/>
    <w:rsid w:val="008201A9"/>
    <w:rsid w:val="008202D4"/>
    <w:rsid w:val="008203AD"/>
    <w:rsid w:val="00821C41"/>
    <w:rsid w:val="008234D5"/>
    <w:rsid w:val="008250E7"/>
    <w:rsid w:val="008256E1"/>
    <w:rsid w:val="00825E83"/>
    <w:rsid w:val="00832AC4"/>
    <w:rsid w:val="008330E6"/>
    <w:rsid w:val="00834F9B"/>
    <w:rsid w:val="00841FFB"/>
    <w:rsid w:val="00844141"/>
    <w:rsid w:val="00844963"/>
    <w:rsid w:val="008451DB"/>
    <w:rsid w:val="00846EAC"/>
    <w:rsid w:val="00856492"/>
    <w:rsid w:val="008614A5"/>
    <w:rsid w:val="008639EF"/>
    <w:rsid w:val="00866A48"/>
    <w:rsid w:val="008674E0"/>
    <w:rsid w:val="00870174"/>
    <w:rsid w:val="00870E99"/>
    <w:rsid w:val="00871A5E"/>
    <w:rsid w:val="008722AB"/>
    <w:rsid w:val="00872E58"/>
    <w:rsid w:val="008737D0"/>
    <w:rsid w:val="00873D30"/>
    <w:rsid w:val="00874898"/>
    <w:rsid w:val="008778F0"/>
    <w:rsid w:val="00880501"/>
    <w:rsid w:val="00881F86"/>
    <w:rsid w:val="00881FF0"/>
    <w:rsid w:val="0088785C"/>
    <w:rsid w:val="00893444"/>
    <w:rsid w:val="00894A7A"/>
    <w:rsid w:val="008951FF"/>
    <w:rsid w:val="008962D5"/>
    <w:rsid w:val="008A1F06"/>
    <w:rsid w:val="008A222B"/>
    <w:rsid w:val="008A45BA"/>
    <w:rsid w:val="008A73E0"/>
    <w:rsid w:val="008B1FEF"/>
    <w:rsid w:val="008B23EA"/>
    <w:rsid w:val="008B3A94"/>
    <w:rsid w:val="008B63F9"/>
    <w:rsid w:val="008B6B23"/>
    <w:rsid w:val="008B7B33"/>
    <w:rsid w:val="008B7FEB"/>
    <w:rsid w:val="008C0D3C"/>
    <w:rsid w:val="008C1B80"/>
    <w:rsid w:val="008C3A7F"/>
    <w:rsid w:val="008C407F"/>
    <w:rsid w:val="008C43DF"/>
    <w:rsid w:val="008C4DEA"/>
    <w:rsid w:val="008C54B4"/>
    <w:rsid w:val="008D0B03"/>
    <w:rsid w:val="008D3893"/>
    <w:rsid w:val="008E010D"/>
    <w:rsid w:val="008E077A"/>
    <w:rsid w:val="008E0ADF"/>
    <w:rsid w:val="008E2067"/>
    <w:rsid w:val="008E32FB"/>
    <w:rsid w:val="008E4FEB"/>
    <w:rsid w:val="008E6E2E"/>
    <w:rsid w:val="008E73AD"/>
    <w:rsid w:val="008E79E9"/>
    <w:rsid w:val="008E7E88"/>
    <w:rsid w:val="008F3A51"/>
    <w:rsid w:val="008F620F"/>
    <w:rsid w:val="00900EC4"/>
    <w:rsid w:val="00902075"/>
    <w:rsid w:val="0090233F"/>
    <w:rsid w:val="009042C5"/>
    <w:rsid w:val="00904F5F"/>
    <w:rsid w:val="00906ED6"/>
    <w:rsid w:val="00907568"/>
    <w:rsid w:val="00907AAC"/>
    <w:rsid w:val="00907B07"/>
    <w:rsid w:val="0091531B"/>
    <w:rsid w:val="00922E7D"/>
    <w:rsid w:val="009235F4"/>
    <w:rsid w:val="009243A0"/>
    <w:rsid w:val="009252AA"/>
    <w:rsid w:val="00925A89"/>
    <w:rsid w:val="00925D0F"/>
    <w:rsid w:val="00927FF8"/>
    <w:rsid w:val="00930702"/>
    <w:rsid w:val="00932549"/>
    <w:rsid w:val="00933357"/>
    <w:rsid w:val="00933598"/>
    <w:rsid w:val="00937B21"/>
    <w:rsid w:val="00940FB0"/>
    <w:rsid w:val="00941E51"/>
    <w:rsid w:val="00945278"/>
    <w:rsid w:val="0094720D"/>
    <w:rsid w:val="00950B8F"/>
    <w:rsid w:val="009516EE"/>
    <w:rsid w:val="00952297"/>
    <w:rsid w:val="009550CB"/>
    <w:rsid w:val="009558F9"/>
    <w:rsid w:val="00961A44"/>
    <w:rsid w:val="009624F7"/>
    <w:rsid w:val="0096450E"/>
    <w:rsid w:val="00964AAB"/>
    <w:rsid w:val="0096526E"/>
    <w:rsid w:val="00972ED1"/>
    <w:rsid w:val="00973449"/>
    <w:rsid w:val="00976266"/>
    <w:rsid w:val="0098155E"/>
    <w:rsid w:val="0098174C"/>
    <w:rsid w:val="00982945"/>
    <w:rsid w:val="00986A4B"/>
    <w:rsid w:val="00986C76"/>
    <w:rsid w:val="00991617"/>
    <w:rsid w:val="00992872"/>
    <w:rsid w:val="0099427C"/>
    <w:rsid w:val="009A228F"/>
    <w:rsid w:val="009A2524"/>
    <w:rsid w:val="009B044E"/>
    <w:rsid w:val="009B26DC"/>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72BF"/>
    <w:rsid w:val="009E0A13"/>
    <w:rsid w:val="009E1DE7"/>
    <w:rsid w:val="009E41D5"/>
    <w:rsid w:val="009E599A"/>
    <w:rsid w:val="009E5EBF"/>
    <w:rsid w:val="009E60B7"/>
    <w:rsid w:val="009E6BAA"/>
    <w:rsid w:val="009F0612"/>
    <w:rsid w:val="009F0931"/>
    <w:rsid w:val="009F0A12"/>
    <w:rsid w:val="009F1891"/>
    <w:rsid w:val="009F3931"/>
    <w:rsid w:val="009F60F5"/>
    <w:rsid w:val="009F6751"/>
    <w:rsid w:val="00A00C64"/>
    <w:rsid w:val="00A014FB"/>
    <w:rsid w:val="00A01CA7"/>
    <w:rsid w:val="00A049B5"/>
    <w:rsid w:val="00A04FCB"/>
    <w:rsid w:val="00A05C6A"/>
    <w:rsid w:val="00A05E02"/>
    <w:rsid w:val="00A05F03"/>
    <w:rsid w:val="00A0659A"/>
    <w:rsid w:val="00A116E1"/>
    <w:rsid w:val="00A120EF"/>
    <w:rsid w:val="00A15ED2"/>
    <w:rsid w:val="00A17DB1"/>
    <w:rsid w:val="00A24B2A"/>
    <w:rsid w:val="00A25AF8"/>
    <w:rsid w:val="00A268E5"/>
    <w:rsid w:val="00A31A28"/>
    <w:rsid w:val="00A32CE8"/>
    <w:rsid w:val="00A35C83"/>
    <w:rsid w:val="00A35CB4"/>
    <w:rsid w:val="00A43073"/>
    <w:rsid w:val="00A43F13"/>
    <w:rsid w:val="00A4459C"/>
    <w:rsid w:val="00A4554B"/>
    <w:rsid w:val="00A45E20"/>
    <w:rsid w:val="00A502C8"/>
    <w:rsid w:val="00A504F4"/>
    <w:rsid w:val="00A51FD1"/>
    <w:rsid w:val="00A5256E"/>
    <w:rsid w:val="00A52B20"/>
    <w:rsid w:val="00A548E2"/>
    <w:rsid w:val="00A54D47"/>
    <w:rsid w:val="00A56E09"/>
    <w:rsid w:val="00A61C61"/>
    <w:rsid w:val="00A63926"/>
    <w:rsid w:val="00A65027"/>
    <w:rsid w:val="00A66081"/>
    <w:rsid w:val="00A665A8"/>
    <w:rsid w:val="00A66B8C"/>
    <w:rsid w:val="00A67B08"/>
    <w:rsid w:val="00A7558B"/>
    <w:rsid w:val="00A76948"/>
    <w:rsid w:val="00A818D6"/>
    <w:rsid w:val="00A84047"/>
    <w:rsid w:val="00A869CD"/>
    <w:rsid w:val="00A914CE"/>
    <w:rsid w:val="00A93E59"/>
    <w:rsid w:val="00A950C4"/>
    <w:rsid w:val="00A95E02"/>
    <w:rsid w:val="00A96533"/>
    <w:rsid w:val="00A96725"/>
    <w:rsid w:val="00A97A15"/>
    <w:rsid w:val="00AA0A10"/>
    <w:rsid w:val="00AA1BDD"/>
    <w:rsid w:val="00AA2BD6"/>
    <w:rsid w:val="00AA2DE3"/>
    <w:rsid w:val="00AA3E4C"/>
    <w:rsid w:val="00AA496D"/>
    <w:rsid w:val="00AA7422"/>
    <w:rsid w:val="00AA7FB3"/>
    <w:rsid w:val="00AB16EB"/>
    <w:rsid w:val="00AB1FC0"/>
    <w:rsid w:val="00AB2928"/>
    <w:rsid w:val="00AB2A4E"/>
    <w:rsid w:val="00AB3762"/>
    <w:rsid w:val="00AB3851"/>
    <w:rsid w:val="00AB4EE2"/>
    <w:rsid w:val="00AB57C5"/>
    <w:rsid w:val="00AB6609"/>
    <w:rsid w:val="00AB79E6"/>
    <w:rsid w:val="00AB7AD2"/>
    <w:rsid w:val="00AB7C49"/>
    <w:rsid w:val="00AC1970"/>
    <w:rsid w:val="00AC3DB5"/>
    <w:rsid w:val="00AC516D"/>
    <w:rsid w:val="00AC5501"/>
    <w:rsid w:val="00AC692F"/>
    <w:rsid w:val="00AC6953"/>
    <w:rsid w:val="00AD59BE"/>
    <w:rsid w:val="00AD70F3"/>
    <w:rsid w:val="00AD79CC"/>
    <w:rsid w:val="00AE0B74"/>
    <w:rsid w:val="00AE275D"/>
    <w:rsid w:val="00AE4657"/>
    <w:rsid w:val="00AE5076"/>
    <w:rsid w:val="00AE539D"/>
    <w:rsid w:val="00AE56B5"/>
    <w:rsid w:val="00AE71E7"/>
    <w:rsid w:val="00AF293B"/>
    <w:rsid w:val="00AF427E"/>
    <w:rsid w:val="00AF5F9E"/>
    <w:rsid w:val="00AF692B"/>
    <w:rsid w:val="00AF7608"/>
    <w:rsid w:val="00AF7D25"/>
    <w:rsid w:val="00B017FC"/>
    <w:rsid w:val="00B02B56"/>
    <w:rsid w:val="00B0681A"/>
    <w:rsid w:val="00B11B8F"/>
    <w:rsid w:val="00B13A6F"/>
    <w:rsid w:val="00B13AC9"/>
    <w:rsid w:val="00B149C8"/>
    <w:rsid w:val="00B15645"/>
    <w:rsid w:val="00B15D94"/>
    <w:rsid w:val="00B15F04"/>
    <w:rsid w:val="00B161E0"/>
    <w:rsid w:val="00B16E72"/>
    <w:rsid w:val="00B17654"/>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980"/>
    <w:rsid w:val="00B43F0C"/>
    <w:rsid w:val="00B4521E"/>
    <w:rsid w:val="00B5151B"/>
    <w:rsid w:val="00B5398D"/>
    <w:rsid w:val="00B53F0F"/>
    <w:rsid w:val="00B54069"/>
    <w:rsid w:val="00B54B8E"/>
    <w:rsid w:val="00B5586A"/>
    <w:rsid w:val="00B55CAB"/>
    <w:rsid w:val="00B570CD"/>
    <w:rsid w:val="00B6040F"/>
    <w:rsid w:val="00B62565"/>
    <w:rsid w:val="00B639BC"/>
    <w:rsid w:val="00B65CD2"/>
    <w:rsid w:val="00B727B3"/>
    <w:rsid w:val="00B72BCB"/>
    <w:rsid w:val="00B74230"/>
    <w:rsid w:val="00B74447"/>
    <w:rsid w:val="00B7726A"/>
    <w:rsid w:val="00B801E6"/>
    <w:rsid w:val="00B82A26"/>
    <w:rsid w:val="00B83B91"/>
    <w:rsid w:val="00B83F2E"/>
    <w:rsid w:val="00B8639F"/>
    <w:rsid w:val="00B879D1"/>
    <w:rsid w:val="00B87BF1"/>
    <w:rsid w:val="00B91535"/>
    <w:rsid w:val="00B91998"/>
    <w:rsid w:val="00B92600"/>
    <w:rsid w:val="00B93238"/>
    <w:rsid w:val="00B94D43"/>
    <w:rsid w:val="00B95BE1"/>
    <w:rsid w:val="00B966E0"/>
    <w:rsid w:val="00BA10A0"/>
    <w:rsid w:val="00BA3FE3"/>
    <w:rsid w:val="00BA46A4"/>
    <w:rsid w:val="00BA53D1"/>
    <w:rsid w:val="00BA5BDE"/>
    <w:rsid w:val="00BA61B3"/>
    <w:rsid w:val="00BA6FDD"/>
    <w:rsid w:val="00BA7732"/>
    <w:rsid w:val="00BA7DFB"/>
    <w:rsid w:val="00BB060F"/>
    <w:rsid w:val="00BB1459"/>
    <w:rsid w:val="00BB2910"/>
    <w:rsid w:val="00BB30B8"/>
    <w:rsid w:val="00BB3D56"/>
    <w:rsid w:val="00BB4AFD"/>
    <w:rsid w:val="00BB54BA"/>
    <w:rsid w:val="00BB5737"/>
    <w:rsid w:val="00BC2330"/>
    <w:rsid w:val="00BC299A"/>
    <w:rsid w:val="00BC47DE"/>
    <w:rsid w:val="00BC606D"/>
    <w:rsid w:val="00BC659F"/>
    <w:rsid w:val="00BC6B14"/>
    <w:rsid w:val="00BC6DA2"/>
    <w:rsid w:val="00BC73A8"/>
    <w:rsid w:val="00BD0127"/>
    <w:rsid w:val="00BD1E03"/>
    <w:rsid w:val="00BD26BD"/>
    <w:rsid w:val="00BD3BBC"/>
    <w:rsid w:val="00BD3F3D"/>
    <w:rsid w:val="00BD6693"/>
    <w:rsid w:val="00BD68A0"/>
    <w:rsid w:val="00BE2D58"/>
    <w:rsid w:val="00BF1D67"/>
    <w:rsid w:val="00BF3801"/>
    <w:rsid w:val="00BF5C00"/>
    <w:rsid w:val="00C019D3"/>
    <w:rsid w:val="00C04057"/>
    <w:rsid w:val="00C0485D"/>
    <w:rsid w:val="00C07470"/>
    <w:rsid w:val="00C076B6"/>
    <w:rsid w:val="00C112A3"/>
    <w:rsid w:val="00C11D54"/>
    <w:rsid w:val="00C15CCD"/>
    <w:rsid w:val="00C161DD"/>
    <w:rsid w:val="00C1701E"/>
    <w:rsid w:val="00C21C1E"/>
    <w:rsid w:val="00C22FCE"/>
    <w:rsid w:val="00C24D2B"/>
    <w:rsid w:val="00C24D3B"/>
    <w:rsid w:val="00C26C43"/>
    <w:rsid w:val="00C313D4"/>
    <w:rsid w:val="00C32F32"/>
    <w:rsid w:val="00C35905"/>
    <w:rsid w:val="00C35968"/>
    <w:rsid w:val="00C3646A"/>
    <w:rsid w:val="00C368EB"/>
    <w:rsid w:val="00C40803"/>
    <w:rsid w:val="00C417F6"/>
    <w:rsid w:val="00C42FD8"/>
    <w:rsid w:val="00C5136C"/>
    <w:rsid w:val="00C5290F"/>
    <w:rsid w:val="00C52958"/>
    <w:rsid w:val="00C5393D"/>
    <w:rsid w:val="00C55AE4"/>
    <w:rsid w:val="00C563DD"/>
    <w:rsid w:val="00C61590"/>
    <w:rsid w:val="00C617EC"/>
    <w:rsid w:val="00C64671"/>
    <w:rsid w:val="00C64B69"/>
    <w:rsid w:val="00C64C85"/>
    <w:rsid w:val="00C6614E"/>
    <w:rsid w:val="00C6680A"/>
    <w:rsid w:val="00C66920"/>
    <w:rsid w:val="00C66D71"/>
    <w:rsid w:val="00C71044"/>
    <w:rsid w:val="00C711D0"/>
    <w:rsid w:val="00C728EF"/>
    <w:rsid w:val="00C7295C"/>
    <w:rsid w:val="00C72AE9"/>
    <w:rsid w:val="00C7318C"/>
    <w:rsid w:val="00C737FE"/>
    <w:rsid w:val="00C7496D"/>
    <w:rsid w:val="00C750BE"/>
    <w:rsid w:val="00C751C2"/>
    <w:rsid w:val="00C75504"/>
    <w:rsid w:val="00C75523"/>
    <w:rsid w:val="00C77E5E"/>
    <w:rsid w:val="00C837C1"/>
    <w:rsid w:val="00C854D5"/>
    <w:rsid w:val="00C85E3A"/>
    <w:rsid w:val="00C8639F"/>
    <w:rsid w:val="00C91626"/>
    <w:rsid w:val="00C937E1"/>
    <w:rsid w:val="00C94793"/>
    <w:rsid w:val="00C97C4E"/>
    <w:rsid w:val="00CA0C14"/>
    <w:rsid w:val="00CA4B92"/>
    <w:rsid w:val="00CA55F3"/>
    <w:rsid w:val="00CB1CA7"/>
    <w:rsid w:val="00CB4D4C"/>
    <w:rsid w:val="00CC2652"/>
    <w:rsid w:val="00CC3D9A"/>
    <w:rsid w:val="00CD2531"/>
    <w:rsid w:val="00CD47D3"/>
    <w:rsid w:val="00CD54EF"/>
    <w:rsid w:val="00CD5DE6"/>
    <w:rsid w:val="00CD7A06"/>
    <w:rsid w:val="00CE080E"/>
    <w:rsid w:val="00CE2C81"/>
    <w:rsid w:val="00CE62C0"/>
    <w:rsid w:val="00CE7A6E"/>
    <w:rsid w:val="00CF17B1"/>
    <w:rsid w:val="00CF18CC"/>
    <w:rsid w:val="00CF2058"/>
    <w:rsid w:val="00CF29D9"/>
    <w:rsid w:val="00CF596F"/>
    <w:rsid w:val="00CF60CD"/>
    <w:rsid w:val="00CF67E8"/>
    <w:rsid w:val="00D011DE"/>
    <w:rsid w:val="00D01D20"/>
    <w:rsid w:val="00D05856"/>
    <w:rsid w:val="00D062DF"/>
    <w:rsid w:val="00D074D5"/>
    <w:rsid w:val="00D1129D"/>
    <w:rsid w:val="00D143BA"/>
    <w:rsid w:val="00D203E8"/>
    <w:rsid w:val="00D21D41"/>
    <w:rsid w:val="00D23442"/>
    <w:rsid w:val="00D23ADB"/>
    <w:rsid w:val="00D243E1"/>
    <w:rsid w:val="00D26F42"/>
    <w:rsid w:val="00D27744"/>
    <w:rsid w:val="00D27EBA"/>
    <w:rsid w:val="00D30279"/>
    <w:rsid w:val="00D35AB8"/>
    <w:rsid w:val="00D35AC5"/>
    <w:rsid w:val="00D368F1"/>
    <w:rsid w:val="00D4047B"/>
    <w:rsid w:val="00D4514D"/>
    <w:rsid w:val="00D466D3"/>
    <w:rsid w:val="00D46E93"/>
    <w:rsid w:val="00D47929"/>
    <w:rsid w:val="00D506EB"/>
    <w:rsid w:val="00D51905"/>
    <w:rsid w:val="00D527A3"/>
    <w:rsid w:val="00D53703"/>
    <w:rsid w:val="00D55B05"/>
    <w:rsid w:val="00D57CBC"/>
    <w:rsid w:val="00D603EA"/>
    <w:rsid w:val="00D614CF"/>
    <w:rsid w:val="00D620C7"/>
    <w:rsid w:val="00D64770"/>
    <w:rsid w:val="00D7051E"/>
    <w:rsid w:val="00D70CA7"/>
    <w:rsid w:val="00D70F91"/>
    <w:rsid w:val="00D718C8"/>
    <w:rsid w:val="00D718F2"/>
    <w:rsid w:val="00D75D80"/>
    <w:rsid w:val="00D75F46"/>
    <w:rsid w:val="00D8484F"/>
    <w:rsid w:val="00D85893"/>
    <w:rsid w:val="00D86A8B"/>
    <w:rsid w:val="00D86DAC"/>
    <w:rsid w:val="00D92671"/>
    <w:rsid w:val="00D939D6"/>
    <w:rsid w:val="00D94671"/>
    <w:rsid w:val="00D9787F"/>
    <w:rsid w:val="00DA04B2"/>
    <w:rsid w:val="00DA056F"/>
    <w:rsid w:val="00DA0A99"/>
    <w:rsid w:val="00DA1472"/>
    <w:rsid w:val="00DA1AE9"/>
    <w:rsid w:val="00DA2342"/>
    <w:rsid w:val="00DA4DE8"/>
    <w:rsid w:val="00DB07F4"/>
    <w:rsid w:val="00DB1B34"/>
    <w:rsid w:val="00DB2A47"/>
    <w:rsid w:val="00DB360C"/>
    <w:rsid w:val="00DB3A8B"/>
    <w:rsid w:val="00DB3CF1"/>
    <w:rsid w:val="00DB4174"/>
    <w:rsid w:val="00DB494E"/>
    <w:rsid w:val="00DB69E2"/>
    <w:rsid w:val="00DC051B"/>
    <w:rsid w:val="00DC1B14"/>
    <w:rsid w:val="00DC1DD9"/>
    <w:rsid w:val="00DC2614"/>
    <w:rsid w:val="00DC353F"/>
    <w:rsid w:val="00DC78E8"/>
    <w:rsid w:val="00DD1E66"/>
    <w:rsid w:val="00DD36A3"/>
    <w:rsid w:val="00DD4B4A"/>
    <w:rsid w:val="00DD71D4"/>
    <w:rsid w:val="00DE1CB9"/>
    <w:rsid w:val="00DE3452"/>
    <w:rsid w:val="00DE41EB"/>
    <w:rsid w:val="00DE64F1"/>
    <w:rsid w:val="00DE6A8F"/>
    <w:rsid w:val="00DE7992"/>
    <w:rsid w:val="00DE7E4D"/>
    <w:rsid w:val="00DF09D2"/>
    <w:rsid w:val="00DF26CB"/>
    <w:rsid w:val="00DF5390"/>
    <w:rsid w:val="00DF671B"/>
    <w:rsid w:val="00DF6D66"/>
    <w:rsid w:val="00DF72AD"/>
    <w:rsid w:val="00E012B3"/>
    <w:rsid w:val="00E01E81"/>
    <w:rsid w:val="00E022CA"/>
    <w:rsid w:val="00E03C49"/>
    <w:rsid w:val="00E04978"/>
    <w:rsid w:val="00E068F4"/>
    <w:rsid w:val="00E06AE0"/>
    <w:rsid w:val="00E10389"/>
    <w:rsid w:val="00E10BF8"/>
    <w:rsid w:val="00E115A6"/>
    <w:rsid w:val="00E1184D"/>
    <w:rsid w:val="00E119B9"/>
    <w:rsid w:val="00E15C46"/>
    <w:rsid w:val="00E15D93"/>
    <w:rsid w:val="00E16D02"/>
    <w:rsid w:val="00E2198F"/>
    <w:rsid w:val="00E24B66"/>
    <w:rsid w:val="00E2534C"/>
    <w:rsid w:val="00E257A9"/>
    <w:rsid w:val="00E34B69"/>
    <w:rsid w:val="00E35340"/>
    <w:rsid w:val="00E36F1F"/>
    <w:rsid w:val="00E40C5A"/>
    <w:rsid w:val="00E40FE0"/>
    <w:rsid w:val="00E42B8D"/>
    <w:rsid w:val="00E4394F"/>
    <w:rsid w:val="00E4615C"/>
    <w:rsid w:val="00E51472"/>
    <w:rsid w:val="00E52A5B"/>
    <w:rsid w:val="00E55481"/>
    <w:rsid w:val="00E60B95"/>
    <w:rsid w:val="00E62297"/>
    <w:rsid w:val="00E62E3C"/>
    <w:rsid w:val="00E634D3"/>
    <w:rsid w:val="00E668F9"/>
    <w:rsid w:val="00E66DBC"/>
    <w:rsid w:val="00E673CE"/>
    <w:rsid w:val="00E71EDA"/>
    <w:rsid w:val="00E737C4"/>
    <w:rsid w:val="00E76702"/>
    <w:rsid w:val="00E900BF"/>
    <w:rsid w:val="00E906B6"/>
    <w:rsid w:val="00E90C15"/>
    <w:rsid w:val="00E91C0B"/>
    <w:rsid w:val="00E91E23"/>
    <w:rsid w:val="00E94132"/>
    <w:rsid w:val="00E94155"/>
    <w:rsid w:val="00E96217"/>
    <w:rsid w:val="00EA07A1"/>
    <w:rsid w:val="00EA40CB"/>
    <w:rsid w:val="00EA4760"/>
    <w:rsid w:val="00EA4B22"/>
    <w:rsid w:val="00EB1C18"/>
    <w:rsid w:val="00EB257D"/>
    <w:rsid w:val="00EB33F1"/>
    <w:rsid w:val="00EB385D"/>
    <w:rsid w:val="00EB3A64"/>
    <w:rsid w:val="00EB64C2"/>
    <w:rsid w:val="00EC0193"/>
    <w:rsid w:val="00EC075F"/>
    <w:rsid w:val="00EC0D39"/>
    <w:rsid w:val="00EC1C9C"/>
    <w:rsid w:val="00EC2599"/>
    <w:rsid w:val="00EC63A3"/>
    <w:rsid w:val="00EC64EA"/>
    <w:rsid w:val="00EC7CC1"/>
    <w:rsid w:val="00ED13AB"/>
    <w:rsid w:val="00ED1890"/>
    <w:rsid w:val="00ED1F1C"/>
    <w:rsid w:val="00ED2F51"/>
    <w:rsid w:val="00ED5911"/>
    <w:rsid w:val="00EE0D36"/>
    <w:rsid w:val="00EE14C5"/>
    <w:rsid w:val="00EE1DA1"/>
    <w:rsid w:val="00EE331B"/>
    <w:rsid w:val="00EE520F"/>
    <w:rsid w:val="00EE70C9"/>
    <w:rsid w:val="00F003D2"/>
    <w:rsid w:val="00F0196B"/>
    <w:rsid w:val="00F02A51"/>
    <w:rsid w:val="00F04716"/>
    <w:rsid w:val="00F05AF6"/>
    <w:rsid w:val="00F06B84"/>
    <w:rsid w:val="00F06EB2"/>
    <w:rsid w:val="00F071E7"/>
    <w:rsid w:val="00F10344"/>
    <w:rsid w:val="00F110D2"/>
    <w:rsid w:val="00F15442"/>
    <w:rsid w:val="00F15798"/>
    <w:rsid w:val="00F15CC3"/>
    <w:rsid w:val="00F219D7"/>
    <w:rsid w:val="00F21B87"/>
    <w:rsid w:val="00F21C95"/>
    <w:rsid w:val="00F25753"/>
    <w:rsid w:val="00F30409"/>
    <w:rsid w:val="00F30798"/>
    <w:rsid w:val="00F32D55"/>
    <w:rsid w:val="00F33E98"/>
    <w:rsid w:val="00F35A77"/>
    <w:rsid w:val="00F37269"/>
    <w:rsid w:val="00F37611"/>
    <w:rsid w:val="00F40188"/>
    <w:rsid w:val="00F4210A"/>
    <w:rsid w:val="00F426E0"/>
    <w:rsid w:val="00F429CF"/>
    <w:rsid w:val="00F440AC"/>
    <w:rsid w:val="00F44397"/>
    <w:rsid w:val="00F46E14"/>
    <w:rsid w:val="00F47103"/>
    <w:rsid w:val="00F47B92"/>
    <w:rsid w:val="00F5084C"/>
    <w:rsid w:val="00F52265"/>
    <w:rsid w:val="00F52AA7"/>
    <w:rsid w:val="00F52B75"/>
    <w:rsid w:val="00F5477A"/>
    <w:rsid w:val="00F54950"/>
    <w:rsid w:val="00F56787"/>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9C2"/>
    <w:rsid w:val="00F93A15"/>
    <w:rsid w:val="00F93E71"/>
    <w:rsid w:val="00F940CC"/>
    <w:rsid w:val="00F970DA"/>
    <w:rsid w:val="00F9754E"/>
    <w:rsid w:val="00FA252D"/>
    <w:rsid w:val="00FA7CAC"/>
    <w:rsid w:val="00FB315B"/>
    <w:rsid w:val="00FB3473"/>
    <w:rsid w:val="00FB485A"/>
    <w:rsid w:val="00FB6AF0"/>
    <w:rsid w:val="00FB76D7"/>
    <w:rsid w:val="00FC0C7E"/>
    <w:rsid w:val="00FC3C9F"/>
    <w:rsid w:val="00FC45D2"/>
    <w:rsid w:val="00FC5E4F"/>
    <w:rsid w:val="00FC66EA"/>
    <w:rsid w:val="00FD03C8"/>
    <w:rsid w:val="00FD3DA4"/>
    <w:rsid w:val="00FD690E"/>
    <w:rsid w:val="00FE177A"/>
    <w:rsid w:val="00FE2526"/>
    <w:rsid w:val="00FE2ACC"/>
    <w:rsid w:val="00FE33BE"/>
    <w:rsid w:val="00FE344C"/>
    <w:rsid w:val="00FE3EE2"/>
    <w:rsid w:val="00FE5787"/>
    <w:rsid w:val="00FE6DD4"/>
    <w:rsid w:val="00FE71F2"/>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D7820"/>
  <w15:docId w15:val="{B6D80A33-7BF2-4BE8-8517-E971CBC2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73CE8"/>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73CE8"/>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D7E1A"/>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5D7E1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5D7E1A"/>
    <w:pPr>
      <w:keepNext/>
      <w:keepLines/>
      <w:spacing w:before="40"/>
      <w:outlineLvl w:val="3"/>
    </w:pPr>
    <w:rPr>
      <w:rFonts w:asciiTheme="majorHAnsi" w:eastAsiaTheme="majorEastAsia" w:hAnsiTheme="majorHAnsi" w:cstheme="majorBidi"/>
      <w:i/>
      <w:iCs/>
      <w:color w:val="000000"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73CE8"/>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73CE8"/>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73CE8"/>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73CE8"/>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73CE8"/>
    <w:rPr>
      <w:rFonts w:ascii="Arial" w:hAnsi="Arial"/>
      <w:b/>
      <w:color w:val="0303B8" w:themeColor="text1"/>
      <w:u w:val="none"/>
    </w:rPr>
  </w:style>
  <w:style w:type="paragraph" w:styleId="Listenabsatz">
    <w:name w:val="List Paragraph"/>
    <w:basedOn w:val="Standard"/>
    <w:uiPriority w:val="34"/>
    <w:rsid w:val="00473CE8"/>
    <w:pPr>
      <w:ind w:left="720"/>
      <w:contextualSpacing/>
    </w:pPr>
  </w:style>
  <w:style w:type="paragraph" w:customStyle="1" w:styleId="Bullets">
    <w:name w:val="Bullets"/>
    <w:basedOn w:val="Standard"/>
    <w:qFormat/>
    <w:rsid w:val="00473CE8"/>
    <w:pPr>
      <w:numPr>
        <w:numId w:val="23"/>
      </w:numPr>
    </w:pPr>
    <w:rPr>
      <w:rFonts w:cs="Arial"/>
      <w:bCs/>
      <w:szCs w:val="18"/>
    </w:rPr>
  </w:style>
  <w:style w:type="paragraph" w:customStyle="1" w:styleId="Tableleftaligned">
    <w:name w:val="Table left aligned"/>
    <w:basedOn w:val="Standard"/>
    <w:qFormat/>
    <w:rsid w:val="00473CE8"/>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73CE8"/>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73CE8"/>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73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73CE8"/>
    <w:rPr>
      <w:rFonts w:ascii="Arial" w:hAnsi="Arial"/>
      <w:b/>
      <w:color w:val="0303B8" w:themeColor="text1"/>
      <w:sz w:val="23"/>
      <w:lang w:val="en-US"/>
    </w:rPr>
  </w:style>
  <w:style w:type="paragraph" w:styleId="Kommentartext">
    <w:name w:val="annotation text"/>
    <w:basedOn w:val="Standard"/>
    <w:link w:val="KommentartextZchn"/>
    <w:uiPriority w:val="99"/>
    <w:semiHidden/>
    <w:unhideWhenUsed/>
    <w:rsid w:val="00473CE8"/>
    <w:rPr>
      <w:rFonts w:eastAsiaTheme="minorHAnsi" w:cstheme="minorBidi"/>
      <w:szCs w:val="20"/>
      <w:lang w:val="en-GB"/>
    </w:rPr>
  </w:style>
  <w:style w:type="character" w:customStyle="1" w:styleId="KommentartextZchn">
    <w:name w:val="Kommentartext Zchn"/>
    <w:basedOn w:val="Absatz-Standardschriftart"/>
    <w:link w:val="Kommentartext"/>
    <w:uiPriority w:val="99"/>
    <w:semiHidden/>
    <w:rsid w:val="00473CE8"/>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73CE8"/>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73CE8"/>
    <w:rPr>
      <w:sz w:val="16"/>
      <w:szCs w:val="16"/>
    </w:rPr>
  </w:style>
  <w:style w:type="paragraph" w:styleId="Kommentarthema">
    <w:name w:val="annotation subject"/>
    <w:basedOn w:val="Kommentartext"/>
    <w:next w:val="Kommentartext"/>
    <w:link w:val="KommentarthemaZchn"/>
    <w:uiPriority w:val="99"/>
    <w:semiHidden/>
    <w:unhideWhenUsed/>
    <w:rsid w:val="00473CE8"/>
    <w:rPr>
      <w:rFonts w:ascii="Cambria" w:eastAsia="Cambria" w:hAnsi="Cambria"/>
      <w:b/>
      <w:bCs/>
    </w:rPr>
  </w:style>
  <w:style w:type="character" w:customStyle="1" w:styleId="KommentarthemaZchn">
    <w:name w:val="Kommentarthema Zchn"/>
    <w:basedOn w:val="KommentartextZchn"/>
    <w:link w:val="Kommentarthema"/>
    <w:uiPriority w:val="99"/>
    <w:semiHidden/>
    <w:rsid w:val="00473CE8"/>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73CE8"/>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73CE8"/>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73CE8"/>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73CE8"/>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73CE8"/>
  </w:style>
  <w:style w:type="paragraph" w:customStyle="1" w:styleId="Seite">
    <w:name w:val="Seite"/>
    <w:basedOn w:val="Fuzeile"/>
    <w:rsid w:val="00473CE8"/>
    <w:pPr>
      <w:framePr w:w="496" w:wrap="none" w:vAnchor="text" w:hAnchor="margin" w:xAlign="right" w:y="6"/>
      <w:spacing w:line="240" w:lineRule="auto"/>
      <w:jc w:val="right"/>
    </w:pPr>
    <w:rPr>
      <w:sz w:val="18"/>
    </w:rPr>
  </w:style>
  <w:style w:type="paragraph" w:customStyle="1" w:styleId="FooterHead">
    <w:name w:val="Footer Head"/>
    <w:basedOn w:val="Fuzeile"/>
    <w:qFormat/>
    <w:rsid w:val="00473CE8"/>
    <w:rPr>
      <w:b/>
      <w:szCs w:val="12"/>
    </w:rPr>
  </w:style>
  <w:style w:type="character" w:styleId="NichtaufgelsteErwhnung">
    <w:name w:val="Unresolved Mention"/>
    <w:basedOn w:val="Absatz-Standardschriftart"/>
    <w:uiPriority w:val="99"/>
    <w:semiHidden/>
    <w:unhideWhenUsed/>
    <w:rsid w:val="00473CE8"/>
    <w:rPr>
      <w:color w:val="605E5C"/>
      <w:shd w:val="clear" w:color="auto" w:fill="E1DFDD"/>
    </w:rPr>
  </w:style>
  <w:style w:type="paragraph" w:customStyle="1" w:styleId="BoilerplateBold">
    <w:name w:val="Boilerplate Bold"/>
    <w:basedOn w:val="Standard"/>
    <w:qFormat/>
    <w:rsid w:val="00473CE8"/>
    <w:rPr>
      <w:b/>
      <w:color w:val="0303B8" w:themeColor="text1"/>
      <w:sz w:val="18"/>
      <w:szCs w:val="18"/>
    </w:rPr>
  </w:style>
  <w:style w:type="paragraph" w:customStyle="1" w:styleId="Boilerplate">
    <w:name w:val="Boilerplate"/>
    <w:basedOn w:val="Standard"/>
    <w:qFormat/>
    <w:rsid w:val="00473CE8"/>
    <w:rPr>
      <w:color w:val="808080" w:themeColor="background1" w:themeShade="80"/>
      <w:sz w:val="18"/>
      <w:szCs w:val="18"/>
    </w:rPr>
  </w:style>
  <w:style w:type="paragraph" w:customStyle="1" w:styleId="Publicationframedate">
    <w:name w:val="Publication frame/date"/>
    <w:basedOn w:val="Standard"/>
    <w:qFormat/>
    <w:rsid w:val="00473CE8"/>
    <w:pPr>
      <w:tabs>
        <w:tab w:val="right" w:pos="10205"/>
      </w:tabs>
    </w:pPr>
    <w:rPr>
      <w:b/>
      <w:bCs/>
      <w:color w:val="808080" w:themeColor="background1" w:themeShade="80"/>
      <w:spacing w:val="4"/>
      <w:sz w:val="18"/>
      <w:szCs w:val="18"/>
    </w:rPr>
  </w:style>
  <w:style w:type="character" w:styleId="BesuchterLink">
    <w:name w:val="FollowedHyperlink"/>
    <w:basedOn w:val="Absatz-Standardschriftart"/>
    <w:uiPriority w:val="99"/>
    <w:semiHidden/>
    <w:unhideWhenUsed/>
    <w:rsid w:val="00473CE8"/>
    <w:rPr>
      <w:color w:val="1F9DFF" w:themeColor="followedHyperlink"/>
      <w:u w:val="single"/>
    </w:rPr>
  </w:style>
  <w:style w:type="paragraph" w:customStyle="1" w:styleId="BulletsIntroVibrant">
    <w:name w:val="Bullets Intro Vibrant"/>
    <w:basedOn w:val="Bullets"/>
    <w:qFormat/>
    <w:rsid w:val="00473CE8"/>
    <w:rPr>
      <w:color w:val="0303B8" w:themeColor="text1"/>
      <w:lang w:val="de-DE"/>
    </w:rPr>
  </w:style>
  <w:style w:type="paragraph" w:customStyle="1" w:styleId="TableHead1">
    <w:name w:val="Table Head 1"/>
    <w:basedOn w:val="Standard"/>
    <w:qFormat/>
    <w:rsid w:val="00473CE8"/>
    <w:rPr>
      <w:b/>
      <w:color w:val="0303B8" w:themeColor="text1"/>
      <w:sz w:val="24"/>
    </w:rPr>
  </w:style>
  <w:style w:type="paragraph" w:customStyle="1" w:styleId="CaptionSource">
    <w:name w:val="Caption &amp; Source"/>
    <w:basedOn w:val="Tableleftaligned"/>
    <w:qFormat/>
    <w:rsid w:val="00473CE8"/>
    <w:rPr>
      <w:lang w:val="de-DE" w:eastAsia="de-DE"/>
    </w:rPr>
  </w:style>
  <w:style w:type="paragraph" w:customStyle="1" w:styleId="TopicLine">
    <w:name w:val="Topic Line"/>
    <w:qFormat/>
    <w:rsid w:val="00473CE8"/>
    <w:pPr>
      <w:spacing w:after="120"/>
    </w:pPr>
    <w:rPr>
      <w:rFonts w:ascii="Arial" w:eastAsia="Times New Roman" w:hAnsi="Arial" w:cstheme="majorBidi"/>
      <w:color w:val="0303B8" w:themeColor="text1"/>
      <w:sz w:val="23"/>
      <w:szCs w:val="32"/>
      <w:lang w:val="en-US"/>
    </w:rPr>
  </w:style>
  <w:style w:type="paragraph" w:styleId="Sprechblasentext">
    <w:name w:val="Balloon Text"/>
    <w:basedOn w:val="Standard"/>
    <w:link w:val="SprechblasentextZchn"/>
    <w:uiPriority w:val="99"/>
    <w:semiHidden/>
    <w:unhideWhenUsed/>
    <w:rsid w:val="00374F3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4F3E"/>
    <w:rPr>
      <w:rFonts w:ascii="Segoe UI" w:eastAsia="Cambria" w:hAnsi="Segoe UI" w:cs="Segoe UI"/>
      <w:color w:val="000000" w:themeColor="accent1"/>
      <w:sz w:val="18"/>
      <w:szCs w:val="18"/>
      <w:lang w:val="en-US" w:eastAsia="en-US"/>
    </w:rPr>
  </w:style>
  <w:style w:type="character" w:customStyle="1" w:styleId="rynqvb">
    <w:name w:val="rynqvb"/>
    <w:basedOn w:val="Absatz-Standardschriftart"/>
    <w:rsid w:val="00C0485D"/>
  </w:style>
  <w:style w:type="character" w:customStyle="1" w:styleId="berschrift2Zchn">
    <w:name w:val="Überschrift 2 Zchn"/>
    <w:basedOn w:val="Absatz-Standardschriftart"/>
    <w:link w:val="berschrift2"/>
    <w:uiPriority w:val="9"/>
    <w:semiHidden/>
    <w:rsid w:val="005D7E1A"/>
    <w:rPr>
      <w:rFonts w:asciiTheme="majorHAnsi" w:eastAsiaTheme="majorEastAsia" w:hAnsiTheme="majorHAnsi" w:cstheme="majorBidi"/>
      <w:color w:val="000000" w:themeColor="accent1" w:themeShade="BF"/>
      <w:sz w:val="26"/>
      <w:szCs w:val="26"/>
      <w:lang w:val="en-US" w:eastAsia="en-US"/>
    </w:rPr>
  </w:style>
  <w:style w:type="character" w:customStyle="1" w:styleId="berschrift3Zchn">
    <w:name w:val="Überschrift 3 Zchn"/>
    <w:basedOn w:val="Absatz-Standardschriftart"/>
    <w:link w:val="berschrift3"/>
    <w:uiPriority w:val="9"/>
    <w:semiHidden/>
    <w:rsid w:val="005D7E1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5D7E1A"/>
    <w:rPr>
      <w:rFonts w:asciiTheme="majorHAnsi" w:eastAsiaTheme="majorEastAsia" w:hAnsiTheme="majorHAnsi" w:cstheme="majorBidi"/>
      <w:i/>
      <w:iCs/>
      <w:color w:val="000000" w:themeColor="accent1" w:themeShade="BF"/>
      <w:sz w:val="23"/>
      <w:szCs w:val="24"/>
      <w:lang w:val="en-US" w:eastAsia="en-US"/>
    </w:rPr>
  </w:style>
  <w:style w:type="paragraph" w:styleId="StandardWeb">
    <w:name w:val="Normal (Web)"/>
    <w:basedOn w:val="Standard"/>
    <w:uiPriority w:val="99"/>
    <w:semiHidden/>
    <w:unhideWhenUsed/>
    <w:rsid w:val="005D7E1A"/>
    <w:pPr>
      <w:spacing w:before="100" w:beforeAutospacing="1" w:after="100" w:afterAutospacing="1" w:line="240" w:lineRule="auto"/>
    </w:pPr>
    <w:rPr>
      <w:rFonts w:ascii="Times New Roman" w:eastAsia="Times New Roman" w:hAnsi="Times New Roman"/>
      <w:color w:val="auto"/>
      <w:sz w:val="24"/>
      <w:lang w:val="de-DE" w:eastAsia="de-DE"/>
    </w:rPr>
  </w:style>
  <w:style w:type="character" w:styleId="Fett">
    <w:name w:val="Strong"/>
    <w:basedOn w:val="Absatz-Standardschriftart"/>
    <w:uiPriority w:val="22"/>
    <w:qFormat/>
    <w:rsid w:val="005D7E1A"/>
    <w:rPr>
      <w:b/>
      <w:bCs/>
    </w:rPr>
  </w:style>
  <w:style w:type="paragraph" w:styleId="berarbeitung">
    <w:name w:val="Revision"/>
    <w:hidden/>
    <w:uiPriority w:val="99"/>
    <w:semiHidden/>
    <w:rsid w:val="00C6680A"/>
    <w:rPr>
      <w:rFonts w:ascii="Arial" w:eastAsia="Cambria" w:hAnsi="Arial"/>
      <w:color w:val="000000" w:themeColor="accent1"/>
      <w:sz w:val="23"/>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458575267">
      <w:bodyDiv w:val="1"/>
      <w:marLeft w:val="0"/>
      <w:marRight w:val="0"/>
      <w:marTop w:val="0"/>
      <w:marBottom w:val="0"/>
      <w:divBdr>
        <w:top w:val="none" w:sz="0" w:space="0" w:color="auto"/>
        <w:left w:val="none" w:sz="0" w:space="0" w:color="auto"/>
        <w:bottom w:val="none" w:sz="0" w:space="0" w:color="auto"/>
        <w:right w:val="none" w:sz="0" w:space="0" w:color="auto"/>
      </w:divBdr>
    </w:div>
    <w:div w:id="627901669">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1172794063">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327324109">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 w:id="1836804559">
      <w:bodyDiv w:val="1"/>
      <w:marLeft w:val="0"/>
      <w:marRight w:val="0"/>
      <w:marTop w:val="0"/>
      <w:marBottom w:val="0"/>
      <w:divBdr>
        <w:top w:val="none" w:sz="0" w:space="0" w:color="auto"/>
        <w:left w:val="none" w:sz="0" w:space="0" w:color="auto"/>
        <w:bottom w:val="none" w:sz="0" w:space="0" w:color="auto"/>
        <w:right w:val="none" w:sz="0" w:space="0" w:color="auto"/>
      </w:divBdr>
    </w:div>
    <w:div w:id="1899314450">
      <w:bodyDiv w:val="1"/>
      <w:marLeft w:val="0"/>
      <w:marRight w:val="0"/>
      <w:marTop w:val="0"/>
      <w:marBottom w:val="0"/>
      <w:divBdr>
        <w:top w:val="none" w:sz="0" w:space="0" w:color="auto"/>
        <w:left w:val="none" w:sz="0" w:space="0" w:color="auto"/>
        <w:bottom w:val="none" w:sz="0" w:space="0" w:color="auto"/>
        <w:right w:val="none" w:sz="0" w:space="0" w:color="auto"/>
      </w:divBdr>
    </w:div>
    <w:div w:id="2049866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linkedin.com/company/geagrou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gea.com/de/company/media/events/index.jsp"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ea.com/de/company/media/features/" TargetMode="External"/><Relationship Id="rId20" Type="http://schemas.openxmlformats.org/officeDocument/2006/relationships/hyperlink" Target="http://www.youtube.com/user/TheGEA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a.co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ea.com/de/company/media/media-center/index.jsp"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de/index.jsp"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3.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4.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8bab56c-cb8e-4113-8624-e46783b0d95b}" enabled="1" method="Privileged" siteId="{0e17f90f-88a3-4f93-a5d7-cc847cff307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5818</Characters>
  <Application>Microsoft Office Word</Application>
  <DocSecurity>4</DocSecurity>
  <Lines>157</Lines>
  <Paragraphs>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6764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Luhmann</dc:creator>
  <cp:keywords/>
  <dc:description/>
  <cp:lastModifiedBy>Golek, Michael Dr.</cp:lastModifiedBy>
  <cp:revision>2</cp:revision>
  <cp:lastPrinted>2023-02-07T09:32:00Z</cp:lastPrinted>
  <dcterms:created xsi:type="dcterms:W3CDTF">2026-09-17T08:40:00Z</dcterms:created>
  <dcterms:modified xsi:type="dcterms:W3CDTF">2026-09-17T08:40:00Z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y fmtid="{D5CDD505-2E9C-101B-9397-08002B2CF9AE}" pid="10" name="GrammarlyDocumentId">
    <vt:lpwstr>2a844f0f32ce4eb697719824e0a51d371780393ceb60dd580627c0927d4c8f5a</vt:lpwstr>
  </property>
</Properties>
</file>