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6E32" w14:textId="77777777" w:rsidR="00D34C42" w:rsidRPr="00D34C42" w:rsidRDefault="00D34C42" w:rsidP="00D34C42">
      <w:pPr>
        <w:spacing w:line="360" w:lineRule="auto"/>
        <w:rPr>
          <w:b/>
          <w:bCs/>
          <w:color w:val="0303B8" w:themeColor="text1"/>
          <w:sz w:val="28"/>
          <w:szCs w:val="28"/>
          <w:lang w:val="de-DE"/>
        </w:rPr>
      </w:pPr>
      <w:r w:rsidRPr="00D34C42">
        <w:rPr>
          <w:b/>
          <w:bCs/>
          <w:color w:val="0303B8" w:themeColor="text1"/>
          <w:sz w:val="28"/>
          <w:szCs w:val="28"/>
          <w:lang w:val="de-DE"/>
        </w:rPr>
        <w:t xml:space="preserve">„Herausforderungen für Kläranlagen liegt in den Grenzen des manuellen Betriebs“ </w:t>
      </w:r>
    </w:p>
    <w:p w14:paraId="061902B0" w14:textId="70C05F1C" w:rsidR="000E1D8F" w:rsidRPr="000E1D8F" w:rsidRDefault="000E1D8F" w:rsidP="000E1D8F">
      <w:pPr>
        <w:spacing w:line="360" w:lineRule="auto"/>
        <w:rPr>
          <w:b/>
          <w:bCs/>
          <w:color w:val="0303B8" w:themeColor="text1"/>
          <w:sz w:val="28"/>
          <w:szCs w:val="28"/>
          <w:lang w:val="de-DE"/>
        </w:rPr>
      </w:pPr>
    </w:p>
    <w:p w14:paraId="4282EEED" w14:textId="77777777" w:rsidR="00D34C42" w:rsidRPr="00D34C42" w:rsidRDefault="00D61C42" w:rsidP="00D34C42">
      <w:pPr>
        <w:spacing w:line="360" w:lineRule="auto"/>
        <w:rPr>
          <w:rFonts w:cs="Arial"/>
          <w:sz w:val="24"/>
          <w:lang w:val="de-DE"/>
        </w:rPr>
      </w:pPr>
      <w:bookmarkStart w:id="0" w:name="_Hlk221525104"/>
      <w:r w:rsidRPr="00580874">
        <w:rPr>
          <w:b/>
          <w:bCs/>
          <w:color w:val="0303B8" w:themeColor="text1"/>
          <w:sz w:val="24"/>
          <w:lang w:val="de-DE"/>
        </w:rPr>
        <w:t xml:space="preserve">Düsseldorf, </w:t>
      </w:r>
      <w:r w:rsidR="0023478D">
        <w:rPr>
          <w:b/>
          <w:bCs/>
          <w:color w:val="0303B8" w:themeColor="text1"/>
          <w:sz w:val="24"/>
          <w:lang w:val="de-DE"/>
        </w:rPr>
        <w:t>5. Mai 2026</w:t>
      </w:r>
      <w:r w:rsidRPr="00580874">
        <w:rPr>
          <w:b/>
          <w:bCs/>
          <w:color w:val="0303B8" w:themeColor="text1"/>
          <w:sz w:val="24"/>
          <w:lang w:val="de-DE"/>
        </w:rPr>
        <w:t xml:space="preserve"> </w:t>
      </w:r>
      <w:r w:rsidR="00580874" w:rsidRPr="00580874">
        <w:rPr>
          <w:b/>
          <w:bCs/>
          <w:color w:val="0303B8" w:themeColor="text1"/>
          <w:sz w:val="24"/>
          <w:lang w:val="de-DE"/>
        </w:rPr>
        <w:t>–</w:t>
      </w:r>
      <w:r w:rsidR="00580874" w:rsidRPr="00580874">
        <w:rPr>
          <w:color w:val="0303B8" w:themeColor="text1"/>
          <w:sz w:val="24"/>
          <w:lang w:val="de-DE"/>
        </w:rPr>
        <w:t xml:space="preserve"> </w:t>
      </w:r>
      <w:bookmarkEnd w:id="0"/>
      <w:r w:rsidR="00D34C42" w:rsidRPr="00D34C42">
        <w:rPr>
          <w:rFonts w:cs="Arial"/>
          <w:sz w:val="24"/>
          <w:lang w:val="de-DE"/>
        </w:rPr>
        <w:t>Kläranlagen sind längst keine einfachen Entsorgungsstätten mehr, sondern Zentren des Ressourcenmanagements. Für alle Entsorgungsarten, also Verbrennung, Deponierung und landwirtschaftliche Verwertung, ist die optimale wirtschaftliche Entwässerung der Klärschlämme ein zentraler Schritt. Das bedeutet für die Praxis: Weniger zu entsorgende Klärschlammmengen sparen Transportkosten, senken den Energieverbrauch für die Entsorgung sowie Verbrennung und reduzieren CO</w:t>
      </w:r>
      <w:r w:rsidR="00D34C42" w:rsidRPr="00D34C42">
        <w:rPr>
          <w:rFonts w:ascii="Cambria Math" w:hAnsi="Cambria Math" w:cs="Cambria Math"/>
          <w:sz w:val="24"/>
          <w:lang w:val="de-DE"/>
        </w:rPr>
        <w:t>₂</w:t>
      </w:r>
      <w:r w:rsidR="00D34C42" w:rsidRPr="00D34C42">
        <w:rPr>
          <w:rFonts w:cs="Arial"/>
          <w:sz w:val="24"/>
          <w:lang w:val="de-DE"/>
        </w:rPr>
        <w:t>-Emissionen. Wir sprachen mit Fabien Petrick, Maschinenbauingenieur und Produktmanager für digitale Produkte bei GEA. Er sagt: „Die zentrale Herausforderung für Kläranlagen liegt heute in den Grenzen des manuellen Betriebs.“</w:t>
      </w:r>
    </w:p>
    <w:p w14:paraId="3414D42A" w14:textId="77777777" w:rsidR="00D34C42" w:rsidRPr="00D34C42" w:rsidRDefault="00D34C42" w:rsidP="00D34C42">
      <w:pPr>
        <w:spacing w:line="360" w:lineRule="auto"/>
        <w:rPr>
          <w:rFonts w:cs="Arial"/>
          <w:sz w:val="24"/>
          <w:lang w:val="de-DE"/>
        </w:rPr>
      </w:pPr>
    </w:p>
    <w:p w14:paraId="1E1C0F79" w14:textId="3D7FEC13" w:rsidR="00D34C42" w:rsidRPr="00D34C42" w:rsidRDefault="00D34C42" w:rsidP="00D34C42">
      <w:pPr>
        <w:spacing w:line="360" w:lineRule="auto"/>
        <w:rPr>
          <w:rFonts w:cs="Arial"/>
          <w:b/>
          <w:bCs/>
          <w:color w:val="0303B8" w:themeColor="text1"/>
          <w:sz w:val="24"/>
          <w:lang w:val="de-DE"/>
        </w:rPr>
      </w:pPr>
      <w:r w:rsidRPr="00D34C42">
        <w:rPr>
          <w:rFonts w:cs="Arial"/>
          <w:b/>
          <w:bCs/>
          <w:color w:val="0303B8" w:themeColor="text1"/>
          <w:sz w:val="24"/>
          <w:lang w:val="de-DE"/>
        </w:rPr>
        <w:t xml:space="preserve">Seit Jahrzehnten ist die </w:t>
      </w:r>
      <w:proofErr w:type="spellStart"/>
      <w:r w:rsidRPr="00D34C42">
        <w:rPr>
          <w:rFonts w:cs="Arial"/>
          <w:b/>
          <w:bCs/>
          <w:color w:val="0303B8" w:themeColor="text1"/>
          <w:sz w:val="24"/>
          <w:lang w:val="de-DE"/>
        </w:rPr>
        <w:t>Dekanterzentrifuge</w:t>
      </w:r>
      <w:proofErr w:type="spellEnd"/>
      <w:r w:rsidRPr="00D34C42">
        <w:rPr>
          <w:rFonts w:cs="Arial"/>
          <w:b/>
          <w:bCs/>
          <w:color w:val="0303B8" w:themeColor="text1"/>
          <w:sz w:val="24"/>
          <w:lang w:val="de-DE"/>
        </w:rPr>
        <w:t xml:space="preserve"> das Arbeitstier der Schlammbehandlung. Was macht diese Technologie so wichtig? </w:t>
      </w:r>
    </w:p>
    <w:p w14:paraId="358A61FC" w14:textId="77777777" w:rsidR="00D34C42" w:rsidRPr="00D34C42" w:rsidRDefault="00D34C42" w:rsidP="00D34C42">
      <w:pPr>
        <w:spacing w:line="360" w:lineRule="auto"/>
        <w:rPr>
          <w:rFonts w:cs="Arial"/>
          <w:color w:val="0303B8" w:themeColor="text1"/>
          <w:sz w:val="24"/>
          <w:lang w:val="de-DE"/>
        </w:rPr>
      </w:pPr>
    </w:p>
    <w:p w14:paraId="18DDCFE6" w14:textId="77777777" w:rsidR="00D34C42" w:rsidRPr="00D34C42" w:rsidRDefault="00D34C42" w:rsidP="00D34C42">
      <w:pPr>
        <w:spacing w:line="360" w:lineRule="auto"/>
        <w:rPr>
          <w:rFonts w:cs="Arial"/>
          <w:sz w:val="24"/>
          <w:lang w:val="de-DE"/>
        </w:rPr>
      </w:pPr>
      <w:r w:rsidRPr="00D34C42">
        <w:rPr>
          <w:rFonts w:cs="Arial"/>
          <w:b/>
          <w:bCs/>
          <w:sz w:val="24"/>
          <w:lang w:val="de-DE"/>
        </w:rPr>
        <w:t>Fabien Petrick:</w:t>
      </w:r>
      <w:r w:rsidRPr="00D34C42">
        <w:rPr>
          <w:rFonts w:cs="Arial"/>
          <w:sz w:val="24"/>
          <w:lang w:val="de-DE"/>
        </w:rPr>
        <w:t xml:space="preserve">  Dekanter verwandeln instabilen Klärschlamm in etwas Handhabbares, Transportierbares und Normkonformes. Tag für Tag, Jahr für Jahr. Hinter diesen Herausforderungen verbirgt sich eine Chance: Dekanter bergen noch weitaus mehr Leistungspotenzial, das darauf wartet, erschlossen zu werden. Mit Hilfe von Sensoren, Software und intelligenter Automatisierung erreichen Dekanter bereits heute neue Leistungsniveaus.</w:t>
      </w:r>
    </w:p>
    <w:p w14:paraId="107D6BBF" w14:textId="77777777" w:rsidR="00D34C42" w:rsidRPr="00D34C42" w:rsidRDefault="00D34C42" w:rsidP="00D34C42">
      <w:pPr>
        <w:spacing w:line="360" w:lineRule="auto"/>
        <w:rPr>
          <w:rFonts w:cs="Arial"/>
          <w:b/>
          <w:bCs/>
          <w:sz w:val="24"/>
          <w:lang w:val="de-DE"/>
        </w:rPr>
      </w:pPr>
    </w:p>
    <w:p w14:paraId="369B32EA" w14:textId="77777777" w:rsidR="00D34C42" w:rsidRPr="00D34C42" w:rsidRDefault="00D34C42" w:rsidP="00D34C42">
      <w:pPr>
        <w:spacing w:line="360" w:lineRule="auto"/>
        <w:rPr>
          <w:rFonts w:cs="Arial"/>
          <w:b/>
          <w:bCs/>
          <w:color w:val="0303B8" w:themeColor="text1"/>
          <w:sz w:val="24"/>
          <w:lang w:val="de-DE"/>
        </w:rPr>
      </w:pPr>
      <w:r w:rsidRPr="00D34C42">
        <w:rPr>
          <w:rFonts w:cs="Arial"/>
          <w:b/>
          <w:bCs/>
          <w:color w:val="0303B8" w:themeColor="text1"/>
          <w:sz w:val="24"/>
          <w:lang w:val="de-DE"/>
        </w:rPr>
        <w:t>Was sind heute die Herausforderungen für jeden Betreiber von Kläranlage?</w:t>
      </w:r>
    </w:p>
    <w:p w14:paraId="7AFCFB25" w14:textId="77777777" w:rsidR="00D34C42" w:rsidRPr="00D34C42" w:rsidRDefault="00D34C42" w:rsidP="00D34C42">
      <w:pPr>
        <w:spacing w:line="360" w:lineRule="auto"/>
        <w:rPr>
          <w:rFonts w:cs="Arial"/>
          <w:b/>
          <w:bCs/>
          <w:sz w:val="24"/>
          <w:lang w:val="de-DE"/>
        </w:rPr>
      </w:pPr>
    </w:p>
    <w:p w14:paraId="563BA6DD" w14:textId="6F905749" w:rsidR="00D34C42" w:rsidRPr="00D34C42" w:rsidRDefault="00D34C42" w:rsidP="00D34C42">
      <w:pPr>
        <w:spacing w:line="360" w:lineRule="auto"/>
        <w:rPr>
          <w:rFonts w:cs="Arial"/>
          <w:sz w:val="24"/>
          <w:lang w:val="de-DE"/>
        </w:rPr>
      </w:pPr>
      <w:r w:rsidRPr="00D34C42">
        <w:rPr>
          <w:rFonts w:cs="Arial"/>
          <w:b/>
          <w:bCs/>
          <w:sz w:val="24"/>
          <w:lang w:val="de-DE"/>
        </w:rPr>
        <w:t xml:space="preserve">Fabien Petrick: </w:t>
      </w:r>
      <w:r w:rsidRPr="00D34C42">
        <w:rPr>
          <w:rFonts w:cs="Arial"/>
          <w:sz w:val="24"/>
          <w:lang w:val="de-DE"/>
        </w:rPr>
        <w:t>Jede Kläranlage kennt die Herausforderung: Die Schlammzusammensetzung ändert sich ständig. Niederschläge, Temperaturen, industrielle Einleitungen und sogar lokale Ereignisse können die Eigenschaften des Zulaufs innerhalb von Minuten verändern. Die Betreiber reagieren darauf mit Anpassungen der Polymerdosierung, der Trock</w:t>
      </w:r>
      <w:r w:rsidR="007E3701">
        <w:rPr>
          <w:rFonts w:cs="Arial"/>
          <w:sz w:val="24"/>
          <w:lang w:val="de-DE"/>
        </w:rPr>
        <w:t>ensubstanz</w:t>
      </w:r>
      <w:r w:rsidRPr="00D34C42">
        <w:rPr>
          <w:rFonts w:cs="Arial"/>
          <w:sz w:val="24"/>
          <w:lang w:val="de-DE"/>
        </w:rPr>
        <w:t>ziele, der Differenzgeschwindigkeit oder der Teichtiefe. Doch diese manuellen Anpassungen erfolgen immer nur sporadisch und immer erst im Nachhinein. Das ist reaktiv statt proaktiv – und in der heutigen Zeit reicht das einfach nicht mehr aus.</w:t>
      </w:r>
    </w:p>
    <w:p w14:paraId="65069629" w14:textId="77777777" w:rsidR="00D34C42" w:rsidRPr="00D34C42" w:rsidRDefault="00D34C42" w:rsidP="00D34C42">
      <w:pPr>
        <w:spacing w:line="360" w:lineRule="auto"/>
        <w:rPr>
          <w:rFonts w:cs="Arial"/>
          <w:b/>
          <w:bCs/>
          <w:color w:val="0303B8" w:themeColor="text1"/>
          <w:sz w:val="24"/>
          <w:lang w:val="de-DE"/>
        </w:rPr>
      </w:pPr>
      <w:r w:rsidRPr="00D34C42">
        <w:rPr>
          <w:rFonts w:cs="Arial"/>
          <w:b/>
          <w:bCs/>
          <w:color w:val="0303B8" w:themeColor="text1"/>
          <w:sz w:val="24"/>
          <w:lang w:val="de-DE"/>
        </w:rPr>
        <w:lastRenderedPageBreak/>
        <w:t xml:space="preserve">Ist mit dem GEA Intellicant®-System der digitale Sprung gelungen? </w:t>
      </w:r>
    </w:p>
    <w:p w14:paraId="430303CB" w14:textId="77777777" w:rsidR="00D34C42" w:rsidRPr="00D34C42" w:rsidRDefault="00D34C42" w:rsidP="00D34C42">
      <w:pPr>
        <w:spacing w:line="360" w:lineRule="auto"/>
        <w:rPr>
          <w:rFonts w:cs="Arial"/>
          <w:b/>
          <w:bCs/>
          <w:sz w:val="24"/>
          <w:lang w:val="de-DE"/>
        </w:rPr>
      </w:pPr>
    </w:p>
    <w:p w14:paraId="48BB7D2F" w14:textId="0F71892D" w:rsidR="00D34C42" w:rsidRPr="00D34C42" w:rsidRDefault="00D34C42" w:rsidP="00D34C42">
      <w:pPr>
        <w:spacing w:line="360" w:lineRule="auto"/>
        <w:rPr>
          <w:rFonts w:cs="Arial"/>
          <w:sz w:val="24"/>
          <w:lang w:val="de-DE"/>
        </w:rPr>
      </w:pPr>
      <w:r w:rsidRPr="00D34C42">
        <w:rPr>
          <w:rFonts w:cs="Arial"/>
          <w:b/>
          <w:bCs/>
          <w:sz w:val="24"/>
          <w:lang w:val="de-DE"/>
        </w:rPr>
        <w:t>Fabien Patrick:</w:t>
      </w:r>
      <w:r w:rsidRPr="00D34C42">
        <w:rPr>
          <w:rFonts w:cs="Arial"/>
          <w:b/>
          <w:bCs/>
          <w:color w:val="FF0000"/>
          <w:sz w:val="24"/>
          <w:lang w:val="de-DE"/>
        </w:rPr>
        <w:t xml:space="preserve"> </w:t>
      </w:r>
      <w:r w:rsidRPr="00D34C42">
        <w:rPr>
          <w:rFonts w:cs="Arial"/>
          <w:sz w:val="24"/>
          <w:lang w:val="de-DE"/>
        </w:rPr>
        <w:t xml:space="preserve">Bereits im Jahr 2023 hat GEA mit </w:t>
      </w:r>
      <w:proofErr w:type="spellStart"/>
      <w:r w:rsidRPr="00D34C42">
        <w:rPr>
          <w:rFonts w:cs="Arial"/>
          <w:sz w:val="24"/>
          <w:lang w:val="de-DE"/>
        </w:rPr>
        <w:t>Intellicant</w:t>
      </w:r>
      <w:proofErr w:type="spellEnd"/>
      <w:r w:rsidRPr="00D34C42">
        <w:rPr>
          <w:rFonts w:cs="Arial"/>
          <w:sz w:val="24"/>
          <w:lang w:val="de-DE"/>
        </w:rPr>
        <w:t xml:space="preserve"> ein </w:t>
      </w:r>
      <w:proofErr w:type="spellStart"/>
      <w:r w:rsidRPr="00D34C42">
        <w:rPr>
          <w:rFonts w:cs="Arial"/>
          <w:sz w:val="24"/>
          <w:lang w:val="de-DE"/>
        </w:rPr>
        <w:t>algorithmus</w:t>
      </w:r>
      <w:proofErr w:type="spellEnd"/>
      <w:r w:rsidRPr="00D34C42">
        <w:rPr>
          <w:rFonts w:cs="Arial"/>
          <w:sz w:val="24"/>
          <w:lang w:val="de-DE"/>
        </w:rPr>
        <w:t xml:space="preserve">- und cloudbasiertes digitale Produkt auf den Markt eingeführt. Dadurch wird ein Dekanter in ein sich selbst optimierendes System verwandelt. Wir haben dieses Produkt stetig weiterentwickelt. Im Kern von Intellicant steht eine einfache Idee: Ein Dekanter, der seinen eigenen Prozess in Echtzeit „sehen“ kann, kann sich schneller und präziser optimieren als jeder menschliche Bediener. Das kompakte Sensorpaket von Intellicant misst kontinuierlich drei kritische Parameter – Feststoffgehalt im Zulauf, Zentratsqualität und </w:t>
      </w:r>
      <w:r w:rsidR="00653564">
        <w:rPr>
          <w:rFonts w:cs="Arial"/>
          <w:sz w:val="24"/>
          <w:lang w:val="de-DE"/>
        </w:rPr>
        <w:t>Trockensubstanz im Austrag</w:t>
      </w:r>
      <w:r w:rsidR="00653564" w:rsidRPr="00D34C42">
        <w:rPr>
          <w:rFonts w:cs="Arial"/>
          <w:sz w:val="24"/>
          <w:lang w:val="de-DE"/>
        </w:rPr>
        <w:t xml:space="preserve"> </w:t>
      </w:r>
      <w:r w:rsidRPr="00D34C42">
        <w:rPr>
          <w:rFonts w:cs="Arial"/>
          <w:sz w:val="24"/>
          <w:lang w:val="de-DE"/>
        </w:rPr>
        <w:t>– und erzeugt so einen Live-Datenstrom aus dem Inneren des Prozesses. Konkret heißt das:  Wir haben dieses Produkt stetig weiterentwickelt. Intellicant ermöglicht heute einen konstanten, optimalen Betrieb unter wechselnden Bedingungen – etwas, das manuell unmöglich wäre.</w:t>
      </w:r>
    </w:p>
    <w:p w14:paraId="5BBE4931" w14:textId="77777777" w:rsidR="00D34C42" w:rsidRPr="00D34C42" w:rsidRDefault="00D34C42" w:rsidP="00D34C42">
      <w:pPr>
        <w:spacing w:line="360" w:lineRule="auto"/>
        <w:rPr>
          <w:rFonts w:cs="Arial"/>
          <w:sz w:val="24"/>
          <w:lang w:val="de-DE"/>
        </w:rPr>
      </w:pPr>
    </w:p>
    <w:p w14:paraId="2E0AC3D4" w14:textId="61274D2D" w:rsidR="00D34C42" w:rsidRPr="00D34C42" w:rsidRDefault="00D34C42" w:rsidP="00D34C42">
      <w:pPr>
        <w:spacing w:line="360" w:lineRule="auto"/>
        <w:rPr>
          <w:rFonts w:cs="Arial"/>
          <w:b/>
          <w:bCs/>
          <w:color w:val="0303B8" w:themeColor="text1"/>
          <w:sz w:val="24"/>
          <w:lang w:val="de-DE"/>
        </w:rPr>
      </w:pPr>
      <w:r w:rsidRPr="00D34C42">
        <w:rPr>
          <w:rFonts w:cs="Arial"/>
          <w:b/>
          <w:bCs/>
          <w:color w:val="0303B8" w:themeColor="text1"/>
          <w:sz w:val="24"/>
          <w:lang w:val="de-DE"/>
        </w:rPr>
        <w:t xml:space="preserve">Kann ich auch bestehende </w:t>
      </w:r>
      <w:proofErr w:type="gramStart"/>
      <w:r w:rsidR="00EE6E91">
        <w:rPr>
          <w:rFonts w:cs="Arial"/>
          <w:b/>
          <w:bCs/>
          <w:color w:val="0303B8" w:themeColor="text1"/>
          <w:sz w:val="24"/>
          <w:lang w:val="de-DE"/>
        </w:rPr>
        <w:t xml:space="preserve">GEA </w:t>
      </w:r>
      <w:r w:rsidRPr="00D34C42">
        <w:rPr>
          <w:rFonts w:cs="Arial"/>
          <w:b/>
          <w:bCs/>
          <w:color w:val="0303B8" w:themeColor="text1"/>
          <w:sz w:val="24"/>
          <w:lang w:val="de-DE"/>
        </w:rPr>
        <w:t>Dekanter</w:t>
      </w:r>
      <w:proofErr w:type="gramEnd"/>
      <w:r w:rsidRPr="00D34C42">
        <w:rPr>
          <w:rFonts w:cs="Arial"/>
          <w:b/>
          <w:bCs/>
          <w:color w:val="0303B8" w:themeColor="text1"/>
          <w:sz w:val="24"/>
          <w:lang w:val="de-DE"/>
        </w:rPr>
        <w:t xml:space="preserve"> mit Intellicant nachrüsten? </w:t>
      </w:r>
    </w:p>
    <w:p w14:paraId="6E076C7C" w14:textId="77777777" w:rsidR="00D34C42" w:rsidRPr="00D34C42" w:rsidRDefault="00D34C42" w:rsidP="00D34C42">
      <w:pPr>
        <w:spacing w:line="360" w:lineRule="auto"/>
        <w:rPr>
          <w:rFonts w:cs="Arial"/>
          <w:sz w:val="24"/>
          <w:lang w:val="de-DE"/>
        </w:rPr>
      </w:pPr>
    </w:p>
    <w:p w14:paraId="2DD9D466" w14:textId="38CE8564" w:rsidR="00D34C42" w:rsidRPr="00D34C42" w:rsidRDefault="00D34C42" w:rsidP="00D34C42">
      <w:pPr>
        <w:spacing w:line="360" w:lineRule="auto"/>
        <w:rPr>
          <w:rFonts w:cs="Arial"/>
          <w:sz w:val="24"/>
          <w:lang w:val="de-DE"/>
        </w:rPr>
      </w:pPr>
      <w:r w:rsidRPr="00D34C42">
        <w:rPr>
          <w:rFonts w:cs="Arial"/>
          <w:b/>
          <w:bCs/>
          <w:sz w:val="24"/>
          <w:lang w:val="de-DE"/>
        </w:rPr>
        <w:t>Fabien Patrick:</w:t>
      </w:r>
      <w:r w:rsidRPr="00D34C42">
        <w:rPr>
          <w:rFonts w:cs="Arial"/>
          <w:sz w:val="24"/>
          <w:lang w:val="de-DE"/>
        </w:rPr>
        <w:t xml:space="preserve"> Wir bieten hier das Sensor-Upgrade-Kit von GEA an. Die Sensoren fungieren als Augen von </w:t>
      </w:r>
      <w:proofErr w:type="spellStart"/>
      <w:r w:rsidRPr="00D34C42">
        <w:rPr>
          <w:rFonts w:cs="Arial"/>
          <w:sz w:val="24"/>
          <w:lang w:val="de-DE"/>
        </w:rPr>
        <w:t>Intellicant</w:t>
      </w:r>
      <w:proofErr w:type="spellEnd"/>
      <w:r w:rsidRPr="00D34C42">
        <w:rPr>
          <w:rFonts w:cs="Arial"/>
          <w:sz w:val="24"/>
          <w:lang w:val="de-DE"/>
        </w:rPr>
        <w:t xml:space="preserve"> und überwachen Ihren Dekanter kontinuierlich in Echtzeit. Sie liefern wertvolle Einblicke in jede Phase des Prozesses. Diese innovativen Sensoren machen manuelle Probenahmen überflüssig und ermöglichen dem Bediener während des gesamten Betriebs einen mühelosen Zugriff auf genaue Daten. Stichwort „Virtual Operator". Die </w:t>
      </w:r>
      <w:proofErr w:type="spellStart"/>
      <w:r w:rsidRPr="00D34C42">
        <w:rPr>
          <w:rFonts w:cs="Arial"/>
          <w:sz w:val="24"/>
          <w:lang w:val="de-DE"/>
        </w:rPr>
        <w:t>Intellicant</w:t>
      </w:r>
      <w:proofErr w:type="spellEnd"/>
      <w:r w:rsidRPr="00D34C42">
        <w:rPr>
          <w:rFonts w:cs="Arial"/>
          <w:sz w:val="24"/>
          <w:lang w:val="de-DE"/>
        </w:rPr>
        <w:t xml:space="preserve">-Software sorgt für konstante Trockensubstanzgehalte, automatisiert zeitaufwändige Anpassungen und verbessert deutlich die Prozesssicherheit und -stabilität. Durch die kontinuierliche Analyse der Prozessdaten reduziert sie manuelle Eingriffe, erhöht den Trockensubstanzgehalt und sorgt für eine optimale </w:t>
      </w:r>
      <w:proofErr w:type="spellStart"/>
      <w:r w:rsidRPr="00D34C42">
        <w:rPr>
          <w:rFonts w:cs="Arial"/>
          <w:sz w:val="24"/>
          <w:lang w:val="de-DE"/>
        </w:rPr>
        <w:t>Zentratqualität</w:t>
      </w:r>
      <w:proofErr w:type="spellEnd"/>
      <w:r w:rsidRPr="00D34C42">
        <w:rPr>
          <w:rFonts w:cs="Arial"/>
          <w:sz w:val="24"/>
          <w:lang w:val="de-DE"/>
        </w:rPr>
        <w:t xml:space="preserve"> bei gleichzeitig optimiertem Flockungsmittelverbrauch. Ferner bietet GEA einen Zugang zum GEA Portal. Das GEA Portal zentralisiert Ihre Zusammenarbeit mit GEA und bietet KPI-Tracking über ein Online-Dashboard sowie erweiterten Remote-Support für eine verbesserte Überwachung und Leistungsoptimierung. </w:t>
      </w:r>
    </w:p>
    <w:p w14:paraId="18B61091" w14:textId="77777777" w:rsidR="00D34C42" w:rsidRDefault="00D34C42" w:rsidP="00D34C42">
      <w:pPr>
        <w:rPr>
          <w:rFonts w:cs="Arial"/>
          <w:sz w:val="24"/>
          <w:lang w:val="de-DE"/>
        </w:rPr>
      </w:pPr>
    </w:p>
    <w:p w14:paraId="4B58D1CD" w14:textId="77777777" w:rsidR="00CB0243" w:rsidRDefault="00CB0243" w:rsidP="00D34C42">
      <w:pPr>
        <w:rPr>
          <w:rFonts w:cs="Arial"/>
          <w:sz w:val="24"/>
          <w:lang w:val="de-DE"/>
        </w:rPr>
      </w:pPr>
    </w:p>
    <w:p w14:paraId="1BB8F0B4" w14:textId="77777777" w:rsidR="00CB0243" w:rsidRDefault="00CB0243" w:rsidP="00D34C42">
      <w:pPr>
        <w:rPr>
          <w:rFonts w:cs="Arial"/>
          <w:sz w:val="24"/>
          <w:lang w:val="de-DE"/>
        </w:rPr>
      </w:pPr>
    </w:p>
    <w:p w14:paraId="3A41B9C9" w14:textId="77777777" w:rsidR="00CB0243" w:rsidRDefault="00CB0243" w:rsidP="00D34C42">
      <w:pPr>
        <w:rPr>
          <w:rFonts w:cs="Arial"/>
          <w:sz w:val="24"/>
          <w:lang w:val="de-DE"/>
        </w:rPr>
      </w:pPr>
    </w:p>
    <w:p w14:paraId="2433A952" w14:textId="77777777" w:rsidR="00CB0243" w:rsidRDefault="00CB0243" w:rsidP="00D34C42">
      <w:pPr>
        <w:rPr>
          <w:rFonts w:cs="Arial"/>
          <w:sz w:val="24"/>
          <w:lang w:val="de-DE"/>
        </w:rPr>
      </w:pPr>
    </w:p>
    <w:p w14:paraId="535AB65A" w14:textId="1F3AD061" w:rsidR="00CB0243" w:rsidRPr="00CB0243" w:rsidRDefault="00CB0243" w:rsidP="00D34C42">
      <w:pPr>
        <w:rPr>
          <w:rFonts w:cs="Arial"/>
          <w:b/>
          <w:bCs/>
          <w:color w:val="0303B8" w:themeColor="text1"/>
          <w:sz w:val="24"/>
          <w:lang w:val="de-DE"/>
        </w:rPr>
      </w:pPr>
      <w:r w:rsidRPr="00CB0243">
        <w:rPr>
          <w:rFonts w:cs="Arial"/>
          <w:b/>
          <w:bCs/>
          <w:color w:val="0303B8" w:themeColor="text1"/>
          <w:sz w:val="24"/>
          <w:lang w:val="de-DE"/>
        </w:rPr>
        <w:lastRenderedPageBreak/>
        <w:t xml:space="preserve">Foto: </w:t>
      </w:r>
    </w:p>
    <w:p w14:paraId="21A683A7" w14:textId="77777777" w:rsidR="00CB0243" w:rsidRDefault="00CB0243" w:rsidP="00D34C42">
      <w:pPr>
        <w:rPr>
          <w:rFonts w:cs="Arial"/>
          <w:sz w:val="24"/>
          <w:lang w:val="de-DE"/>
        </w:rPr>
      </w:pPr>
    </w:p>
    <w:p w14:paraId="321F781B" w14:textId="750A95A5" w:rsidR="00CB0243" w:rsidRPr="00CB0243" w:rsidRDefault="00CB0243" w:rsidP="00CB0243">
      <w:pPr>
        <w:rPr>
          <w:rFonts w:cs="Arial"/>
          <w:sz w:val="24"/>
          <w:lang w:val="de-DE"/>
        </w:rPr>
      </w:pPr>
      <w:r w:rsidRPr="00CB0243">
        <w:rPr>
          <w:rFonts w:cs="Arial"/>
          <w:sz w:val="24"/>
          <w:lang w:val="de-DE"/>
        </w:rPr>
        <w:drawing>
          <wp:inline distT="0" distB="0" distL="0" distR="0" wp14:anchorId="4BC3D06B" wp14:editId="4DD890DD">
            <wp:extent cx="2397600" cy="3600000"/>
            <wp:effectExtent l="0" t="0" r="3175" b="635"/>
            <wp:docPr id="14822773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7600" cy="3600000"/>
                    </a:xfrm>
                    <a:prstGeom prst="rect">
                      <a:avLst/>
                    </a:prstGeom>
                    <a:noFill/>
                    <a:ln>
                      <a:noFill/>
                    </a:ln>
                  </pic:spPr>
                </pic:pic>
              </a:graphicData>
            </a:graphic>
          </wp:inline>
        </w:drawing>
      </w:r>
    </w:p>
    <w:p w14:paraId="2A8BB675" w14:textId="77777777" w:rsidR="00CB0243" w:rsidRPr="00D34C42" w:rsidRDefault="00CB0243" w:rsidP="00D34C42">
      <w:pPr>
        <w:rPr>
          <w:rFonts w:cs="Arial"/>
          <w:sz w:val="24"/>
          <w:lang w:val="de-DE"/>
        </w:rPr>
      </w:pPr>
    </w:p>
    <w:p w14:paraId="1190F127" w14:textId="1BA65768" w:rsidR="00580874" w:rsidRPr="00D34C42" w:rsidRDefault="00580874" w:rsidP="0023478D">
      <w:pPr>
        <w:spacing w:line="360" w:lineRule="auto"/>
        <w:rPr>
          <w:rFonts w:cs="Arial"/>
          <w:sz w:val="24"/>
          <w:lang w:val="de-DE"/>
        </w:rPr>
      </w:pPr>
    </w:p>
    <w:p w14:paraId="0080289C" w14:textId="7EBDAE67" w:rsidR="00580874" w:rsidRDefault="00CB0243" w:rsidP="00580874">
      <w:pPr>
        <w:spacing w:line="360" w:lineRule="auto"/>
        <w:rPr>
          <w:rFonts w:cs="Arial"/>
          <w:sz w:val="24"/>
          <w:lang w:val="de-DE"/>
        </w:rPr>
      </w:pPr>
      <w:r>
        <w:rPr>
          <w:rFonts w:cs="Arial"/>
          <w:sz w:val="24"/>
          <w:lang w:val="de-DE"/>
        </w:rPr>
        <w:t xml:space="preserve">Foto, Bildunterschrift: </w:t>
      </w:r>
      <w:r w:rsidRPr="00D34C42">
        <w:rPr>
          <w:rFonts w:cs="Arial"/>
          <w:sz w:val="24"/>
          <w:lang w:val="de-DE"/>
        </w:rPr>
        <w:t>Fabien Petrick, Maschinenbauingenieur und Produktmanager für digitale Produkte bei GEA.</w:t>
      </w:r>
      <w:r>
        <w:rPr>
          <w:rFonts w:cs="Arial"/>
          <w:sz w:val="24"/>
          <w:lang w:val="de-DE"/>
        </w:rPr>
        <w:t xml:space="preserve"> (Foto: GEA)</w:t>
      </w:r>
    </w:p>
    <w:p w14:paraId="782C897E" w14:textId="77777777" w:rsidR="00D34C42" w:rsidRPr="00D34C42" w:rsidRDefault="00D34C42" w:rsidP="00580874">
      <w:pPr>
        <w:spacing w:line="360" w:lineRule="auto"/>
        <w:rPr>
          <w:rFonts w:cs="Arial"/>
          <w:sz w:val="24"/>
          <w:lang w:val="de-DE"/>
        </w:rPr>
      </w:pPr>
    </w:p>
    <w:p w14:paraId="4031CDC3" w14:textId="52A2F3A6" w:rsidR="004C5F95" w:rsidRPr="004C5F95" w:rsidRDefault="004C5F95" w:rsidP="00580874">
      <w:pPr>
        <w:spacing w:line="360" w:lineRule="auto"/>
        <w:rPr>
          <w:color w:val="0303B8" w:themeColor="text1"/>
          <w:lang w:val="de-DE"/>
        </w:rPr>
      </w:pPr>
      <w:r w:rsidRPr="004C5F95">
        <w:rPr>
          <w:b/>
          <w:bCs/>
          <w:color w:val="0303B8" w:themeColor="text1"/>
          <w:lang w:val="de-DE"/>
        </w:rPr>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50B03C3" w14:textId="77777777" w:rsidR="004C5F95" w:rsidRPr="004C5F95" w:rsidRDefault="004C5F95" w:rsidP="004C5F95">
      <w:pPr>
        <w:rPr>
          <w:lang w:val="de-DE"/>
        </w:rPr>
      </w:pPr>
      <w:r w:rsidRPr="004C5F95">
        <w:rPr>
          <w:lang w:val="de-DE"/>
        </w:rPr>
        <w:lastRenderedPageBreak/>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2"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2260FCD9" w14:textId="77777777" w:rsidR="00580874" w:rsidRDefault="00580874"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5F438E"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0"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1"/>
  </w:num>
  <w:num w:numId="5" w16cid:durableId="1264994109">
    <w:abstractNumId w:val="26"/>
  </w:num>
  <w:num w:numId="6" w16cid:durableId="1879514577">
    <w:abstractNumId w:val="29"/>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0"/>
  </w:num>
  <w:num w:numId="32" w16cid:durableId="109514244">
    <w:abstractNumId w:val="27"/>
  </w:num>
  <w:num w:numId="33" w16cid:durableId="491022258">
    <w:abstractNumId w:val="24"/>
  </w:num>
  <w:num w:numId="34" w16cid:durableId="778256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0BF0"/>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478D"/>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952"/>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2E78"/>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67C4"/>
    <w:rsid w:val="0039710D"/>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20A"/>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874"/>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3564"/>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C06"/>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3701"/>
    <w:rsid w:val="007E5B4F"/>
    <w:rsid w:val="007E63B4"/>
    <w:rsid w:val="007F1174"/>
    <w:rsid w:val="007F12C5"/>
    <w:rsid w:val="007F3FBB"/>
    <w:rsid w:val="007F4241"/>
    <w:rsid w:val="007F50B3"/>
    <w:rsid w:val="007F7D61"/>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3E5"/>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650D"/>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30CA"/>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0243"/>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4C42"/>
    <w:rsid w:val="00D35AB8"/>
    <w:rsid w:val="00D368F1"/>
    <w:rsid w:val="00D403D3"/>
    <w:rsid w:val="00D4047B"/>
    <w:rsid w:val="00D40BB7"/>
    <w:rsid w:val="00D466D3"/>
    <w:rsid w:val="00D46E93"/>
    <w:rsid w:val="00D47391"/>
    <w:rsid w:val="00D47929"/>
    <w:rsid w:val="00D51905"/>
    <w:rsid w:val="00D524B6"/>
    <w:rsid w:val="00D527A3"/>
    <w:rsid w:val="00D53703"/>
    <w:rsid w:val="00D54DF3"/>
    <w:rsid w:val="00D603EA"/>
    <w:rsid w:val="00D614CF"/>
    <w:rsid w:val="00D61C42"/>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4E8"/>
    <w:rsid w:val="00ED0903"/>
    <w:rsid w:val="00ED13AB"/>
    <w:rsid w:val="00ED1890"/>
    <w:rsid w:val="00ED1F1C"/>
    <w:rsid w:val="00ED2F51"/>
    <w:rsid w:val="00ED5911"/>
    <w:rsid w:val="00EE0D36"/>
    <w:rsid w:val="00EE14C5"/>
    <w:rsid w:val="00EE21D0"/>
    <w:rsid w:val="00EE331B"/>
    <w:rsid w:val="00EE48E4"/>
    <w:rsid w:val="00EE520F"/>
    <w:rsid w:val="00EE593A"/>
    <w:rsid w:val="00EE6E91"/>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830"/>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de/index.jsp"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3.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5523</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4</cp:revision>
  <cp:lastPrinted>2021-09-10T11:25:00Z</cp:lastPrinted>
  <dcterms:created xsi:type="dcterms:W3CDTF">2026-04-27T17:33:00Z</dcterms:created>
  <dcterms:modified xsi:type="dcterms:W3CDTF">2026-04-29T19:50:00Z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