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907A" w14:textId="77777777" w:rsidR="00A34C60" w:rsidRDefault="00A34C60" w:rsidP="00A34C60">
      <w:pPr>
        <w:spacing w:line="360" w:lineRule="auto"/>
        <w:jc w:val="both"/>
        <w:rPr>
          <w:rFonts w:ascii="Plain" w:hAnsi="Plain" w:cs="Arial"/>
          <w:b/>
          <w:bCs/>
          <w:sz w:val="24"/>
          <w:szCs w:val="24"/>
        </w:rPr>
      </w:pPr>
      <w:r>
        <w:rPr>
          <w:noProof/>
          <w:lang w:eastAsia="de-DE"/>
        </w:rPr>
        <w:drawing>
          <wp:anchor distT="0" distB="0" distL="114300" distR="114300" simplePos="0" relativeHeight="251659264" behindDoc="0" locked="0" layoutInCell="1" allowOverlap="1" wp14:anchorId="354866E8" wp14:editId="35A09DBC">
            <wp:simplePos x="0" y="0"/>
            <wp:positionH relativeFrom="margin">
              <wp:align>right</wp:align>
            </wp:positionH>
            <wp:positionV relativeFrom="paragraph">
              <wp:posOffset>2540</wp:posOffset>
            </wp:positionV>
            <wp:extent cx="2473960" cy="552450"/>
            <wp:effectExtent l="0" t="0" r="254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73960" cy="552450"/>
                    </a:xfrm>
                    <a:prstGeom prst="rect">
                      <a:avLst/>
                    </a:prstGeom>
                  </pic:spPr>
                </pic:pic>
              </a:graphicData>
            </a:graphic>
            <wp14:sizeRelH relativeFrom="margin">
              <wp14:pctWidth>0</wp14:pctWidth>
            </wp14:sizeRelH>
            <wp14:sizeRelV relativeFrom="margin">
              <wp14:pctHeight>0</wp14:pctHeight>
            </wp14:sizeRelV>
          </wp:anchor>
        </w:drawing>
      </w:r>
    </w:p>
    <w:p w14:paraId="117E9527" w14:textId="77777777" w:rsidR="00A34C60" w:rsidRDefault="00A34C60" w:rsidP="00A34C60">
      <w:pPr>
        <w:spacing w:line="360" w:lineRule="auto"/>
        <w:jc w:val="both"/>
        <w:rPr>
          <w:rFonts w:ascii="Plain" w:hAnsi="Plain" w:cs="Arial"/>
          <w:b/>
          <w:bCs/>
          <w:sz w:val="24"/>
          <w:szCs w:val="24"/>
        </w:rPr>
      </w:pPr>
    </w:p>
    <w:p w14:paraId="402CC42C" w14:textId="77777777" w:rsidR="0080748D" w:rsidRDefault="00A34C60" w:rsidP="0080748D">
      <w:pPr>
        <w:spacing w:line="360" w:lineRule="auto"/>
        <w:jc w:val="both"/>
        <w:rPr>
          <w:rFonts w:ascii="Plain Thin" w:hAnsi="Plain Thin" w:cs="Arial"/>
          <w:bCs/>
          <w:sz w:val="24"/>
          <w:szCs w:val="24"/>
        </w:rPr>
      </w:pPr>
      <w:r w:rsidRPr="00AD3A92">
        <w:rPr>
          <w:rFonts w:ascii="Plain Thin" w:hAnsi="Plain Thin" w:cs="Arial"/>
          <w:bCs/>
          <w:sz w:val="24"/>
          <w:szCs w:val="24"/>
        </w:rPr>
        <w:t>PRESSEINFORMATION</w:t>
      </w:r>
    </w:p>
    <w:p w14:paraId="1186E27F" w14:textId="780D8A80" w:rsidR="00424E72" w:rsidRPr="00003F21" w:rsidRDefault="0034570A" w:rsidP="0080748D">
      <w:pPr>
        <w:spacing w:line="360" w:lineRule="auto"/>
        <w:jc w:val="both"/>
        <w:rPr>
          <w:rFonts w:ascii="Plain Thin" w:hAnsi="Plain Thin" w:cs="Arial"/>
          <w:b/>
          <w:bCs/>
          <w:sz w:val="40"/>
          <w:szCs w:val="40"/>
        </w:rPr>
      </w:pPr>
      <w:r>
        <w:rPr>
          <w:rFonts w:ascii="Plain Thin" w:hAnsi="Plain Thin" w:cs="Arial"/>
          <w:b/>
          <w:bCs/>
          <w:sz w:val="40"/>
          <w:szCs w:val="40"/>
        </w:rPr>
        <w:t>Für</w:t>
      </w:r>
      <w:r w:rsidR="0033627B">
        <w:rPr>
          <w:rFonts w:ascii="Plain Thin" w:hAnsi="Plain Thin" w:cs="Arial"/>
          <w:b/>
          <w:bCs/>
          <w:sz w:val="40"/>
          <w:szCs w:val="40"/>
        </w:rPr>
        <w:t xml:space="preserve"> die „Impfpflicht“ wappnen</w:t>
      </w:r>
      <w:r>
        <w:rPr>
          <w:rFonts w:ascii="Plain Thin" w:hAnsi="Plain Thin" w:cs="Arial"/>
          <w:b/>
          <w:bCs/>
          <w:sz w:val="40"/>
          <w:szCs w:val="40"/>
        </w:rPr>
        <w:t>, Versorgungsengpässe verhindern</w:t>
      </w:r>
      <w:r w:rsidR="0033627B">
        <w:rPr>
          <w:rFonts w:ascii="Plain Thin" w:hAnsi="Plain Thin" w:cs="Arial"/>
          <w:b/>
          <w:bCs/>
          <w:sz w:val="40"/>
          <w:szCs w:val="40"/>
        </w:rPr>
        <w:t xml:space="preserve">: Auftaktfolge von Branchenupdate </w:t>
      </w:r>
      <w:r w:rsidR="0033627B" w:rsidRPr="0033627B">
        <w:rPr>
          <w:rFonts w:ascii="Plain Thin" w:hAnsi="Plain Thin" w:cs="Arial"/>
          <w:b/>
          <w:bCs/>
          <w:i/>
          <w:iCs/>
          <w:sz w:val="40"/>
          <w:szCs w:val="40"/>
        </w:rPr>
        <w:t>ETL ADVISON K</w:t>
      </w:r>
      <w:r w:rsidR="00C22E68">
        <w:rPr>
          <w:rFonts w:ascii="Plain Thin" w:hAnsi="Plain Thin" w:cs="Arial"/>
          <w:b/>
          <w:bCs/>
          <w:i/>
          <w:iCs/>
          <w:sz w:val="40"/>
          <w:szCs w:val="40"/>
        </w:rPr>
        <w:t>OMPAKT</w:t>
      </w:r>
      <w:r w:rsidR="0033627B">
        <w:rPr>
          <w:rFonts w:ascii="Plain Thin" w:hAnsi="Plain Thin" w:cs="Arial"/>
          <w:b/>
          <w:bCs/>
          <w:i/>
          <w:iCs/>
          <w:sz w:val="40"/>
          <w:szCs w:val="40"/>
        </w:rPr>
        <w:t xml:space="preserve"> </w:t>
      </w:r>
      <w:r>
        <w:rPr>
          <w:rFonts w:ascii="Plain Thin" w:hAnsi="Plain Thin" w:cs="Arial"/>
          <w:b/>
          <w:bCs/>
          <w:sz w:val="40"/>
          <w:szCs w:val="40"/>
        </w:rPr>
        <w:t>gibt Leistungserbringern im Gesundheitswesen Orientierung</w:t>
      </w:r>
    </w:p>
    <w:p w14:paraId="7EABCE6A" w14:textId="0D57F678" w:rsidR="006C7500" w:rsidRDefault="00782B79" w:rsidP="0080748D">
      <w:pPr>
        <w:spacing w:line="360" w:lineRule="auto"/>
        <w:jc w:val="both"/>
        <w:rPr>
          <w:rFonts w:ascii="Plain Thin" w:hAnsi="Plain Thin" w:cs="Arial"/>
          <w:b/>
          <w:bCs/>
          <w:i/>
        </w:rPr>
      </w:pPr>
      <w:r>
        <w:rPr>
          <w:rFonts w:ascii="Plain Thin" w:hAnsi="Plain Thin" w:cs="Arial"/>
          <w:b/>
          <w:bCs/>
          <w:i/>
        </w:rPr>
        <w:t>Berlin/Essen.</w:t>
      </w:r>
      <w:r w:rsidR="00003F21">
        <w:rPr>
          <w:rFonts w:ascii="Plain Thin" w:hAnsi="Plain Thin" w:cs="Arial"/>
          <w:b/>
          <w:bCs/>
          <w:i/>
        </w:rPr>
        <w:t xml:space="preserve"> 0</w:t>
      </w:r>
      <w:r w:rsidR="00AB5B45">
        <w:rPr>
          <w:rFonts w:ascii="Plain Thin" w:hAnsi="Plain Thin" w:cs="Arial"/>
          <w:b/>
          <w:bCs/>
          <w:i/>
        </w:rPr>
        <w:t>8</w:t>
      </w:r>
      <w:r w:rsidR="00003F21">
        <w:rPr>
          <w:rFonts w:ascii="Plain Thin" w:hAnsi="Plain Thin" w:cs="Arial"/>
          <w:b/>
          <w:bCs/>
          <w:i/>
        </w:rPr>
        <w:t>. Februar</w:t>
      </w:r>
      <w:r w:rsidR="0080748D">
        <w:rPr>
          <w:rFonts w:ascii="Plain Thin" w:hAnsi="Plain Thin" w:cs="Arial"/>
          <w:b/>
          <w:bCs/>
          <w:i/>
        </w:rPr>
        <w:t xml:space="preserve">.2022. </w:t>
      </w:r>
      <w:r w:rsidR="00003F21">
        <w:rPr>
          <w:rFonts w:ascii="Plain Thin" w:hAnsi="Plain Thin" w:cs="Arial"/>
          <w:b/>
          <w:bCs/>
          <w:i/>
        </w:rPr>
        <w:t xml:space="preserve">Die ab dem 16. März 2022 geltende einrichtungsbezogene „Impfpflicht“ im Gesundheitswesen wirft ihre Schatten voraus und sorgt bei den betroffenen Einrichtungen für Unsicherheit. Die Auftaktfolge der neuen Live-Webinarreihe </w:t>
      </w:r>
      <w:r w:rsidR="00003F21" w:rsidRPr="00003F21">
        <w:rPr>
          <w:rFonts w:ascii="Plain Thin" w:hAnsi="Plain Thin" w:cs="Arial"/>
          <w:b/>
          <w:bCs/>
          <w:iCs/>
        </w:rPr>
        <w:t xml:space="preserve">ETL ADVISION </w:t>
      </w:r>
      <w:r w:rsidR="00474C55">
        <w:rPr>
          <w:rFonts w:ascii="Plain Thin" w:hAnsi="Plain Thin" w:cs="Arial"/>
          <w:b/>
          <w:bCs/>
          <w:iCs/>
        </w:rPr>
        <w:t>KOMPAKT</w:t>
      </w:r>
      <w:r w:rsidR="001065AF">
        <w:rPr>
          <w:rFonts w:ascii="Plain Thin" w:hAnsi="Plain Thin" w:cs="Arial"/>
          <w:b/>
          <w:bCs/>
          <w:iCs/>
        </w:rPr>
        <w:t xml:space="preserve"> von ETL ADVISION, </w:t>
      </w:r>
      <w:r w:rsidR="001065AF" w:rsidRPr="001065AF">
        <w:rPr>
          <w:rFonts w:ascii="Plain Thin" w:hAnsi="Plain Thin" w:cs="Arial"/>
          <w:b/>
          <w:bCs/>
          <w:i/>
          <w:iCs/>
        </w:rPr>
        <w:t>Deutschlands größte</w:t>
      </w:r>
      <w:r w:rsidR="001065AF">
        <w:rPr>
          <w:rFonts w:ascii="Plain Thin" w:hAnsi="Plain Thin" w:cs="Arial"/>
          <w:b/>
          <w:bCs/>
          <w:i/>
          <w:iCs/>
        </w:rPr>
        <w:t>r</w:t>
      </w:r>
      <w:r w:rsidR="001065AF" w:rsidRPr="001065AF">
        <w:rPr>
          <w:rFonts w:ascii="Plain Thin" w:hAnsi="Plain Thin" w:cs="Arial"/>
          <w:b/>
          <w:bCs/>
          <w:i/>
          <w:iCs/>
        </w:rPr>
        <w:t xml:space="preserve"> Steuerberatungsgruppe im Gesundheitswesen</w:t>
      </w:r>
      <w:r w:rsidR="001065AF">
        <w:rPr>
          <w:rFonts w:ascii="Plain Thin" w:hAnsi="Plain Thin" w:cs="Arial"/>
          <w:b/>
          <w:bCs/>
          <w:i/>
          <w:iCs/>
        </w:rPr>
        <w:t>,</w:t>
      </w:r>
      <w:r w:rsidR="001065AF">
        <w:rPr>
          <w:rFonts w:ascii="Plain Thin" w:hAnsi="Plain Thin" w:cs="Arial"/>
          <w:b/>
          <w:bCs/>
          <w:i/>
        </w:rPr>
        <w:t xml:space="preserve"> </w:t>
      </w:r>
      <w:r w:rsidR="00003F21">
        <w:rPr>
          <w:rFonts w:ascii="Plain Thin" w:hAnsi="Plain Thin" w:cs="Arial"/>
          <w:b/>
          <w:bCs/>
          <w:i/>
        </w:rPr>
        <w:t xml:space="preserve">widmete sich daher vorrangig den gesetzlichen Rahmenbedingungen und möglichen Konsequenzen der Maßnahme. </w:t>
      </w:r>
      <w:r w:rsidR="0034570A">
        <w:rPr>
          <w:rFonts w:ascii="Plain Thin" w:hAnsi="Plain Thin" w:cs="Arial"/>
          <w:b/>
          <w:bCs/>
          <w:i/>
        </w:rPr>
        <w:t xml:space="preserve">Dabei klärten die Moderatorinnen </w:t>
      </w:r>
      <w:r w:rsidR="006C7500">
        <w:rPr>
          <w:rFonts w:ascii="Plain Thin" w:hAnsi="Plain Thin" w:cs="Arial"/>
          <w:b/>
          <w:bCs/>
          <w:i/>
        </w:rPr>
        <w:t xml:space="preserve">Janine Peine, </w:t>
      </w:r>
      <w:r w:rsidR="006C7500" w:rsidRPr="006C7500">
        <w:rPr>
          <w:rFonts w:ascii="Plain Thin" w:hAnsi="Plain Thin" w:cs="Arial"/>
          <w:b/>
          <w:bCs/>
          <w:i/>
        </w:rPr>
        <w:t>Branchenexpertin für das Gesundheitswesen</w:t>
      </w:r>
      <w:r w:rsidR="006C7500">
        <w:rPr>
          <w:rFonts w:ascii="Plain Thin" w:hAnsi="Plain Thin" w:cs="Arial"/>
          <w:b/>
          <w:bCs/>
          <w:i/>
        </w:rPr>
        <w:t xml:space="preserve">, und </w:t>
      </w:r>
      <w:r w:rsidR="006C7500" w:rsidRPr="006C7500">
        <w:rPr>
          <w:rFonts w:ascii="Plain Thin" w:hAnsi="Plain Thin" w:cs="Arial"/>
          <w:b/>
          <w:bCs/>
          <w:i/>
        </w:rPr>
        <w:t>Katrin-C. Beyer,</w:t>
      </w:r>
      <w:r w:rsidR="00495BD9">
        <w:rPr>
          <w:rFonts w:ascii="Plain Thin" w:hAnsi="Plain Thin" w:cs="Arial"/>
          <w:b/>
          <w:bCs/>
          <w:i/>
        </w:rPr>
        <w:t xml:space="preserve"> LL.M.,</w:t>
      </w:r>
      <w:r w:rsidR="006C7500" w:rsidRPr="006C7500">
        <w:rPr>
          <w:rFonts w:ascii="Plain Thin" w:hAnsi="Plain Thin" w:cs="Arial"/>
          <w:b/>
          <w:bCs/>
          <w:i/>
        </w:rPr>
        <w:t xml:space="preserve"> Medizinrechtexpertin von den ETL Rechtsanwälten</w:t>
      </w:r>
      <w:r w:rsidR="0034570A">
        <w:rPr>
          <w:rFonts w:ascii="Plain Thin" w:hAnsi="Plain Thin" w:cs="Arial"/>
          <w:b/>
          <w:bCs/>
          <w:i/>
        </w:rPr>
        <w:t>, im Interview mit dem ETL Arbeitsrechtexperten Dr. Uwe P. Schlegel die teilnehmenden Leistungserbringer aus dem Gesundheitswesen über die wichtigsten Eckpunkte aus §20a des Infektionsschutzgesetzes auf und gaben Handlungsempfehlungen, um einen drohenden Versorgungsengpass zu vermeiden.</w:t>
      </w:r>
    </w:p>
    <w:p w14:paraId="201AC620" w14:textId="52CD0CCD" w:rsidR="00424E72" w:rsidRDefault="00424E72" w:rsidP="0080748D">
      <w:pPr>
        <w:spacing w:line="360" w:lineRule="auto"/>
        <w:jc w:val="both"/>
        <w:rPr>
          <w:rFonts w:ascii="Plain Thin" w:hAnsi="Plain Thin" w:cs="Arial"/>
          <w:bCs/>
        </w:rPr>
      </w:pPr>
    </w:p>
    <w:p w14:paraId="1F70E579" w14:textId="73D3A5FB" w:rsidR="001065AF" w:rsidRDefault="00731516" w:rsidP="0080748D">
      <w:pPr>
        <w:spacing w:line="360" w:lineRule="auto"/>
        <w:jc w:val="both"/>
        <w:rPr>
          <w:rFonts w:ascii="Plain Thin" w:hAnsi="Plain Thin" w:cs="Arial"/>
          <w:bCs/>
        </w:rPr>
      </w:pPr>
      <w:r>
        <w:lastRenderedPageBreak/>
        <w:t xml:space="preserve">Wenn Beschäftigte im Gesundheitswesen bis zum Ablauf des 15.März 2022 keinen vollständigen Immunitätsnachweis gegen das Corona-Virus erbringen, ist die Arbeit gebende Einrichtung laut §20a Infektionsschutzgesetz verpflichtet, die betreffenden Angestellten dem zuständigen Gesundheitsamt zu melden. </w:t>
      </w:r>
      <w:r w:rsidR="0050609E">
        <w:t>Über die daraus resultierenden Folgen herrscht in der Branche erhebliche Unsicherheit.</w:t>
      </w:r>
      <w:r w:rsidR="0050609E">
        <w:rPr>
          <w:rFonts w:ascii="Plain Thin" w:hAnsi="Plain Thin" w:cs="Arial"/>
          <w:bCs/>
        </w:rPr>
        <w:t xml:space="preserve"> </w:t>
      </w:r>
      <w:r>
        <w:rPr>
          <w:rFonts w:ascii="Plain Thin" w:hAnsi="Plain Thin" w:cs="Arial"/>
          <w:bCs/>
        </w:rPr>
        <w:t>W</w:t>
      </w:r>
      <w:r w:rsidR="001065AF">
        <w:rPr>
          <w:rFonts w:ascii="Plain Thin" w:hAnsi="Plain Thin" w:cs="Arial"/>
          <w:bCs/>
        </w:rPr>
        <w:t xml:space="preserve">ie der Geschäftsführer der ETL Rechtsanwälte Köln, Dr. Uwe P. Schlegel, </w:t>
      </w:r>
      <w:r>
        <w:rPr>
          <w:rFonts w:ascii="Plain Thin" w:hAnsi="Plain Thin" w:cs="Arial"/>
          <w:bCs/>
        </w:rPr>
        <w:t xml:space="preserve">betonte, sei es </w:t>
      </w:r>
      <w:r w:rsidRPr="00731516">
        <w:rPr>
          <w:rFonts w:ascii="Plain Thin" w:hAnsi="Plain Thin" w:cs="Arial"/>
          <w:bCs/>
        </w:rPr>
        <w:t>„Stand heute die Auffassung der überwiegenden Mehrheit unter den Juristen</w:t>
      </w:r>
      <w:r>
        <w:rPr>
          <w:rFonts w:ascii="Plain Thin" w:hAnsi="Plain Thin" w:cs="Arial"/>
          <w:bCs/>
        </w:rPr>
        <w:t xml:space="preserve">, </w:t>
      </w:r>
      <w:r w:rsidRPr="00731516">
        <w:rPr>
          <w:rFonts w:ascii="Plain Thin" w:hAnsi="Plain Thin" w:cs="Arial"/>
          <w:bCs/>
        </w:rPr>
        <w:t>dass Personen ohne einen vollständigen Corona-Immunitätsnachweis auch über den Stichtag 15. März hinaus beschäftigt werden dürfen, solange die zuständige Gesundheitsbehörde kein Betretungs- bzw. Tätigkeitsverbot ausgesprochen hat.“</w:t>
      </w:r>
      <w:r>
        <w:rPr>
          <w:rFonts w:ascii="Plain Thin" w:hAnsi="Plain Thin" w:cs="Arial"/>
          <w:bCs/>
        </w:rPr>
        <w:t xml:space="preserve"> </w:t>
      </w:r>
    </w:p>
    <w:p w14:paraId="73349C58" w14:textId="27405912" w:rsidR="0050609E" w:rsidRDefault="0050609E" w:rsidP="003A2253">
      <w:pPr>
        <w:spacing w:line="360" w:lineRule="auto"/>
        <w:jc w:val="both"/>
        <w:rPr>
          <w:rFonts w:ascii="Plain Thin" w:hAnsi="Plain Thin" w:cs="Arial"/>
          <w:bCs/>
        </w:rPr>
      </w:pPr>
      <w:r>
        <w:rPr>
          <w:rFonts w:ascii="Plain Thin" w:hAnsi="Plain Thin" w:cs="Arial"/>
          <w:bCs/>
        </w:rPr>
        <w:t>Im Gespräch mit den</w:t>
      </w:r>
      <w:r w:rsidR="00254CA9">
        <w:rPr>
          <w:rFonts w:ascii="Plain Thin" w:hAnsi="Plain Thin" w:cs="Arial"/>
          <w:bCs/>
        </w:rPr>
        <w:t xml:space="preserve"> ETL ADVISION-Gesundheitsexpert</w:t>
      </w:r>
      <w:r w:rsidR="00C22E68">
        <w:rPr>
          <w:rFonts w:ascii="Plain Thin" w:hAnsi="Plain Thin" w:cs="Arial"/>
          <w:bCs/>
        </w:rPr>
        <w:t>inn</w:t>
      </w:r>
      <w:r w:rsidR="00254CA9">
        <w:rPr>
          <w:rFonts w:ascii="Plain Thin" w:hAnsi="Plain Thin" w:cs="Arial"/>
          <w:bCs/>
        </w:rPr>
        <w:t xml:space="preserve">en </w:t>
      </w:r>
      <w:r w:rsidR="00424E72">
        <w:rPr>
          <w:rFonts w:ascii="Plain Thin" w:hAnsi="Plain Thin" w:cs="Arial"/>
          <w:bCs/>
        </w:rPr>
        <w:t xml:space="preserve">Janine Peine und Katrin-C. Beyer </w:t>
      </w:r>
      <w:r>
        <w:rPr>
          <w:rFonts w:ascii="Plain Thin" w:hAnsi="Plain Thin" w:cs="Arial"/>
          <w:bCs/>
        </w:rPr>
        <w:t>erläuterte der Arbeitsrechtexperte weitere offene Fragen, etwa zur Haftung bei Virus-Übertragungen ungeimpfter Mitarbeiter nach dem 15.03., arbeitsrechtlichen Konsequenzen gegenüber Verweigerern sowie der formellen Informationsübertragung an die zuständigen Behörden. Weitere Themenschwerpunkte der Auftaktfolge von ETL ADVISION K</w:t>
      </w:r>
      <w:r w:rsidR="00C22E68">
        <w:rPr>
          <w:rFonts w:ascii="Plain Thin" w:hAnsi="Plain Thin" w:cs="Arial"/>
          <w:bCs/>
        </w:rPr>
        <w:t>OMPAKT</w:t>
      </w:r>
      <w:r>
        <w:rPr>
          <w:rFonts w:ascii="Plain Thin" w:hAnsi="Plain Thin" w:cs="Arial"/>
          <w:bCs/>
        </w:rPr>
        <w:t xml:space="preserve"> </w:t>
      </w:r>
      <w:r w:rsidR="00495BD9">
        <w:rPr>
          <w:rFonts w:ascii="Plain Thin" w:hAnsi="Plain Thin" w:cs="Arial"/>
          <w:bCs/>
        </w:rPr>
        <w:t xml:space="preserve">waren die anstehenden Erhöhungen des Mindestlohns im laufenden Jahr sowie </w:t>
      </w:r>
      <w:r w:rsidR="00495BD9" w:rsidRPr="00495BD9">
        <w:rPr>
          <w:rFonts w:ascii="Plain Thin" w:hAnsi="Plain Thin" w:cs="Arial"/>
          <w:bCs/>
        </w:rPr>
        <w:t>gesetzliche Bestimmungen für steuer- und sozialversicherungsfreie Betriebsveranstaltungen</w:t>
      </w:r>
      <w:r w:rsidR="00495BD9">
        <w:rPr>
          <w:rFonts w:ascii="Plain Thin" w:hAnsi="Plain Thin" w:cs="Arial"/>
          <w:bCs/>
        </w:rPr>
        <w:t>.</w:t>
      </w:r>
    </w:p>
    <w:p w14:paraId="2435147D" w14:textId="57A0E1B9" w:rsidR="0068101E" w:rsidRDefault="00495BD9" w:rsidP="00495BD9">
      <w:pPr>
        <w:spacing w:line="360" w:lineRule="auto"/>
        <w:jc w:val="both"/>
        <w:rPr>
          <w:rFonts w:ascii="Plain Thin" w:hAnsi="Plain Thin" w:cs="Arial"/>
          <w:bCs/>
        </w:rPr>
      </w:pPr>
      <w:r>
        <w:rPr>
          <w:rFonts w:ascii="Plain Thin" w:hAnsi="Plain Thin" w:cs="Arial"/>
          <w:bCs/>
        </w:rPr>
        <w:t>Die Live-Webinare von ETL ADVISION K</w:t>
      </w:r>
      <w:r w:rsidR="00C22E68">
        <w:rPr>
          <w:rFonts w:ascii="Plain Thin" w:hAnsi="Plain Thin" w:cs="Arial"/>
          <w:bCs/>
        </w:rPr>
        <w:t>OMPAKT</w:t>
      </w:r>
      <w:r w:rsidRPr="00495BD9">
        <w:rPr>
          <w:rFonts w:ascii="Plain Thin" w:hAnsi="Plain Thin" w:cs="Arial"/>
          <w:bCs/>
        </w:rPr>
        <w:t xml:space="preserve"> finden jeden zweiten Freitag </w:t>
      </w:r>
      <w:r>
        <w:rPr>
          <w:rFonts w:ascii="Plain Thin" w:hAnsi="Plain Thin" w:cs="Arial"/>
          <w:bCs/>
        </w:rPr>
        <w:t xml:space="preserve">um 13 Uhr </w:t>
      </w:r>
      <w:r w:rsidRPr="00495BD9">
        <w:rPr>
          <w:rFonts w:ascii="Plain Thin" w:hAnsi="Plain Thin" w:cs="Arial"/>
          <w:bCs/>
        </w:rPr>
        <w:t>statt</w:t>
      </w:r>
      <w:r>
        <w:rPr>
          <w:rFonts w:ascii="Plain Thin" w:hAnsi="Plain Thin" w:cs="Arial"/>
          <w:bCs/>
        </w:rPr>
        <w:t xml:space="preserve">. </w:t>
      </w:r>
      <w:r w:rsidRPr="00495BD9">
        <w:rPr>
          <w:rFonts w:ascii="Plain Thin" w:hAnsi="Plain Thin" w:cs="Arial"/>
          <w:bCs/>
        </w:rPr>
        <w:t xml:space="preserve">In 20 Minuten werden die wichtigsten aktuellen Themen für </w:t>
      </w:r>
      <w:r>
        <w:rPr>
          <w:rFonts w:ascii="Plain Thin" w:hAnsi="Plain Thin" w:cs="Arial"/>
          <w:bCs/>
        </w:rPr>
        <w:t>Leistungserbringer im Gesundheitswesen</w:t>
      </w:r>
      <w:r w:rsidRPr="00495BD9">
        <w:rPr>
          <w:rFonts w:ascii="Plain Thin" w:hAnsi="Plain Thin" w:cs="Arial"/>
          <w:bCs/>
        </w:rPr>
        <w:t xml:space="preserve"> kompakt und kurzweilig vorgestellt und Handlungsempfehlungen für die Teilnehmenden abgeleitet. Je nach Themengebiet empfangen die Gastgeberinnen Janine Peine und Katrin Beyer dabei auch immer wieder interne und externe Experten zum Interview</w:t>
      </w:r>
      <w:r>
        <w:rPr>
          <w:rFonts w:ascii="Plain Thin" w:hAnsi="Plain Thin" w:cs="Arial"/>
          <w:bCs/>
        </w:rPr>
        <w:t>.</w:t>
      </w:r>
    </w:p>
    <w:p w14:paraId="65C6324F" w14:textId="7F84DFDB" w:rsidR="00495BD9" w:rsidRDefault="00495BD9" w:rsidP="00495BD9">
      <w:pPr>
        <w:spacing w:line="360" w:lineRule="auto"/>
        <w:jc w:val="both"/>
        <w:rPr>
          <w:rFonts w:ascii="Plain Thin" w:hAnsi="Plain Thin" w:cs="Arial"/>
          <w:bCs/>
        </w:rPr>
      </w:pPr>
    </w:p>
    <w:p w14:paraId="2CE38318" w14:textId="77777777" w:rsidR="00495BD9" w:rsidRDefault="00495BD9" w:rsidP="00495BD9">
      <w:pPr>
        <w:spacing w:line="360" w:lineRule="auto"/>
        <w:jc w:val="both"/>
        <w:rPr>
          <w:rFonts w:ascii="Plain Thin" w:hAnsi="Plain Thin"/>
        </w:rPr>
      </w:pPr>
      <w:r>
        <w:rPr>
          <w:rFonts w:ascii="Plain Thin" w:hAnsi="Plain Thin"/>
        </w:rPr>
        <w:t>Zur Aufzeichnung der Auftaktfolge:</w:t>
      </w:r>
    </w:p>
    <w:bookmarkStart w:id="0" w:name="_GoBack"/>
    <w:p w14:paraId="1C794A8C" w14:textId="1A1ECA83" w:rsidR="00495BD9" w:rsidRDefault="00C62E65" w:rsidP="00495BD9">
      <w:pPr>
        <w:spacing w:line="360" w:lineRule="auto"/>
        <w:jc w:val="both"/>
        <w:rPr>
          <w:rFonts w:ascii="Plain Thin" w:hAnsi="Plain Thin"/>
        </w:rPr>
      </w:pPr>
      <w:r>
        <w:fldChar w:fldCharType="begin"/>
      </w:r>
      <w:r>
        <w:instrText xml:space="preserve"> HYPERLINK "https://vimeo.com/673623405/3a085076ce" </w:instrText>
      </w:r>
      <w:r>
        <w:fldChar w:fldCharType="separate"/>
      </w:r>
      <w:r w:rsidR="003E1A87" w:rsidRPr="00AF6F15">
        <w:rPr>
          <w:rStyle w:val="Hyperlink"/>
          <w:rFonts w:ascii="Plain Thin" w:hAnsi="Plain Thin"/>
        </w:rPr>
        <w:t>https://vimeo.com/673623405/3a085076ce</w:t>
      </w:r>
      <w:r>
        <w:rPr>
          <w:rStyle w:val="Hyperlink"/>
          <w:rFonts w:ascii="Plain Thin" w:hAnsi="Plain Thin"/>
        </w:rPr>
        <w:fldChar w:fldCharType="end"/>
      </w:r>
    </w:p>
    <w:bookmarkEnd w:id="0"/>
    <w:p w14:paraId="4F87ED84" w14:textId="77777777" w:rsidR="003E1A87" w:rsidRDefault="003E1A87" w:rsidP="00495BD9">
      <w:pPr>
        <w:spacing w:line="360" w:lineRule="auto"/>
        <w:jc w:val="both"/>
        <w:rPr>
          <w:rFonts w:ascii="Plain Thin" w:hAnsi="Plain Thin"/>
        </w:rPr>
      </w:pPr>
    </w:p>
    <w:p w14:paraId="2E40E7E2" w14:textId="77777777" w:rsidR="003A2253" w:rsidRDefault="003A2253">
      <w:pPr>
        <w:rPr>
          <w:rFonts w:ascii="Plain Thin" w:hAnsi="Plain Thin"/>
        </w:rPr>
      </w:pPr>
      <w:r>
        <w:rPr>
          <w:rFonts w:ascii="Plain Thin" w:hAnsi="Plain Thin"/>
        </w:rPr>
        <w:t xml:space="preserve">Zur kostenlosen Registrierung: </w:t>
      </w:r>
      <w:hyperlink r:id="rId5" w:history="1">
        <w:r w:rsidRPr="00D43988">
          <w:rPr>
            <w:rStyle w:val="Hyperlink"/>
            <w:rFonts w:ascii="Plain Thin" w:hAnsi="Plain Thin"/>
          </w:rPr>
          <w:t>https://zoom.us/webinar/register/2116419913406/WN__vTjutgTQs2QOSfC0sodLg</w:t>
        </w:r>
      </w:hyperlink>
    </w:p>
    <w:p w14:paraId="0B0C868C" w14:textId="77777777" w:rsidR="003A2253" w:rsidRDefault="003A2253">
      <w:pPr>
        <w:rPr>
          <w:rFonts w:ascii="Plain Thin" w:hAnsi="Plain Thin"/>
        </w:rPr>
      </w:pPr>
    </w:p>
    <w:p w14:paraId="0687E7A7" w14:textId="77777777" w:rsidR="003A2253" w:rsidRDefault="003A2253">
      <w:pPr>
        <w:rPr>
          <w:rFonts w:ascii="Plain Thin" w:hAnsi="Plain Thin"/>
        </w:rPr>
      </w:pPr>
    </w:p>
    <w:p w14:paraId="26CE970F" w14:textId="77777777" w:rsidR="003A2253" w:rsidRPr="003A2253" w:rsidRDefault="003A2253" w:rsidP="003A2253">
      <w:pPr>
        <w:jc w:val="both"/>
        <w:rPr>
          <w:rFonts w:ascii="Plain Thin" w:eastAsia="Calibri" w:hAnsi="Plain Thin" w:cs="Arial"/>
          <w:b/>
          <w:bCs/>
        </w:rPr>
      </w:pPr>
      <w:r w:rsidRPr="003A2253">
        <w:rPr>
          <w:rFonts w:ascii="Plain Thin" w:eastAsia="Calibri" w:hAnsi="Plain Thin" w:cs="Arial"/>
          <w:b/>
          <w:bCs/>
        </w:rPr>
        <w:t>Über ETL ADVISION</w:t>
      </w:r>
    </w:p>
    <w:p w14:paraId="5E85E66D" w14:textId="77777777" w:rsidR="003A2253" w:rsidRPr="003A2253" w:rsidRDefault="003A2253" w:rsidP="003A2253">
      <w:pPr>
        <w:spacing w:after="0" w:line="240" w:lineRule="auto"/>
        <w:rPr>
          <w:rFonts w:ascii="Plain Thin" w:eastAsia="Calibri" w:hAnsi="Plain Thin" w:cs="Calibri"/>
          <w:sz w:val="16"/>
          <w:szCs w:val="16"/>
        </w:rPr>
      </w:pPr>
      <w:r w:rsidRPr="003A2253">
        <w:rPr>
          <w:rFonts w:ascii="Plain Thin" w:eastAsia="Calibri" w:hAnsi="Plain Thin" w:cs="Calibri"/>
          <w:sz w:val="16"/>
          <w:szCs w:val="16"/>
        </w:rPr>
        <w:t>ETL ADVISION ist die marktführende Steuerberatung mit integrierter Rechtsberatung. Unsere ETL ADVISION Kanzleien beraten und unterstützen in allen steuerrechtlichen, rechtlichen, betriebswirtschaftlichen und organisatorischen Angelegenheiten, um die wirtschaftliche Stabilität der Mandanten nachhaltig zu sichern und auszubauen. Dabei nutzen wir unsere Fachexpertise und langjährige Berufserfahrung. Darüber hinaus können wir auf das Know-how des Experten-Netzwerkes der ETL ADVISION zurückgreifen. ETL ADVISION ist ein Verbund von mehr als 120 kooperierenden ETL-Steuerberatungskanzleien und bundesweit führend in der Steuerberatung im Gesundheitswesen. Die Spezialisierung auf die Beratung von Heilberuflern erfolgt auf der Basis einer qualifizierten Aus- und Weiterbildung der ETL ADVISION-Steuerberater und ihrer Mitarbeiter in unserer ETL Akademie und ermöglicht eine umfassende Betreuung in allen unternehmerischen Belangen.</w:t>
      </w:r>
    </w:p>
    <w:p w14:paraId="51E5C47B" w14:textId="77777777" w:rsidR="003A2253" w:rsidRPr="003A2253" w:rsidRDefault="00C62E65" w:rsidP="003A2253">
      <w:pPr>
        <w:spacing w:after="0" w:line="252" w:lineRule="auto"/>
        <w:jc w:val="both"/>
        <w:rPr>
          <w:rFonts w:ascii="Plain Thin" w:eastAsia="Calibri" w:hAnsi="Plain Thin" w:cs="Calibri"/>
          <w:sz w:val="16"/>
          <w:szCs w:val="16"/>
        </w:rPr>
      </w:pPr>
      <w:hyperlink r:id="rId6" w:history="1">
        <w:r w:rsidR="003A2253" w:rsidRPr="003A2253">
          <w:rPr>
            <w:rFonts w:ascii="Plain Thin" w:eastAsia="Calibri" w:hAnsi="Plain Thin" w:cs="Calibri"/>
            <w:color w:val="0563C1"/>
            <w:sz w:val="16"/>
            <w:szCs w:val="16"/>
            <w:u w:val="single"/>
          </w:rPr>
          <w:t>www.etl-advision.de</w:t>
        </w:r>
      </w:hyperlink>
    </w:p>
    <w:p w14:paraId="76AF7733" w14:textId="77777777" w:rsidR="003A2253" w:rsidRPr="003A2253" w:rsidRDefault="003A2253" w:rsidP="003A2253">
      <w:pPr>
        <w:rPr>
          <w:rFonts w:ascii="Arial" w:eastAsia="Calibri" w:hAnsi="Arial" w:cs="Arial"/>
          <w:sz w:val="20"/>
          <w:szCs w:val="20"/>
        </w:rPr>
      </w:pPr>
    </w:p>
    <w:p w14:paraId="447CDB89" w14:textId="77777777" w:rsidR="003A2253" w:rsidRPr="003A2253" w:rsidRDefault="003A2253" w:rsidP="003A2253">
      <w:pPr>
        <w:spacing w:before="360" w:after="0" w:line="240" w:lineRule="auto"/>
        <w:contextualSpacing/>
        <w:jc w:val="both"/>
        <w:rPr>
          <w:rFonts w:ascii="Plain Thin" w:eastAsia="Calibri" w:hAnsi="Plain Thin" w:cs="Times New Roman"/>
          <w:b/>
          <w:sz w:val="16"/>
          <w:szCs w:val="16"/>
        </w:rPr>
      </w:pPr>
      <w:r w:rsidRPr="003A2253">
        <w:rPr>
          <w:rFonts w:ascii="Plain Thin" w:eastAsia="Calibri" w:hAnsi="Plain Thin" w:cs="Times New Roman"/>
          <w:b/>
          <w:sz w:val="16"/>
          <w:szCs w:val="16"/>
        </w:rPr>
        <w:t>Pressekontakt</w:t>
      </w:r>
    </w:p>
    <w:p w14:paraId="04FEE1ED" w14:textId="77777777" w:rsidR="003A2253" w:rsidRPr="003A2253" w:rsidRDefault="003A2253" w:rsidP="003A2253">
      <w:pPr>
        <w:spacing w:after="0" w:line="240" w:lineRule="auto"/>
        <w:contextualSpacing/>
        <w:jc w:val="both"/>
        <w:rPr>
          <w:rFonts w:ascii="Plain Thin" w:eastAsia="Calibri" w:hAnsi="Plain Thin" w:cs="Calibri Light"/>
          <w:sz w:val="16"/>
          <w:szCs w:val="16"/>
        </w:rPr>
      </w:pPr>
      <w:r w:rsidRPr="003A2253">
        <w:rPr>
          <w:rFonts w:ascii="Plain Thin" w:eastAsia="Calibri" w:hAnsi="Plain Thin" w:cs="Calibri Light"/>
          <w:sz w:val="16"/>
          <w:szCs w:val="16"/>
        </w:rPr>
        <w:t>Danyal Alaybeyoglu, Tel.: 030 22 64 02 30, E-Mail: danyal.alaybeyoglu@etl.de, ETL, Mauerstraße 86-88, 10117 Berlin, www.etl.de</w:t>
      </w:r>
    </w:p>
    <w:p w14:paraId="412DFBB1" w14:textId="77777777" w:rsidR="003A2253" w:rsidRPr="003A2253" w:rsidRDefault="003A2253" w:rsidP="003A2253">
      <w:pPr>
        <w:rPr>
          <w:rFonts w:ascii="Arial" w:eastAsia="Calibri" w:hAnsi="Arial" w:cs="Arial"/>
          <w:sz w:val="20"/>
          <w:szCs w:val="20"/>
        </w:rPr>
      </w:pPr>
    </w:p>
    <w:p w14:paraId="1C1D90CA" w14:textId="77777777" w:rsidR="003A2253" w:rsidRPr="00424E72" w:rsidRDefault="003A2253">
      <w:pPr>
        <w:rPr>
          <w:rFonts w:ascii="Plain Thin" w:hAnsi="Plain Thin"/>
        </w:rPr>
      </w:pPr>
    </w:p>
    <w:sectPr w:rsidR="003A2253" w:rsidRPr="00424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in">
    <w:altName w:val="Calibri"/>
    <w:panose1 w:val="020B0503020202020204"/>
    <w:charset w:val="00"/>
    <w:family w:val="swiss"/>
    <w:notTrueType/>
    <w:pitch w:val="variable"/>
    <w:sig w:usb0="8000002F"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Plain Thin">
    <w:altName w:val="Calibri"/>
    <w:panose1 w:val="020B0403020202020204"/>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0"/>
    <w:rsid w:val="00003F21"/>
    <w:rsid w:val="00020033"/>
    <w:rsid w:val="001065AF"/>
    <w:rsid w:val="00254CA9"/>
    <w:rsid w:val="0033627B"/>
    <w:rsid w:val="0034570A"/>
    <w:rsid w:val="003A2253"/>
    <w:rsid w:val="003E1A87"/>
    <w:rsid w:val="00424E72"/>
    <w:rsid w:val="00474C55"/>
    <w:rsid w:val="00495BD9"/>
    <w:rsid w:val="0050609E"/>
    <w:rsid w:val="0068101E"/>
    <w:rsid w:val="006C7500"/>
    <w:rsid w:val="00731516"/>
    <w:rsid w:val="00782B79"/>
    <w:rsid w:val="0080748D"/>
    <w:rsid w:val="00A34C60"/>
    <w:rsid w:val="00AB1246"/>
    <w:rsid w:val="00AB5B45"/>
    <w:rsid w:val="00AC1342"/>
    <w:rsid w:val="00AE75E9"/>
    <w:rsid w:val="00B53C7E"/>
    <w:rsid w:val="00C22E68"/>
    <w:rsid w:val="00C62E65"/>
    <w:rsid w:val="00D63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2934"/>
  <w15:chartTrackingRefBased/>
  <w15:docId w15:val="{92CA01C9-1018-4E4C-9FCC-FE124BD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C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2253"/>
    <w:rPr>
      <w:color w:val="0563C1" w:themeColor="hyperlink"/>
      <w:u w:val="single"/>
    </w:rPr>
  </w:style>
  <w:style w:type="character" w:customStyle="1" w:styleId="UnresolvedMention">
    <w:name w:val="Unresolved Mention"/>
    <w:basedOn w:val="Absatz-Standardschriftart"/>
    <w:uiPriority w:val="99"/>
    <w:semiHidden/>
    <w:unhideWhenUsed/>
    <w:rsid w:val="0049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l-advision.de/" TargetMode="External"/><Relationship Id="rId5" Type="http://schemas.openxmlformats.org/officeDocument/2006/relationships/hyperlink" Target="https://zoom.us/webinar/register/2116419913406/WN__vTjutgTQs2QOSfC0sodLg"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Admin</cp:lastModifiedBy>
  <cp:revision>2</cp:revision>
  <cp:lastPrinted>2022-02-08T08:50:00Z</cp:lastPrinted>
  <dcterms:created xsi:type="dcterms:W3CDTF">2022-02-08T10:25:00Z</dcterms:created>
  <dcterms:modified xsi:type="dcterms:W3CDTF">2022-02-08T10:25:00Z</dcterms:modified>
</cp:coreProperties>
</file>