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Arial"/>
          <w:b/>
          <w:color w:val="E00428"/>
          <w:sz w:val="24"/>
          <w:szCs w:val="24"/>
        </w:rPr>
      </w:pPr>
      <w:r>
        <w:rPr>
          <w:rFonts w:cs="Arial"/>
          <w:b/>
          <w:color w:val="E00428"/>
          <w:sz w:val="40"/>
        </w:rPr>
        <w:t>Whitepaper zu ESG-konformen Bauen</w:t>
      </w:r>
      <w:r>
        <w:rPr>
          <w:rFonts w:cs="Arial"/>
          <w:b/>
          <w:color w:val="E00428"/>
          <w:sz w:val="40"/>
        </w:rPr>
        <w:br/>
      </w:r>
      <w:r>
        <w:rPr>
          <w:rFonts w:cs="Arial"/>
          <w:b/>
          <w:color w:val="E00428"/>
          <w:sz w:val="24"/>
          <w:szCs w:val="24"/>
        </w:rPr>
        <w:t>Lindner Group bringt Theorie und praktische Lösungen zusammen</w:t>
      </w:r>
    </w:p>
    <w:p>
      <w:pPr>
        <w:rPr>
          <w:rFonts w:cs="Arial"/>
          <w:b/>
          <w:color w:val="E00428"/>
          <w:sz w:val="40"/>
        </w:rPr>
      </w:pPr>
    </w:p>
    <w:p>
      <w:pPr>
        <w:rPr>
          <w:rFonts w:cs="Arial"/>
          <w:sz w:val="24"/>
        </w:rPr>
      </w:pPr>
    </w:p>
    <w:p>
      <w:pPr>
        <w:rPr>
          <w:rFonts w:cs="Arial"/>
          <w:sz w:val="24"/>
        </w:rPr>
      </w:pPr>
      <w:r>
        <w:rPr>
          <w:rFonts w:cs="Arial"/>
          <w:sz w:val="24"/>
        </w:rPr>
        <w:t>Die EU-Taxonomie und die verpflichtende Nachhaltigkeits-Berichtserstattung* (CSRD) bringen erhebliche Herausforderungen für die Bau- und Immobilienbranche mit sich. Vor allem ein Muss an neuen, nachhaltigeren Baulösungen für Neubau und Bestandssanierung.</w:t>
      </w:r>
    </w:p>
    <w:p>
      <w:pPr>
        <w:rPr>
          <w:rFonts w:cs="Arial"/>
          <w:sz w:val="16"/>
          <w:szCs w:val="16"/>
        </w:rPr>
      </w:pPr>
      <w:r>
        <w:rPr>
          <w:rFonts w:cs="Arial"/>
          <w:sz w:val="16"/>
          <w:szCs w:val="16"/>
        </w:rPr>
        <w:t>(*Ab 01.01.2025 gilt die CSRD-Pflicht für große Unternehmen, die mindestens zwei der folgenden Kriterien erfüllen: mehr als 250 Mitarbeitende, eine Bilanzsumme über 25 Mio. Euro oder Nettoumsatz über 50 Mio. Euro.)</w:t>
      </w:r>
    </w:p>
    <w:p>
      <w:pPr>
        <w:rPr>
          <w:rFonts w:cs="Arial"/>
          <w:sz w:val="24"/>
        </w:rPr>
      </w:pPr>
    </w:p>
    <w:p>
      <w:pPr>
        <w:rPr>
          <w:rFonts w:cs="Arial"/>
          <w:sz w:val="24"/>
        </w:rPr>
      </w:pPr>
      <w:r>
        <w:rPr>
          <w:rFonts w:cs="Arial"/>
          <w:sz w:val="24"/>
        </w:rPr>
        <w:t>Hierzu bietet die Lindner Group – Komplettanbieter für Innenausbau und Fassade – in ihrem Whitepaper wertvolle Einblicke und praxiserprobte Lösungsvorschläge, um Bauvorhaben zukunftsfair, ressourcenschonend und klimaneutral umzusetzen und so auch bei der Erfüllung der CSRD-Standards zu unterstützen.</w:t>
      </w:r>
    </w:p>
    <w:p>
      <w:pPr>
        <w:rPr>
          <w:rFonts w:cs="Arial"/>
          <w:sz w:val="24"/>
        </w:rPr>
      </w:pPr>
    </w:p>
    <w:p>
      <w:pPr>
        <w:rPr>
          <w:rFonts w:cs="Arial"/>
          <w:b/>
          <w:sz w:val="24"/>
        </w:rPr>
      </w:pPr>
      <w:r>
        <w:rPr>
          <w:rFonts w:cs="Arial"/>
          <w:b/>
          <w:sz w:val="24"/>
        </w:rPr>
        <w:t>Green Deal im Bau: transparent, kollaborativ und kreislauffähig</w:t>
      </w:r>
    </w:p>
    <w:p>
      <w:pPr>
        <w:rPr>
          <w:rFonts w:cs="Arial"/>
          <w:sz w:val="24"/>
        </w:rPr>
      </w:pPr>
      <w:r>
        <w:rPr>
          <w:rFonts w:cs="Arial"/>
          <w:sz w:val="24"/>
        </w:rPr>
        <w:t>Im ESG-Whitepaper stehen zwei Themen besonders im Fokus:</w:t>
      </w:r>
      <w:r>
        <w:rPr>
          <w:rFonts w:cs="Arial"/>
          <w:sz w:val="24"/>
        </w:rPr>
        <w:br/>
      </w:r>
    </w:p>
    <w:p>
      <w:pPr>
        <w:pStyle w:val="Listenabsatz"/>
        <w:numPr>
          <w:ilvl w:val="0"/>
          <w:numId w:val="12"/>
        </w:numPr>
        <w:rPr>
          <w:rFonts w:cs="Arial"/>
          <w:sz w:val="24"/>
        </w:rPr>
      </w:pPr>
      <w:r>
        <w:rPr>
          <w:rFonts w:cs="Arial"/>
          <w:b/>
          <w:sz w:val="24"/>
        </w:rPr>
        <w:t>In Bezug auf Bauprodukte und Leistungen: Die Transparenz von Liefer- bzw. Wertschöpfungsketten</w:t>
      </w:r>
      <w:r>
        <w:rPr>
          <w:rFonts w:cs="Arial"/>
          <w:sz w:val="24"/>
        </w:rPr>
        <w:t xml:space="preserve">, kombiniert mit einer vollständigen Betrachtung und Dokumentation des Produktlebenszyklus sowie weiterführende Lösungen und Nutzungsmöglichkeiten als ReUse-Produkt. </w:t>
      </w:r>
      <w:r>
        <w:rPr>
          <w:rFonts w:cs="Arial"/>
          <w:sz w:val="24"/>
        </w:rPr>
        <w:br/>
        <w:t>Hier bietet Lindner einen entscheidenden Mehrwert für Kunden: Denn Lindner ist nicht nur ausführende Kraft für alle Gewerke des Innenausbaus und Fassade, sondern produziert schadstoffarme, kreislauffähige Bauprodukte selbst und bietet diese kombiniert mit zirkulären Geschäftsmodellen und umfänglichen Serviceleistungen und Beratung für Green Building und nachhaltiges/zirkuläres Bauen an.</w:t>
      </w:r>
    </w:p>
    <w:p>
      <w:pPr>
        <w:ind w:left="284" w:hanging="295"/>
        <w:rPr>
          <w:rFonts w:cs="Arial"/>
          <w:sz w:val="24"/>
        </w:rPr>
      </w:pPr>
    </w:p>
    <w:p>
      <w:pPr>
        <w:pStyle w:val="Listenabsatz"/>
        <w:numPr>
          <w:ilvl w:val="0"/>
          <w:numId w:val="12"/>
        </w:numPr>
        <w:rPr>
          <w:rFonts w:cs="Arial"/>
          <w:sz w:val="24"/>
        </w:rPr>
      </w:pPr>
      <w:r>
        <w:rPr>
          <w:rFonts w:cs="Arial"/>
          <w:b/>
          <w:sz w:val="24"/>
        </w:rPr>
        <w:t xml:space="preserve">In Bezug auf Bauabwicklung (Planung, Ausführung und Nutzungskonzepte): Langfristige, ehrliche Partnerschaften, </w:t>
      </w:r>
      <w:r>
        <w:rPr>
          <w:rFonts w:cs="Arial"/>
          <w:b/>
          <w:sz w:val="24"/>
        </w:rPr>
        <w:br/>
      </w:r>
      <w:r>
        <w:rPr>
          <w:rFonts w:cs="Arial"/>
          <w:sz w:val="24"/>
        </w:rPr>
        <w:t>um die Herausforderungen der EU-Taxonomie und die Transformation der Bauwirtscha</w:t>
      </w:r>
      <w:bookmarkStart w:id="0" w:name="_GoBack"/>
      <w:bookmarkEnd w:id="0"/>
      <w:r>
        <w:rPr>
          <w:rFonts w:cs="Arial"/>
          <w:sz w:val="24"/>
        </w:rPr>
        <w:t>ft gemeinsam zu meistern. Dies zeigt sich z. B. am Praxisbeispiel Siemensstadt Square, das als IPA-Projekt (Integrale Projektabwicklung) umgesetzt wird. Hier ist Lindner im Rahmen eines Mehrparteienvertrages für Innenausbau und Fassade verantwortlich sowie bereits in der Planung vollständig involviert und beratend tätig.</w:t>
      </w:r>
    </w:p>
    <w:p>
      <w:pPr>
        <w:pStyle w:val="Listenabsatz"/>
        <w:rPr>
          <w:rFonts w:cs="Arial"/>
          <w:sz w:val="24"/>
        </w:rPr>
      </w:pPr>
    </w:p>
    <w:p>
      <w:pPr>
        <w:rPr>
          <w:rFonts w:cs="Arial"/>
          <w:sz w:val="24"/>
        </w:rPr>
      </w:pPr>
      <w:r>
        <w:rPr>
          <w:rFonts w:cs="Arial"/>
          <w:sz w:val="24"/>
        </w:rPr>
        <w:lastRenderedPageBreak/>
        <w:t>Das Whitepaper steht als freier Download auf der Lindner Website unter der Kompetenz Green Building/Zirkuläres Bauen zur Verfügung.</w:t>
      </w:r>
    </w:p>
    <w:p>
      <w:pPr>
        <w:rPr>
          <w:rFonts w:cs="Arial"/>
          <w:sz w:val="24"/>
        </w:rPr>
      </w:pPr>
      <w:hyperlink r:id="rId8" w:history="1">
        <w:r>
          <w:rPr>
            <w:rStyle w:val="Hyperlink"/>
            <w:rFonts w:cs="Arial"/>
            <w:sz w:val="24"/>
          </w:rPr>
          <w:t>https://lin.link/lindner-group_esg_whitepaper</w:t>
        </w:r>
      </w:hyperlink>
      <w:r>
        <w:rPr>
          <w:rFonts w:cs="Arial"/>
          <w:sz w:val="24"/>
        </w:rPr>
        <w:t xml:space="preserve"> </w:t>
      </w:r>
    </w:p>
    <w:p>
      <w:pPr>
        <w:rPr>
          <w:rFonts w:eastAsiaTheme="minorEastAsia"/>
          <w:szCs w:val="22"/>
        </w:rPr>
      </w:pPr>
    </w:p>
    <w:p>
      <w:pPr>
        <w:rPr>
          <w:rFonts w:eastAsiaTheme="minorEastAsia"/>
          <w:szCs w:val="22"/>
        </w:rPr>
      </w:pPr>
    </w:p>
    <w:p>
      <w:pPr>
        <w:autoSpaceDE w:val="0"/>
        <w:autoSpaceDN w:val="0"/>
        <w:adjustRightInd w:val="0"/>
        <w:rPr>
          <w:rFonts w:cs="Arial"/>
        </w:rPr>
      </w:pPr>
    </w:p>
    <w:p>
      <w:pPr>
        <w:spacing w:line="240" w:lineRule="auto"/>
        <w:rPr>
          <w:rFonts w:cs="Arial"/>
          <w:b/>
          <w:color w:val="E00428"/>
        </w:rPr>
      </w:pPr>
      <w:r>
        <w:rPr>
          <w:rFonts w:cs="Arial"/>
          <w:b/>
          <w:color w:val="E00428"/>
        </w:rPr>
        <w:t>Bilder</w:t>
      </w:r>
    </w:p>
    <w:p>
      <w:pPr>
        <w:spacing w:line="240" w:lineRule="auto"/>
        <w:rPr>
          <w:rFonts w:cs="Arial"/>
          <w:b/>
          <w:color w:val="E00428"/>
        </w:rPr>
      </w:pPr>
    </w:p>
    <w:p>
      <w:pPr>
        <w:spacing w:line="240" w:lineRule="auto"/>
        <w:rPr>
          <w:rFonts w:cs="Arial"/>
          <w:b/>
          <w:color w:val="E00428"/>
        </w:rPr>
      </w:pPr>
    </w:p>
    <w:p>
      <w:pPr>
        <w:ind w:firstLine="709"/>
        <w:rPr>
          <w:rFonts w:cs="Arial"/>
        </w:rPr>
      </w:pPr>
      <w:r>
        <w:rPr>
          <w:noProof/>
        </w:rPr>
        <w:drawing>
          <wp:inline distT="0" distB="0" distL="0" distR="0">
            <wp:extent cx="1720800" cy="2440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0800" cy="2440800"/>
                    </a:xfrm>
                    <a:prstGeom prst="rect">
                      <a:avLst/>
                    </a:prstGeom>
                  </pic:spPr>
                </pic:pic>
              </a:graphicData>
            </a:graphic>
          </wp:inline>
        </w:drawing>
      </w:r>
    </w:p>
    <w:p>
      <w:pPr>
        <w:rPr>
          <w:rFonts w:cs="Arial"/>
          <w:sz w:val="20"/>
        </w:rPr>
      </w:pPr>
      <w:r>
        <w:rPr>
          <w:rFonts w:cs="Arial"/>
          <w:sz w:val="20"/>
        </w:rPr>
        <w:t>Bildnachweis: © www.Lindner-Group.com</w:t>
      </w:r>
    </w:p>
    <w:p>
      <w:pPr>
        <w:rPr>
          <w:rFonts w:cs="Arial"/>
        </w:rPr>
      </w:pPr>
    </w:p>
    <w:p>
      <w:pPr>
        <w:rPr>
          <w:rFonts w:cs="Arial"/>
        </w:rPr>
      </w:pPr>
      <w:r>
        <w:rPr>
          <w:rFonts w:cs="Arial"/>
        </w:rPr>
        <w:br/>
      </w:r>
    </w:p>
    <w:p>
      <w:pPr>
        <w:rPr>
          <w:rFonts w:cs="Arial"/>
          <w:b/>
          <w:color w:val="E00428"/>
        </w:rPr>
      </w:pPr>
      <w:r>
        <w:rPr>
          <w:rFonts w:cs="Arial"/>
          <w:b/>
          <w:color w:val="E00428"/>
        </w:rPr>
        <w:t>Lindner Group</w:t>
      </w:r>
    </w:p>
    <w:p>
      <w:pPr>
        <w:rPr>
          <w:rFonts w:cs="Arial"/>
        </w:rPr>
      </w:pPr>
      <w:r>
        <w:rPr>
          <w:rFonts w:cs="Arial"/>
        </w:rPr>
        <w:t>Die Lindner Group ist Europas führender Komplettanbieter in den Bereichen Innenausbau, Gebäudehülle, Gebäudetechnik und Isoliertechnik. Das Familienunternehmen verfügt über 60 Jahre Erfahrung im „Bauen mit neuen Lösungen“, der Entwicklung und Ausführung von individuellen und fortschrittlichen Projektlösungen, die Mehr.Wert bieten. Mit weltweit gut 7.500 Mitarbeitern betreibt Lindner vom bayerischen Arnstorf aus Produktionsstätten und Tochtergesellschaften in mehr als 20 Ländern.</w:t>
      </w:r>
    </w:p>
    <w:p>
      <w:pPr>
        <w:rPr>
          <w:rFonts w:cs="Arial"/>
        </w:rPr>
      </w:pPr>
    </w:p>
    <w:p>
      <w:pPr>
        <w:rPr>
          <w:rFonts w:cs="Arial"/>
        </w:rPr>
      </w:pPr>
    </w:p>
    <w:p>
      <w:pPr>
        <w:rPr>
          <w:rFonts w:eastAsiaTheme="minorEastAsia" w:cs="Arial"/>
          <w:b/>
          <w:color w:val="E40428"/>
        </w:rPr>
      </w:pPr>
      <w:r>
        <w:rPr>
          <w:rFonts w:eastAsiaTheme="minorEastAsia" w:cs="Arial"/>
          <w:b/>
          <w:color w:val="E40428"/>
        </w:rPr>
        <w:t xml:space="preserve">Weitere Infos unter </w:t>
      </w:r>
      <w:hyperlink r:id="rId10" w:history="1">
        <w:r>
          <w:rPr>
            <w:rStyle w:val="Hyperlink"/>
            <w:rFonts w:eastAsiaTheme="minorEastAsia" w:cs="Arial"/>
            <w:b/>
            <w:color w:val="E40428"/>
            <w:u w:val="none"/>
          </w:rPr>
          <w:t>www.Lindner-Group.com</w:t>
        </w:r>
      </w:hyperlink>
    </w:p>
    <w:p>
      <w:pPr>
        <w:pStyle w:val="EinfAbs"/>
        <w:rPr>
          <w:lang w:val="en-GB"/>
        </w:rPr>
      </w:pPr>
      <w:hyperlink r:id="rId11" w:history="1">
        <w:r>
          <w:rPr>
            <w:rStyle w:val="Hyperlink"/>
            <w:rFonts w:ascii="Arial" w:hAnsi="Arial" w:cs="Arial"/>
            <w:color w:val="auto"/>
            <w:sz w:val="20"/>
            <w:szCs w:val="16"/>
            <w:lang w:val="en-GB"/>
          </w:rPr>
          <w:t>LinkedIn</w:t>
        </w:r>
      </w:hyperlink>
      <w:r>
        <w:rPr>
          <w:rFonts w:ascii="Arial" w:hAnsi="Arial" w:cs="Arial"/>
          <w:color w:val="auto"/>
          <w:sz w:val="20"/>
          <w:szCs w:val="16"/>
          <w:lang w:val="en-GB"/>
        </w:rPr>
        <w:t xml:space="preserve"> | </w:t>
      </w:r>
      <w:hyperlink r:id="rId12" w:history="1">
        <w:r>
          <w:rPr>
            <w:rStyle w:val="Hyperlink"/>
            <w:rFonts w:ascii="Arial" w:hAnsi="Arial" w:cs="Arial"/>
            <w:color w:val="auto"/>
            <w:sz w:val="20"/>
            <w:szCs w:val="16"/>
            <w:lang w:val="en-GB"/>
          </w:rPr>
          <w:t>Pinterest</w:t>
        </w:r>
      </w:hyperlink>
      <w:r>
        <w:rPr>
          <w:rFonts w:ascii="Arial" w:hAnsi="Arial" w:cs="Arial"/>
          <w:color w:val="auto"/>
          <w:sz w:val="20"/>
          <w:szCs w:val="16"/>
          <w:lang w:val="en-GB"/>
        </w:rPr>
        <w:t xml:space="preserve"> | </w:t>
      </w:r>
      <w:hyperlink r:id="rId13" w:history="1">
        <w:r>
          <w:rPr>
            <w:rStyle w:val="Hyperlink"/>
            <w:rFonts w:ascii="Arial" w:hAnsi="Arial" w:cs="Arial"/>
            <w:color w:val="auto"/>
            <w:sz w:val="20"/>
            <w:szCs w:val="16"/>
            <w:lang w:val="en-GB"/>
          </w:rPr>
          <w:t>Instagram</w:t>
        </w:r>
      </w:hyperlink>
      <w:r>
        <w:rPr>
          <w:rStyle w:val="Hyperlink"/>
          <w:rFonts w:ascii="Arial" w:hAnsi="Arial" w:cs="Arial"/>
          <w:color w:val="auto"/>
          <w:sz w:val="20"/>
          <w:szCs w:val="16"/>
          <w:u w:val="none"/>
          <w:lang w:val="en-GB"/>
        </w:rPr>
        <w:t xml:space="preserve"> | </w:t>
      </w:r>
      <w:hyperlink r:id="rId14" w:history="1">
        <w:r>
          <w:rPr>
            <w:rStyle w:val="Hyperlink"/>
            <w:rFonts w:ascii="Arial" w:hAnsi="Arial" w:cs="Arial"/>
            <w:color w:val="auto"/>
            <w:sz w:val="20"/>
            <w:szCs w:val="16"/>
            <w:lang w:val="en-GB"/>
          </w:rPr>
          <w:t>Facebook</w:t>
        </w:r>
      </w:hyperlink>
      <w:r>
        <w:rPr>
          <w:rStyle w:val="Hyperlink"/>
          <w:rFonts w:ascii="Arial" w:hAnsi="Arial" w:cs="Arial"/>
          <w:color w:val="auto"/>
          <w:sz w:val="20"/>
          <w:szCs w:val="16"/>
          <w:u w:val="none"/>
          <w:lang w:val="en-GB"/>
        </w:rPr>
        <w:t xml:space="preserve"> | </w:t>
      </w:r>
      <w:r>
        <w:rPr>
          <w:rStyle w:val="Hyperlink"/>
          <w:rFonts w:ascii="Arial" w:hAnsi="Arial" w:cs="Arial"/>
          <w:color w:val="auto"/>
          <w:sz w:val="20"/>
          <w:szCs w:val="16"/>
          <w:lang w:val="en-GB"/>
        </w:rPr>
        <w:t>Youtube</w:t>
      </w:r>
      <w:r>
        <w:rPr>
          <w:rStyle w:val="Hyperlink"/>
          <w:rFonts w:ascii="Arial" w:hAnsi="Arial" w:cs="Arial"/>
          <w:color w:val="auto"/>
          <w:sz w:val="20"/>
          <w:szCs w:val="16"/>
          <w:u w:val="none"/>
          <w:lang w:val="en-GB"/>
        </w:rPr>
        <w:t xml:space="preserve"> </w:t>
      </w:r>
    </w:p>
    <w:sectPr>
      <w:headerReference w:type="default" r:id="rId15"/>
      <w:footerReference w:type="default" r:id="rId16"/>
      <w:headerReference w:type="first" r:id="rId17"/>
      <w:footerReference w:type="first" r:id="rId18"/>
      <w:type w:val="continuous"/>
      <w:pgSz w:w="11906" w:h="16838" w:code="9"/>
      <w:pgMar w:top="2722" w:right="1247" w:bottom="1134" w:left="1247" w:header="1247" w:footer="567" w:gutter="0"/>
      <w:cols w:space="45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1</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b/>
        <w:bCs/>
        <w:noProof/>
        <w:color w:val="ED1B34"/>
        <w:sz w:val="40"/>
        <w:szCs w:val="40"/>
      </w:rPr>
      <w:drawing>
        <wp:anchor distT="0" distB="0" distL="114300" distR="114300" simplePos="0" relativeHeight="251659264" behindDoc="0" locked="0" layoutInCell="1" allowOverlap="1">
          <wp:simplePos x="0" y="0"/>
          <wp:positionH relativeFrom="margin">
            <wp:align>left</wp:align>
          </wp:positionH>
          <wp:positionV relativeFrom="page">
            <wp:posOffset>791845</wp:posOffset>
          </wp:positionV>
          <wp:extent cx="1922400" cy="288000"/>
          <wp:effectExtent l="0" t="0" r="1905" b="0"/>
          <wp:wrapNone/>
          <wp:docPr id="168" name="Grafik 168"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6663"/>
      </w:tabs>
      <w:ind w:left="6237"/>
      <w:jc w:val="right"/>
      <w:rPr>
        <w:b/>
        <w:color w:val="E40428"/>
        <w:sz w:val="18"/>
      </w:rPr>
    </w:pPr>
    <w:r>
      <w:rPr>
        <w:b/>
        <w:bCs/>
        <w:noProof/>
        <w:color w:val="E40428"/>
        <w:sz w:val="32"/>
        <w:szCs w:val="40"/>
      </w:rPr>
      <w:drawing>
        <wp:anchor distT="0" distB="0" distL="114300" distR="114300" simplePos="0" relativeHeight="251661312" behindDoc="0" locked="0" layoutInCell="1" allowOverlap="1">
          <wp:simplePos x="0" y="0"/>
          <wp:positionH relativeFrom="column">
            <wp:posOffset>0</wp:posOffset>
          </wp:positionH>
          <wp:positionV relativeFrom="page">
            <wp:posOffset>791845</wp:posOffset>
          </wp:positionV>
          <wp:extent cx="1922400" cy="288000"/>
          <wp:effectExtent l="0" t="0" r="1905" b="0"/>
          <wp:wrapNone/>
          <wp:docPr id="169" name="Grafik 169"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E40428"/>
        <w:sz w:val="18"/>
      </w:rPr>
      <w:t>Lindner Group</w:t>
    </w:r>
  </w:p>
  <w:p>
    <w:pPr>
      <w:tabs>
        <w:tab w:val="left" w:pos="6663"/>
      </w:tabs>
      <w:ind w:left="6237"/>
      <w:jc w:val="right"/>
      <w:rPr>
        <w:sz w:val="18"/>
      </w:rPr>
    </w:pPr>
    <w:r>
      <w:rPr>
        <w:sz w:val="18"/>
      </w:rPr>
      <w:t>Pressekontakt: Christina Rieger</w:t>
    </w:r>
  </w:p>
  <w:p>
    <w:pPr>
      <w:tabs>
        <w:tab w:val="left" w:pos="6663"/>
      </w:tabs>
      <w:ind w:left="6237"/>
      <w:jc w:val="right"/>
      <w:rPr>
        <w:sz w:val="18"/>
      </w:rPr>
    </w:pPr>
    <w:r>
      <w:rPr>
        <w:sz w:val="18"/>
      </w:rPr>
      <w:t>Bahnhofstraße 29, 94424 Arnstorf</w:t>
    </w:r>
  </w:p>
  <w:p>
    <w:pPr>
      <w:tabs>
        <w:tab w:val="left" w:pos="6663"/>
      </w:tabs>
      <w:ind w:left="6237"/>
      <w:jc w:val="right"/>
      <w:rPr>
        <w:sz w:val="18"/>
      </w:rPr>
    </w:pPr>
    <w:r>
      <w:rPr>
        <w:sz w:val="18"/>
      </w:rPr>
      <w:t>Telefon +49 8723 20-3148</w:t>
    </w:r>
  </w:p>
  <w:p>
    <w:pPr>
      <w:tabs>
        <w:tab w:val="left" w:pos="6663"/>
      </w:tabs>
      <w:ind w:left="6237"/>
      <w:jc w:val="right"/>
      <w:rPr>
        <w:rStyle w:val="Hyperlink"/>
        <w:color w:val="auto"/>
        <w:sz w:val="18"/>
        <w:u w:val="none"/>
      </w:rPr>
    </w:pPr>
    <w:r>
      <w:rPr>
        <w:rStyle w:val="Hyperlink"/>
        <w:color w:val="auto"/>
        <w:sz w:val="18"/>
        <w:u w:val="none"/>
      </w:rPr>
      <w:t>Christina.Rieger@Lindner-Group.com</w:t>
    </w:r>
  </w:p>
  <w:p>
    <w:pPr>
      <w:tabs>
        <w:tab w:val="left" w:pos="6663"/>
      </w:tabs>
      <w:rPr>
        <w:sz w:val="18"/>
      </w:rPr>
    </w:pPr>
  </w:p>
  <w:p>
    <w:pPr>
      <w:tabs>
        <w:tab w:val="left" w:pos="6663"/>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CE8"/>
    <w:multiLevelType w:val="multilevel"/>
    <w:tmpl w:val="70FE56EE"/>
    <w:lvl w:ilvl="0">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5B392E"/>
    <w:multiLevelType w:val="multilevel"/>
    <w:tmpl w:val="577CA0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1B22CA1"/>
    <w:multiLevelType w:val="hybridMultilevel"/>
    <w:tmpl w:val="3984CAA0"/>
    <w:lvl w:ilvl="0" w:tplc="24B232D2">
      <w:start w:val="1"/>
      <w:numFmt w:val="bullet"/>
      <w:lvlText w:val=""/>
      <w:lvlJc w:val="left"/>
      <w:pPr>
        <w:tabs>
          <w:tab w:val="num" w:pos="360"/>
        </w:tabs>
        <w:ind w:left="170" w:hanging="170"/>
      </w:pPr>
      <w:rPr>
        <w:rFonts w:ascii="Symbol" w:hAnsi="Symbol" w:cs="Times New Roman"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E60EF2"/>
    <w:multiLevelType w:val="multilevel"/>
    <w:tmpl w:val="5BE83D78"/>
    <w:lvl w:ilvl="0">
      <w:start w:val="1"/>
      <w:numFmt w:val="decimal"/>
      <w:pStyle w:val="berschrift1"/>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4D493FFD"/>
    <w:multiLevelType w:val="multilevel"/>
    <w:tmpl w:val="E26AB4F4"/>
    <w:styleLink w:val="Formatvorlage1"/>
    <w:lvl w:ilvl="0">
      <w:start w:val="1"/>
      <w:numFmt w:val="decimal"/>
      <w:isLgl/>
      <w:lvlText w:val="%1.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 w15:restartNumberingAfterBreak="0">
    <w:nsid w:val="4D8B0F83"/>
    <w:multiLevelType w:val="hybridMultilevel"/>
    <w:tmpl w:val="3D58D5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D8C4592"/>
    <w:multiLevelType w:val="hybridMultilevel"/>
    <w:tmpl w:val="D45EB336"/>
    <w:lvl w:ilvl="0" w:tplc="A372EA22">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49573D2"/>
    <w:multiLevelType w:val="hybridMultilevel"/>
    <w:tmpl w:val="CD46782A"/>
    <w:lvl w:ilvl="0" w:tplc="083096E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C4476"/>
    <w:multiLevelType w:val="hybridMultilevel"/>
    <w:tmpl w:val="77D4622A"/>
    <w:lvl w:ilvl="0" w:tplc="746E1FE2">
      <w:numFmt w:val="bullet"/>
      <w:lvlText w:val=""/>
      <w:lvlJc w:val="left"/>
      <w:pPr>
        <w:ind w:left="720" w:hanging="360"/>
      </w:pPr>
      <w:rPr>
        <w:rFonts w:ascii="Wingdings" w:eastAsia="Aptos" w:hAnsi="Wingdings" w:cs="Apto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7D463A59"/>
    <w:multiLevelType w:val="hybridMultilevel"/>
    <w:tmpl w:val="CB169DBC"/>
    <w:lvl w:ilvl="0" w:tplc="CE0AD2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 w:numId="9">
    <w:abstractNumId w:val="7"/>
  </w:num>
  <w:num w:numId="10">
    <w:abstractNumId w:val="8"/>
  </w:num>
  <w:num w:numId="11">
    <w:abstractNumId w:val="5"/>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57"/>
  <w:displayHorizontalDrawingGridEvery w:val="2"/>
  <w:noPunctuationKerning/>
  <w:characterSpacingControl w:val="doNotCompress"/>
  <w:hdrShapeDefaults>
    <o:shapedefaults v:ext="edit" spidmax="1126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5:chartTrackingRefBased/>
  <w15:docId w15:val="{C32C7E97-D157-4B40-9C29-80F13DCA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Hyperlink"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rPr>
      <w:rFonts w:ascii="Arial" w:hAnsi="Arial"/>
      <w:sz w:val="22"/>
      <w:lang w:val="de-DE" w:eastAsia="de-DE"/>
    </w:rPr>
  </w:style>
  <w:style w:type="paragraph" w:styleId="berschrift1">
    <w:name w:val="heading 1"/>
    <w:basedOn w:val="Standard"/>
    <w:next w:val="Standard"/>
    <w:autoRedefine/>
    <w:qFormat/>
    <w:pPr>
      <w:keepNext/>
      <w:numPr>
        <w:numId w:val="6"/>
      </w:numPr>
      <w:spacing w:before="120" w:after="120"/>
      <w:ind w:right="-2"/>
      <w:outlineLvl w:val="0"/>
    </w:pPr>
    <w:rPr>
      <w:rFonts w:cs="Arial"/>
      <w:b/>
      <w:bCs/>
      <w:kern w:val="28"/>
      <w:sz w:val="28"/>
      <w:szCs w:val="28"/>
    </w:rPr>
  </w:style>
  <w:style w:type="paragraph" w:styleId="berschrift2">
    <w:name w:val="heading 2"/>
    <w:basedOn w:val="Standard"/>
    <w:next w:val="Standard"/>
    <w:link w:val="berschrift2Zchn"/>
    <w:autoRedefine/>
    <w:qFormat/>
    <w:pPr>
      <w:keepNext/>
      <w:numPr>
        <w:ilvl w:val="1"/>
        <w:numId w:val="6"/>
      </w:numPr>
      <w:spacing w:before="60" w:after="60"/>
      <w:outlineLvl w:val="1"/>
    </w:pPr>
    <w:rPr>
      <w:rFonts w:cs="Arial"/>
      <w:b/>
      <w:bCs/>
      <w:sz w:val="24"/>
      <w:szCs w:val="24"/>
    </w:rPr>
  </w:style>
  <w:style w:type="paragraph" w:styleId="berschrift3">
    <w:name w:val="heading 3"/>
    <w:basedOn w:val="Standard"/>
    <w:next w:val="Pro-Text-Einge"/>
    <w:qFormat/>
    <w:pPr>
      <w:keepNext/>
      <w:numPr>
        <w:ilvl w:val="2"/>
        <w:numId w:val="6"/>
      </w:numPr>
      <w:spacing w:before="120"/>
      <w:outlineLvl w:val="2"/>
    </w:pPr>
    <w:rPr>
      <w:rFonts w:cs="Arial"/>
      <w:b/>
      <w:iCs/>
      <w:sz w:val="24"/>
      <w:szCs w:val="24"/>
    </w:rPr>
  </w:style>
  <w:style w:type="paragraph" w:styleId="berschrift4">
    <w:name w:val="heading 4"/>
    <w:basedOn w:val="berschrift3"/>
    <w:next w:val="Standard"/>
    <w:autoRedefine/>
    <w:qFormat/>
    <w:pPr>
      <w:numPr>
        <w:ilvl w:val="3"/>
      </w:numPr>
      <w:outlineLvl w:val="3"/>
    </w:pPr>
    <w:rPr>
      <w:bCs/>
      <w:iCs w:val="0"/>
      <w:sz w:val="22"/>
      <w:szCs w:val="20"/>
    </w:rPr>
  </w:style>
  <w:style w:type="paragraph" w:styleId="berschrift5">
    <w:name w:val="heading 5"/>
    <w:basedOn w:val="Standard"/>
    <w:next w:val="Standard"/>
    <w:link w:val="berschrift5Zchn"/>
    <w:semiHidden/>
    <w:unhideWhenUsed/>
    <w:qFormat/>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customStyle="1" w:styleId="Pro-1-Sp1">
    <w:name w:val="Pro-1-Sp1"/>
    <w:basedOn w:val="Standard"/>
    <w:rPr>
      <w:rFonts w:ascii="Arial (W1)" w:hAnsi="Arial (W1)" w:cs="Arial"/>
      <w:b/>
      <w:szCs w:val="24"/>
    </w:rPr>
  </w:style>
  <w:style w:type="paragraph" w:customStyle="1" w:styleId="Pro-AblaufIcon">
    <w:name w:val="Pro-Ablauf_Icon"/>
    <w:basedOn w:val="Standard"/>
    <w:pPr>
      <w:jc w:val="center"/>
    </w:pPr>
    <w:rPr>
      <w:rFonts w:ascii="Arial (W1)" w:hAnsi="Arial (W1)" w:cs="Arial"/>
      <w:b/>
      <w:bCs/>
      <w:sz w:val="16"/>
      <w:szCs w:val="16"/>
    </w:rPr>
  </w:style>
  <w:style w:type="paragraph" w:customStyle="1" w:styleId="Pro-Aufz-Pkt">
    <w:name w:val="Pro-Aufz-Pkt"/>
    <w:basedOn w:val="Standard"/>
    <w:autoRedefine/>
    <w:pPr>
      <w:ind w:left="43"/>
    </w:pPr>
    <w:rPr>
      <w:rFonts w:ascii="Arial (W1)" w:hAnsi="Arial (W1)" w:cs="Arial"/>
      <w:szCs w:val="22"/>
    </w:rPr>
  </w:style>
  <w:style w:type="paragraph" w:customStyle="1" w:styleId="Pro-Text">
    <w:name w:val="Pro-Text"/>
    <w:basedOn w:val="Standard"/>
    <w:autoRedefine/>
    <w:pPr>
      <w:jc w:val="both"/>
    </w:pPr>
    <w:rPr>
      <w:rFonts w:ascii="Arial (W1)" w:hAnsi="Arial (W1)" w:cs="Arial"/>
      <w:szCs w:val="24"/>
    </w:rPr>
  </w:style>
  <w:style w:type="paragraph" w:customStyle="1" w:styleId="Pro-Text-Einge">
    <w:name w:val="Pro-Text-Einge"/>
    <w:basedOn w:val="Standard"/>
    <w:link w:val="Pro-Text-EingeZchn"/>
    <w:autoRedefine/>
    <w:rPr>
      <w:rFonts w:ascii="Arial (W1)" w:hAnsi="Arial (W1)"/>
      <w:b/>
      <w:sz w:val="24"/>
      <w:szCs w:val="22"/>
      <w:lang w:val="x-none" w:eastAsia="x-none"/>
    </w:rPr>
  </w:style>
  <w:style w:type="paragraph" w:customStyle="1" w:styleId="Pro-ber-Tab">
    <w:name w:val="Pro-Über-Tab"/>
    <w:basedOn w:val="Standard"/>
    <w:pPr>
      <w:jc w:val="center"/>
    </w:pPr>
    <w:rPr>
      <w:rFonts w:ascii="Arial (W1)" w:hAnsi="Arial (W1)" w:cs="Arial"/>
      <w:b/>
      <w:szCs w:val="24"/>
    </w:rPr>
  </w:style>
  <w:style w:type="paragraph" w:styleId="Verzeichnis1">
    <w:name w:val="toc 1"/>
    <w:aliases w:val="Pro-IV-1"/>
    <w:basedOn w:val="Standard"/>
    <w:next w:val="Standard"/>
    <w:autoRedefine/>
    <w:uiPriority w:val="39"/>
    <w:pPr>
      <w:tabs>
        <w:tab w:val="left" w:pos="851"/>
        <w:tab w:val="right" w:leader="dot" w:pos="10080"/>
      </w:tabs>
      <w:spacing w:line="360" w:lineRule="auto"/>
      <w:ind w:left="851" w:hanging="851"/>
    </w:pPr>
    <w:rPr>
      <w:rFonts w:ascii="Arial (W1)" w:hAnsi="Arial (W1)" w:cs="Arial"/>
      <w:b/>
      <w:szCs w:val="24"/>
    </w:rPr>
  </w:style>
  <w:style w:type="paragraph" w:styleId="Verzeichnis2">
    <w:name w:val="toc 2"/>
    <w:aliases w:val="Pro-IV-2"/>
    <w:basedOn w:val="Standard"/>
    <w:next w:val="Standard"/>
    <w:autoRedefine/>
    <w:uiPriority w:val="39"/>
    <w:pPr>
      <w:tabs>
        <w:tab w:val="right" w:leader="dot" w:pos="10080"/>
      </w:tabs>
      <w:spacing w:line="360" w:lineRule="auto"/>
      <w:ind w:left="851" w:hanging="567"/>
    </w:pPr>
    <w:rPr>
      <w:rFonts w:ascii="Arial (W1)" w:hAnsi="Arial (W1)" w:cs="Arial"/>
      <w:noProof/>
      <w:szCs w:val="24"/>
    </w:rPr>
  </w:style>
  <w:style w:type="paragraph" w:styleId="Verzeichnis3">
    <w:name w:val="toc 3"/>
    <w:aliases w:val="Pro-IV-3"/>
    <w:basedOn w:val="Standard"/>
    <w:next w:val="Standard"/>
    <w:autoRedefine/>
    <w:uiPriority w:val="39"/>
    <w:pPr>
      <w:tabs>
        <w:tab w:val="left" w:pos="1680"/>
        <w:tab w:val="right" w:leader="dot" w:pos="10080"/>
      </w:tabs>
      <w:spacing w:line="360" w:lineRule="auto"/>
      <w:ind w:left="964" w:hanging="113"/>
    </w:pPr>
    <w:rPr>
      <w:rFonts w:ascii="Arial (W1)" w:hAnsi="Arial (W1)" w:cs="Arial"/>
      <w:szCs w:val="24"/>
    </w:rPr>
  </w:style>
  <w:style w:type="paragraph" w:styleId="Verzeichnis4">
    <w:name w:val="toc 4"/>
    <w:aliases w:val="Pro-IV-4"/>
    <w:basedOn w:val="Standard"/>
    <w:next w:val="Standard"/>
    <w:autoRedefine/>
    <w:uiPriority w:val="39"/>
    <w:pPr>
      <w:tabs>
        <w:tab w:val="right" w:leader="dot" w:pos="10080"/>
      </w:tabs>
      <w:spacing w:line="360" w:lineRule="auto"/>
      <w:ind w:left="851"/>
    </w:pPr>
    <w:rPr>
      <w:rFonts w:ascii="Arial (W1)" w:hAnsi="Arial (W1)" w:cs="Arial"/>
      <w:noProof/>
      <w:szCs w:val="24"/>
    </w:rPr>
  </w:style>
  <w:style w:type="character" w:styleId="Hyperlink">
    <w:name w:val="Hyperlink"/>
    <w:uiPriority w:val="99"/>
    <w:rPr>
      <w:color w:val="0000FF"/>
      <w:u w:val="single"/>
    </w:rPr>
  </w:style>
  <w:style w:type="paragraph" w:customStyle="1" w:styleId="Pro-Abst-Zeich-Tab">
    <w:name w:val="Pro-Abst-Zeich-Tab"/>
    <w:basedOn w:val="Standard"/>
    <w:pPr>
      <w:jc w:val="center"/>
    </w:pPr>
    <w:rPr>
      <w:rFonts w:cs="Arial"/>
      <w:sz w:val="24"/>
      <w:szCs w:val="24"/>
    </w:rPr>
  </w:style>
  <w:style w:type="character" w:customStyle="1" w:styleId="Pro-Text-EingeZchn">
    <w:name w:val="Pro-Text-Einge Zchn"/>
    <w:link w:val="Pro-Text-Einge"/>
    <w:rPr>
      <w:rFonts w:ascii="Arial (W1)" w:hAnsi="Arial (W1)"/>
      <w:b/>
      <w:sz w:val="24"/>
      <w:szCs w:val="22"/>
      <w:lang w:val="x-none" w:eastAsia="x-none"/>
    </w:rPr>
  </w:style>
  <w:style w:type="character" w:styleId="Fett">
    <w:name w:val="Strong"/>
    <w:uiPriority w:val="22"/>
    <w:qFormat/>
    <w:rPr>
      <w:rFonts w:ascii="Arial" w:hAnsi="Arial"/>
      <w:b/>
      <w:bCs/>
      <w:sz w:val="22"/>
    </w:rPr>
  </w:style>
  <w:style w:type="paragraph" w:styleId="Listenabsatz">
    <w:name w:val="List Paragraph"/>
    <w:basedOn w:val="Standard"/>
    <w:uiPriority w:val="34"/>
    <w:qFormat/>
    <w:pPr>
      <w:ind w:left="708"/>
    </w:pPr>
  </w:style>
  <w:style w:type="paragraph" w:styleId="Dokumentstruktur">
    <w:name w:val="Document Map"/>
    <w:basedOn w:val="Standard"/>
    <w:link w:val="DokumentstrukturZchn"/>
    <w:rPr>
      <w:rFonts w:ascii="Tahoma" w:hAnsi="Tahoma"/>
      <w:sz w:val="16"/>
      <w:szCs w:val="16"/>
      <w:lang w:val="x-none" w:eastAsia="x-none"/>
    </w:rPr>
  </w:style>
  <w:style w:type="character" w:customStyle="1" w:styleId="DokumentstrukturZchn">
    <w:name w:val="Dokumentstruktur Zchn"/>
    <w:link w:val="Dokumentstruktur"/>
    <w:rPr>
      <w:rFonts w:ascii="Tahoma" w:hAnsi="Tahoma" w:cs="Tahoma"/>
      <w:sz w:val="16"/>
      <w:szCs w:val="16"/>
    </w:rPr>
  </w:style>
  <w:style w:type="character" w:customStyle="1" w:styleId="KopfzeileZchn">
    <w:name w:val="Kopfzeile Zchn"/>
    <w:basedOn w:val="Absatz-Standardschriftart"/>
    <w:link w:val="Kopfzeile"/>
  </w:style>
  <w:style w:type="character" w:customStyle="1" w:styleId="berschrift2Zchn">
    <w:name w:val="Überschrift 2 Zchn"/>
    <w:link w:val="berschrift2"/>
    <w:rPr>
      <w:rFonts w:ascii="Arial" w:hAnsi="Arial" w:cs="Arial"/>
      <w:b/>
      <w:bCs/>
      <w:sz w:val="24"/>
      <w:szCs w:val="24"/>
      <w:lang w:val="de-DE" w:eastAsia="de-DE"/>
    </w:rPr>
  </w:style>
  <w:style w:type="numbering" w:customStyle="1" w:styleId="Formatvorlage1">
    <w:name w:val="Formatvorlage1"/>
    <w:uiPriority w:val="99"/>
    <w:pPr>
      <w:numPr>
        <w:numId w:val="2"/>
      </w:numPr>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rPr>
      <w:i/>
      <w:iC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E74B5" w:themeColor="accent1" w:themeShade="BF"/>
      <w:sz w:val="22"/>
      <w:lang w:val="de-DE" w:eastAsia="de-DE"/>
    </w:rPr>
  </w:style>
  <w:style w:type="character" w:customStyle="1" w:styleId="berschrift6Zchn">
    <w:name w:val="Überschrift 6 Zchn"/>
    <w:basedOn w:val="Absatz-Standardschriftart"/>
    <w:link w:val="berschrift6"/>
    <w:semiHidden/>
    <w:rPr>
      <w:rFonts w:asciiTheme="majorHAnsi" w:eastAsiaTheme="majorEastAsia" w:hAnsiTheme="majorHAnsi" w:cstheme="majorBidi"/>
      <w:color w:val="1F4D78" w:themeColor="accent1" w:themeShade="7F"/>
      <w:sz w:val="22"/>
      <w:lang w:val="de-DE" w:eastAsia="de-DE"/>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1F4D78" w:themeColor="accent1" w:themeShade="7F"/>
      <w:sz w:val="22"/>
      <w:lang w:val="de-DE" w:eastAsia="de-DE"/>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lang w:val="de-DE" w:eastAsia="de-DE"/>
    </w:rPr>
  </w:style>
  <w:style w:type="paragraph" w:styleId="StandardWeb">
    <w:name w:val="Normal (Web)"/>
    <w:basedOn w:val="Standard"/>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H1">
    <w:name w:val="H1"/>
    <w:basedOn w:val="Standard"/>
    <w:link w:val="H1Zchn"/>
    <w:qFormat/>
    <w:pPr>
      <w:kinsoku w:val="0"/>
      <w:overflowPunct w:val="0"/>
      <w:spacing w:line="240" w:lineRule="auto"/>
      <w:ind w:left="20"/>
    </w:pPr>
    <w:rPr>
      <w:b/>
      <w:bCs/>
      <w:color w:val="E40428"/>
      <w:sz w:val="40"/>
      <w:szCs w:val="40"/>
    </w:rPr>
  </w:style>
  <w:style w:type="character" w:customStyle="1" w:styleId="H1Zchn">
    <w:name w:val="H1 Zchn"/>
    <w:basedOn w:val="Absatz-Standardschriftart"/>
    <w:link w:val="H1"/>
    <w:rPr>
      <w:rFonts w:ascii="Arial" w:hAnsi="Arial"/>
      <w:b/>
      <w:bCs/>
      <w:color w:val="E40428"/>
      <w:sz w:val="40"/>
      <w:szCs w:val="40"/>
      <w:lang w:val="de-DE" w:eastAsia="de-DE"/>
    </w:rPr>
  </w:style>
  <w:style w:type="paragraph" w:customStyle="1" w:styleId="H2">
    <w:name w:val="H2"/>
    <w:basedOn w:val="berschrift1"/>
    <w:link w:val="H2Zchn"/>
    <w:qFormat/>
    <w:pPr>
      <w:keepNext w:val="0"/>
      <w:numPr>
        <w:numId w:val="0"/>
      </w:numPr>
      <w:kinsoku w:val="0"/>
      <w:overflowPunct w:val="0"/>
      <w:spacing w:before="0" w:after="0" w:line="240" w:lineRule="auto"/>
      <w:ind w:left="20" w:right="0"/>
    </w:pPr>
    <w:rPr>
      <w:rFonts w:cs="Times New Roman"/>
      <w:b w:val="0"/>
      <w:bCs w:val="0"/>
      <w:color w:val="231F20"/>
      <w:kern w:val="0"/>
    </w:rPr>
  </w:style>
  <w:style w:type="character" w:customStyle="1" w:styleId="H2Zchn">
    <w:name w:val="H2 Zchn"/>
    <w:basedOn w:val="Absatz-Standardschriftart"/>
    <w:link w:val="H2"/>
    <w:rPr>
      <w:rFonts w:ascii="Arial" w:hAnsi="Arial"/>
      <w:color w:val="231F20"/>
      <w:sz w:val="28"/>
      <w:szCs w:val="28"/>
      <w:lang w:val="de-DE" w:eastAsia="de-DE"/>
    </w:rPr>
  </w:style>
  <w:style w:type="paragraph" w:customStyle="1" w:styleId="EinfAbs">
    <w:name w:val="[Einf. Abs.]"/>
    <w:basedOn w:val="Standard"/>
    <w:uiPriority w:val="99"/>
    <w:pPr>
      <w:autoSpaceDE w:val="0"/>
      <w:autoSpaceDN w:val="0"/>
      <w:adjustRightInd w:val="0"/>
      <w:spacing w:line="288" w:lineRule="auto"/>
      <w:textAlignment w:val="center"/>
    </w:pPr>
    <w:rPr>
      <w:rFonts w:ascii="MinionPro-Regular" w:hAnsi="MinionPro-Regular" w:cs="MinionPro-Regular"/>
      <w:color w:val="000000"/>
      <w:sz w:val="24"/>
      <w:szCs w:val="24"/>
      <w:lang w:eastAsia="en-GB"/>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iPriority w:val="99"/>
    <w:unhideWhenUsed/>
    <w:pPr>
      <w:spacing w:after="160" w:line="240" w:lineRule="auto"/>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rPr>
      <w:rFonts w:asciiTheme="minorHAnsi" w:eastAsiaTheme="minorHAnsi" w:hAnsiTheme="minorHAnsi" w:cstheme="minorBidi"/>
      <w:lang w:val="de-DE" w:eastAsia="en-US"/>
    </w:rPr>
  </w:style>
  <w:style w:type="paragraph" w:styleId="Kommentarthema">
    <w:name w:val="annotation subject"/>
    <w:basedOn w:val="Kommentartext"/>
    <w:next w:val="Kommentartext"/>
    <w:link w:val="KommentarthemaZchn"/>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rPr>
      <w:rFonts w:ascii="Arial" w:eastAsiaTheme="minorHAnsi" w:hAnsi="Arial" w:cstheme="minorBidi"/>
      <w:b/>
      <w:bCs/>
      <w:lang w:val="de-DE" w:eastAsia="de-DE"/>
    </w:rPr>
  </w:style>
  <w:style w:type="paragraph" w:customStyle="1" w:styleId="mb-2">
    <w:name w:val="mb-2"/>
    <w:basedOn w:val="Standar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11749">
      <w:bodyDiv w:val="1"/>
      <w:marLeft w:val="0"/>
      <w:marRight w:val="0"/>
      <w:marTop w:val="0"/>
      <w:marBottom w:val="0"/>
      <w:divBdr>
        <w:top w:val="none" w:sz="0" w:space="0" w:color="auto"/>
        <w:left w:val="none" w:sz="0" w:space="0" w:color="auto"/>
        <w:bottom w:val="none" w:sz="0" w:space="0" w:color="auto"/>
        <w:right w:val="none" w:sz="0" w:space="0" w:color="auto"/>
      </w:divBdr>
    </w:div>
    <w:div w:id="832112929">
      <w:bodyDiv w:val="1"/>
      <w:marLeft w:val="0"/>
      <w:marRight w:val="0"/>
      <w:marTop w:val="0"/>
      <w:marBottom w:val="0"/>
      <w:divBdr>
        <w:top w:val="none" w:sz="0" w:space="0" w:color="auto"/>
        <w:left w:val="none" w:sz="0" w:space="0" w:color="auto"/>
        <w:bottom w:val="none" w:sz="0" w:space="0" w:color="auto"/>
        <w:right w:val="none" w:sz="0" w:space="0" w:color="auto"/>
      </w:divBdr>
    </w:div>
    <w:div w:id="1028532637">
      <w:bodyDiv w:val="1"/>
      <w:marLeft w:val="0"/>
      <w:marRight w:val="0"/>
      <w:marTop w:val="0"/>
      <w:marBottom w:val="0"/>
      <w:divBdr>
        <w:top w:val="none" w:sz="0" w:space="0" w:color="auto"/>
        <w:left w:val="none" w:sz="0" w:space="0" w:color="auto"/>
        <w:bottom w:val="none" w:sz="0" w:space="0" w:color="auto"/>
        <w:right w:val="none" w:sz="0" w:space="0" w:color="auto"/>
      </w:divBdr>
      <w:divsChild>
        <w:div w:id="1834249202">
          <w:marLeft w:val="0"/>
          <w:marRight w:val="0"/>
          <w:marTop w:val="0"/>
          <w:marBottom w:val="0"/>
          <w:divBdr>
            <w:top w:val="none" w:sz="0" w:space="0" w:color="auto"/>
            <w:left w:val="none" w:sz="0" w:space="0" w:color="auto"/>
            <w:bottom w:val="none" w:sz="0" w:space="0" w:color="auto"/>
            <w:right w:val="none" w:sz="0" w:space="0" w:color="auto"/>
          </w:divBdr>
          <w:divsChild>
            <w:div w:id="1898589467">
              <w:marLeft w:val="0"/>
              <w:marRight w:val="0"/>
              <w:marTop w:val="0"/>
              <w:marBottom w:val="0"/>
              <w:divBdr>
                <w:top w:val="none" w:sz="0" w:space="0" w:color="auto"/>
                <w:left w:val="none" w:sz="0" w:space="0" w:color="auto"/>
                <w:bottom w:val="none" w:sz="0" w:space="0" w:color="auto"/>
                <w:right w:val="none" w:sz="0" w:space="0" w:color="auto"/>
              </w:divBdr>
              <w:divsChild>
                <w:div w:id="10622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079">
      <w:bodyDiv w:val="1"/>
      <w:marLeft w:val="0"/>
      <w:marRight w:val="0"/>
      <w:marTop w:val="0"/>
      <w:marBottom w:val="0"/>
      <w:divBdr>
        <w:top w:val="none" w:sz="0" w:space="0" w:color="auto"/>
        <w:left w:val="none" w:sz="0" w:space="0" w:color="auto"/>
        <w:bottom w:val="none" w:sz="0" w:space="0" w:color="auto"/>
        <w:right w:val="none" w:sz="0" w:space="0" w:color="auto"/>
      </w:divBdr>
    </w:div>
    <w:div w:id="1708216815">
      <w:bodyDiv w:val="1"/>
      <w:marLeft w:val="0"/>
      <w:marRight w:val="0"/>
      <w:marTop w:val="0"/>
      <w:marBottom w:val="0"/>
      <w:divBdr>
        <w:top w:val="none" w:sz="0" w:space="0" w:color="auto"/>
        <w:left w:val="none" w:sz="0" w:space="0" w:color="auto"/>
        <w:bottom w:val="none" w:sz="0" w:space="0" w:color="auto"/>
        <w:right w:val="none" w:sz="0" w:space="0" w:color="auto"/>
      </w:divBdr>
    </w:div>
    <w:div w:id="20579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lin.link/lindner-group_esg_whitepaper" TargetMode="External"/><Relationship Id="rId13" Type="http://schemas.openxmlformats.org/officeDocument/2006/relationships/hyperlink" Target="http://www.instagram.com/lindner_grou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nterest.de/lindnergrou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lindner-grou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ndner-Grou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acebook.com/LindnerGroup.Karrie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49EEE-C873-4610-B0DC-D6411485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Lindner AG</Company>
  <LinksUpToDate>false</LinksUpToDate>
  <CharactersWithSpaces>3326</CharactersWithSpaces>
  <SharedDoc>false</SharedDoc>
  <HLinks>
    <vt:vector size="72" baseType="variant">
      <vt:variant>
        <vt:i4>1376317</vt:i4>
      </vt:variant>
      <vt:variant>
        <vt:i4>68</vt:i4>
      </vt:variant>
      <vt:variant>
        <vt:i4>0</vt:i4>
      </vt:variant>
      <vt:variant>
        <vt:i4>5</vt:i4>
      </vt:variant>
      <vt:variant>
        <vt:lpwstr/>
      </vt:variant>
      <vt:variant>
        <vt:lpwstr>_Toc381775884</vt:lpwstr>
      </vt:variant>
      <vt:variant>
        <vt:i4>1376317</vt:i4>
      </vt:variant>
      <vt:variant>
        <vt:i4>62</vt:i4>
      </vt:variant>
      <vt:variant>
        <vt:i4>0</vt:i4>
      </vt:variant>
      <vt:variant>
        <vt:i4>5</vt:i4>
      </vt:variant>
      <vt:variant>
        <vt:lpwstr/>
      </vt:variant>
      <vt:variant>
        <vt:lpwstr>_Toc381775883</vt:lpwstr>
      </vt:variant>
      <vt:variant>
        <vt:i4>1376317</vt:i4>
      </vt:variant>
      <vt:variant>
        <vt:i4>56</vt:i4>
      </vt:variant>
      <vt:variant>
        <vt:i4>0</vt:i4>
      </vt:variant>
      <vt:variant>
        <vt:i4>5</vt:i4>
      </vt:variant>
      <vt:variant>
        <vt:lpwstr/>
      </vt:variant>
      <vt:variant>
        <vt:lpwstr>_Toc381775882</vt:lpwstr>
      </vt:variant>
      <vt:variant>
        <vt:i4>1376317</vt:i4>
      </vt:variant>
      <vt:variant>
        <vt:i4>50</vt:i4>
      </vt:variant>
      <vt:variant>
        <vt:i4>0</vt:i4>
      </vt:variant>
      <vt:variant>
        <vt:i4>5</vt:i4>
      </vt:variant>
      <vt:variant>
        <vt:lpwstr/>
      </vt:variant>
      <vt:variant>
        <vt:lpwstr>_Toc381775881</vt:lpwstr>
      </vt:variant>
      <vt:variant>
        <vt:i4>1376317</vt:i4>
      </vt:variant>
      <vt:variant>
        <vt:i4>44</vt:i4>
      </vt:variant>
      <vt:variant>
        <vt:i4>0</vt:i4>
      </vt:variant>
      <vt:variant>
        <vt:i4>5</vt:i4>
      </vt:variant>
      <vt:variant>
        <vt:lpwstr/>
      </vt:variant>
      <vt:variant>
        <vt:lpwstr>_Toc381775880</vt:lpwstr>
      </vt:variant>
      <vt:variant>
        <vt:i4>1703997</vt:i4>
      </vt:variant>
      <vt:variant>
        <vt:i4>38</vt:i4>
      </vt:variant>
      <vt:variant>
        <vt:i4>0</vt:i4>
      </vt:variant>
      <vt:variant>
        <vt:i4>5</vt:i4>
      </vt:variant>
      <vt:variant>
        <vt:lpwstr/>
      </vt:variant>
      <vt:variant>
        <vt:lpwstr>_Toc381775879</vt:lpwstr>
      </vt:variant>
      <vt:variant>
        <vt:i4>1703997</vt:i4>
      </vt:variant>
      <vt:variant>
        <vt:i4>32</vt:i4>
      </vt:variant>
      <vt:variant>
        <vt:i4>0</vt:i4>
      </vt:variant>
      <vt:variant>
        <vt:i4>5</vt:i4>
      </vt:variant>
      <vt:variant>
        <vt:lpwstr/>
      </vt:variant>
      <vt:variant>
        <vt:lpwstr>_Toc381775878</vt:lpwstr>
      </vt:variant>
      <vt:variant>
        <vt:i4>1703997</vt:i4>
      </vt:variant>
      <vt:variant>
        <vt:i4>26</vt:i4>
      </vt:variant>
      <vt:variant>
        <vt:i4>0</vt:i4>
      </vt:variant>
      <vt:variant>
        <vt:i4>5</vt:i4>
      </vt:variant>
      <vt:variant>
        <vt:lpwstr/>
      </vt:variant>
      <vt:variant>
        <vt:lpwstr>_Toc381775877</vt:lpwstr>
      </vt:variant>
      <vt:variant>
        <vt:i4>1703997</vt:i4>
      </vt:variant>
      <vt:variant>
        <vt:i4>20</vt:i4>
      </vt:variant>
      <vt:variant>
        <vt:i4>0</vt:i4>
      </vt:variant>
      <vt:variant>
        <vt:i4>5</vt:i4>
      </vt:variant>
      <vt:variant>
        <vt:lpwstr/>
      </vt:variant>
      <vt:variant>
        <vt:lpwstr>_Toc381775876</vt:lpwstr>
      </vt:variant>
      <vt:variant>
        <vt:i4>1703997</vt:i4>
      </vt:variant>
      <vt:variant>
        <vt:i4>14</vt:i4>
      </vt:variant>
      <vt:variant>
        <vt:i4>0</vt:i4>
      </vt:variant>
      <vt:variant>
        <vt:i4>5</vt:i4>
      </vt:variant>
      <vt:variant>
        <vt:lpwstr/>
      </vt:variant>
      <vt:variant>
        <vt:lpwstr>_Toc381775875</vt:lpwstr>
      </vt:variant>
      <vt:variant>
        <vt:i4>1703997</vt:i4>
      </vt:variant>
      <vt:variant>
        <vt:i4>8</vt:i4>
      </vt:variant>
      <vt:variant>
        <vt:i4>0</vt:i4>
      </vt:variant>
      <vt:variant>
        <vt:i4>5</vt:i4>
      </vt:variant>
      <vt:variant>
        <vt:lpwstr/>
      </vt:variant>
      <vt:variant>
        <vt:lpwstr>_Toc381775874</vt:lpwstr>
      </vt:variant>
      <vt:variant>
        <vt:i4>1703997</vt:i4>
      </vt:variant>
      <vt:variant>
        <vt:i4>2</vt:i4>
      </vt:variant>
      <vt:variant>
        <vt:i4>0</vt:i4>
      </vt:variant>
      <vt:variant>
        <vt:i4>5</vt:i4>
      </vt:variant>
      <vt:variant>
        <vt:lpwstr/>
      </vt:variant>
      <vt:variant>
        <vt:lpwstr>_Toc381775873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Kos</dc:creator>
  <cp:keywords/>
  <cp:lastModifiedBy>Christina Rieger</cp:lastModifiedBy>
  <cp:revision>3</cp:revision>
  <cp:lastPrinted>2024-10-31T09:43:00Z</cp:lastPrinted>
  <dcterms:created xsi:type="dcterms:W3CDTF">2025-01-23T12:56:00Z</dcterms:created>
  <dcterms:modified xsi:type="dcterms:W3CDTF">2025-01-24T08:22:00Z</dcterms:modified>
</cp:coreProperties>
</file>