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9342" w14:textId="77777777" w:rsidR="001E2C28" w:rsidRDefault="001E2C28" w:rsidP="001E2C28">
      <w:r>
        <w:rPr>
          <w:noProof/>
          <w:lang w:eastAsia="de-DE"/>
        </w:rPr>
        <w:drawing>
          <wp:anchor distT="0" distB="0" distL="114300" distR="114300" simplePos="0" relativeHeight="251659264" behindDoc="0" locked="0" layoutInCell="1" allowOverlap="1" wp14:anchorId="15AABEE5" wp14:editId="526A1621">
            <wp:simplePos x="0" y="0"/>
            <wp:positionH relativeFrom="column">
              <wp:posOffset>3938905</wp:posOffset>
            </wp:positionH>
            <wp:positionV relativeFrom="paragraph">
              <wp:posOffset>0</wp:posOffset>
            </wp:positionV>
            <wp:extent cx="1950720" cy="341630"/>
            <wp:effectExtent l="0" t="0" r="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0720" cy="341630"/>
                    </a:xfrm>
                    <a:prstGeom prst="rect">
                      <a:avLst/>
                    </a:prstGeom>
                    <a:noFill/>
                  </pic:spPr>
                </pic:pic>
              </a:graphicData>
            </a:graphic>
          </wp:anchor>
        </w:drawing>
      </w:r>
    </w:p>
    <w:p w14:paraId="49D738AC" w14:textId="77777777" w:rsidR="001E2C28" w:rsidRDefault="001E2C28" w:rsidP="001E2C28"/>
    <w:p w14:paraId="60A5F553" w14:textId="77777777" w:rsidR="001E2C28" w:rsidRDefault="001E2C28" w:rsidP="001E2C28"/>
    <w:p w14:paraId="59C15EFF" w14:textId="77777777" w:rsidR="001E2C28" w:rsidRPr="00BD57C1" w:rsidRDefault="001E2C28" w:rsidP="001E2C28">
      <w:pPr>
        <w:rPr>
          <w:rFonts w:ascii="Plain Thin" w:hAnsi="Plain Thin"/>
          <w:sz w:val="24"/>
          <w:szCs w:val="24"/>
        </w:rPr>
      </w:pPr>
      <w:r w:rsidRPr="00BD57C1">
        <w:rPr>
          <w:rFonts w:ascii="Plain Thin" w:hAnsi="Plain Thin"/>
          <w:sz w:val="24"/>
          <w:szCs w:val="24"/>
        </w:rPr>
        <w:t>PRESSEINFORMATION</w:t>
      </w:r>
    </w:p>
    <w:p w14:paraId="6A66416A" w14:textId="62F5CB79" w:rsidR="00B60EE7" w:rsidRPr="00215EE1" w:rsidRDefault="001E2C28" w:rsidP="001E2C28">
      <w:pPr>
        <w:rPr>
          <w:rFonts w:ascii="Plain Light" w:hAnsi="Plain Light"/>
          <w:sz w:val="40"/>
          <w:szCs w:val="40"/>
        </w:rPr>
      </w:pPr>
      <w:r w:rsidRPr="00215EE1">
        <w:rPr>
          <w:rFonts w:ascii="Plain Light" w:hAnsi="Plain Light"/>
          <w:sz w:val="40"/>
          <w:szCs w:val="40"/>
        </w:rPr>
        <w:t>„</w:t>
      </w:r>
      <w:r w:rsidR="001D4713" w:rsidRPr="001D4713">
        <w:rPr>
          <w:rFonts w:ascii="Plain Light" w:hAnsi="Plain Light"/>
          <w:sz w:val="40"/>
          <w:szCs w:val="40"/>
        </w:rPr>
        <w:t>Der Erfolg des Unternehmens beginnt bei der Bezahlung der Mitarbeiter</w:t>
      </w:r>
      <w:r w:rsidRPr="00215EE1">
        <w:rPr>
          <w:rFonts w:ascii="Plain Light" w:hAnsi="Plain Light"/>
          <w:sz w:val="40"/>
          <w:szCs w:val="40"/>
        </w:rPr>
        <w:t>“</w:t>
      </w:r>
      <w:r w:rsidR="00B60EE7" w:rsidRPr="00215EE1">
        <w:rPr>
          <w:rFonts w:ascii="Plain Light" w:hAnsi="Plain Light"/>
          <w:sz w:val="40"/>
          <w:szCs w:val="40"/>
        </w:rPr>
        <w:t xml:space="preserve">: </w:t>
      </w:r>
      <w:r w:rsidR="001D4713" w:rsidRPr="001D4713">
        <w:rPr>
          <w:rFonts w:ascii="Plain Light" w:hAnsi="Plain Light"/>
          <w:sz w:val="40"/>
          <w:szCs w:val="40"/>
        </w:rPr>
        <w:t>Christian Schindler von der ETL ADHOGA Wittenberg</w:t>
      </w:r>
      <w:r w:rsidR="001D4713" w:rsidRPr="001D4713">
        <w:rPr>
          <w:rFonts w:ascii="Plain Light" w:hAnsi="Plain Light"/>
          <w:i/>
          <w:iCs/>
          <w:sz w:val="40"/>
          <w:szCs w:val="40"/>
        </w:rPr>
        <w:t xml:space="preserve"> </w:t>
      </w:r>
      <w:r w:rsidR="00CF64BF" w:rsidRPr="00215EE1">
        <w:rPr>
          <w:rFonts w:ascii="Plain Light" w:hAnsi="Plain Light"/>
          <w:sz w:val="40"/>
          <w:szCs w:val="40"/>
        </w:rPr>
        <w:t xml:space="preserve">über </w:t>
      </w:r>
      <w:r w:rsidR="001D4713">
        <w:rPr>
          <w:rFonts w:ascii="Plain Light" w:hAnsi="Plain Light"/>
          <w:sz w:val="40"/>
          <w:szCs w:val="40"/>
        </w:rPr>
        <w:t>die schwierige Beziehung zwischen Gastronomie und Minijobs</w:t>
      </w:r>
    </w:p>
    <w:p w14:paraId="6FE8651C" w14:textId="77777777" w:rsidR="00C3060F" w:rsidRDefault="00C3060F" w:rsidP="001E2C28">
      <w:pPr>
        <w:rPr>
          <w:rFonts w:ascii="Plain Light" w:hAnsi="Plain Light"/>
        </w:rPr>
      </w:pPr>
    </w:p>
    <w:p w14:paraId="417BC8B3" w14:textId="31318213" w:rsidR="001E2C28" w:rsidRPr="00C3060F" w:rsidRDefault="00690283" w:rsidP="001D4713">
      <w:pPr>
        <w:rPr>
          <w:rFonts w:ascii="Plain Thin" w:hAnsi="Plain Thin"/>
          <w:b/>
          <w:i/>
        </w:rPr>
      </w:pPr>
      <w:r>
        <w:rPr>
          <w:rFonts w:ascii="Plain Thin" w:hAnsi="Plain Thin"/>
          <w:b/>
          <w:i/>
        </w:rPr>
        <w:t xml:space="preserve">Berlin/Essen. </w:t>
      </w:r>
      <w:r w:rsidR="00F842E0">
        <w:rPr>
          <w:rFonts w:ascii="Plain Thin" w:hAnsi="Plain Thin"/>
          <w:b/>
          <w:i/>
        </w:rPr>
        <w:t>2</w:t>
      </w:r>
      <w:r w:rsidR="007A027F">
        <w:rPr>
          <w:rFonts w:ascii="Plain Thin" w:hAnsi="Plain Thin"/>
          <w:b/>
          <w:i/>
        </w:rPr>
        <w:t>3</w:t>
      </w:r>
      <w:r w:rsidR="001D4713">
        <w:rPr>
          <w:rFonts w:ascii="Plain Thin" w:hAnsi="Plain Thin"/>
          <w:b/>
          <w:i/>
        </w:rPr>
        <w:t>.02.2022</w:t>
      </w:r>
      <w:r w:rsidR="00C3060F" w:rsidRPr="00C3060F">
        <w:rPr>
          <w:rFonts w:ascii="Plain Thin" w:hAnsi="Plain Thin"/>
          <w:b/>
          <w:i/>
        </w:rPr>
        <w:t xml:space="preserve">. </w:t>
      </w:r>
      <w:r w:rsidR="001D4713" w:rsidRPr="001D4713">
        <w:rPr>
          <w:rFonts w:ascii="Plain Thin" w:hAnsi="Plain Thin"/>
          <w:b/>
          <w:i/>
        </w:rPr>
        <w:t>Laut Arbeitsminister Hubertus Heil soll mit der anstehenden Erhöhung des Mindestlohns auf 12 Euro die Verdienst-Obergrenze für Minijobs am 1. Oktober von 450 auf 520 Euro im Monat steigen. Doch was, wenn damit ein Beschäftigungsverhältnis reformiert wird, dass die in es gesetzten Hoffnungen nie so recht erfüllen konnte – für Arbeitnehmer und Arbeitgeber?</w:t>
      </w:r>
      <w:r w:rsidR="001D4713">
        <w:rPr>
          <w:rFonts w:ascii="Plain Thin" w:hAnsi="Plain Thin"/>
          <w:b/>
          <w:i/>
        </w:rPr>
        <w:t xml:space="preserve"> In</w:t>
      </w:r>
      <w:r w:rsidR="001D4713" w:rsidRPr="001D4713">
        <w:rPr>
          <w:rFonts w:ascii="Plain Thin" w:hAnsi="Plain Thin"/>
          <w:b/>
          <w:i/>
        </w:rPr>
        <w:t xml:space="preserve"> der dritten Folge</w:t>
      </w:r>
      <w:r w:rsidR="001D4713">
        <w:rPr>
          <w:rFonts w:ascii="Plain Thin" w:hAnsi="Plain Thin"/>
          <w:b/>
          <w:i/>
        </w:rPr>
        <w:t xml:space="preserve"> der ETL ADHOGA Interviewreihe</w:t>
      </w:r>
      <w:r w:rsidR="001D4713" w:rsidRPr="001D4713">
        <w:rPr>
          <w:rFonts w:ascii="Plain Thin" w:hAnsi="Plain Thin"/>
          <w:b/>
          <w:i/>
        </w:rPr>
        <w:t xml:space="preserve"> von „Auf einen Espresso…“ </w:t>
      </w:r>
      <w:r w:rsidR="001D4713">
        <w:rPr>
          <w:rFonts w:ascii="Plain Thin" w:hAnsi="Plain Thin"/>
          <w:b/>
          <w:i/>
        </w:rPr>
        <w:t xml:space="preserve">spricht </w:t>
      </w:r>
      <w:r w:rsidR="001D4713" w:rsidRPr="001D4713">
        <w:rPr>
          <w:rFonts w:ascii="Plain Thin" w:hAnsi="Plain Thin"/>
          <w:b/>
          <w:i/>
        </w:rPr>
        <w:t>Christian Schindler von der ETL ADHOGA in Wittenber</w:t>
      </w:r>
      <w:r w:rsidR="001D4713">
        <w:rPr>
          <w:rFonts w:ascii="Plain Thin" w:hAnsi="Plain Thin"/>
          <w:b/>
          <w:i/>
        </w:rPr>
        <w:t xml:space="preserve">g über </w:t>
      </w:r>
      <w:r w:rsidR="001D4713" w:rsidRPr="001D4713">
        <w:rPr>
          <w:rFonts w:ascii="Plain Thin" w:hAnsi="Plain Thin"/>
          <w:b/>
          <w:i/>
        </w:rPr>
        <w:t xml:space="preserve">die vermeintlichen Vorteile des Beschäftigungsverhältnisses in der Gastronomie, ihre Kehrseiten sowie Alternativen für Betriebe im Gastgewerbe. </w:t>
      </w:r>
      <w:r w:rsidR="00FC1DB8">
        <w:rPr>
          <w:rFonts w:ascii="Plain Thin" w:hAnsi="Plain Thin"/>
          <w:b/>
          <w:i/>
        </w:rPr>
        <w:t>Die von der Politik angedachte Erhöhung der Verdienst-Obergrenze hält er für einen Tropfen auf den heißen Stein.</w:t>
      </w:r>
    </w:p>
    <w:p w14:paraId="7FB76278" w14:textId="768B2F89" w:rsidR="001D4713" w:rsidRDefault="00FC1DB8">
      <w:pPr>
        <w:rPr>
          <w:rFonts w:ascii="Plain Thin" w:hAnsi="Plain Thin"/>
        </w:rPr>
      </w:pPr>
      <w:r w:rsidRPr="00FC1DB8">
        <w:rPr>
          <w:rFonts w:ascii="Plain Thin" w:hAnsi="Plain Thin"/>
        </w:rPr>
        <w:t xml:space="preserve">Christian Schindler ist Steuerberater und zertifizierter Berater für das Hotel- und Gaststättengewerbe und beschäftigt sich seit Jahren mit Beschäftigungsmodellen der Branche. </w:t>
      </w:r>
      <w:r w:rsidR="001D4713" w:rsidRPr="001D4713">
        <w:rPr>
          <w:rFonts w:ascii="Plain Thin" w:hAnsi="Plain Thin"/>
        </w:rPr>
        <w:t xml:space="preserve">Gerade die vermeintlichen Vorteile </w:t>
      </w:r>
      <w:r w:rsidR="001D4713">
        <w:rPr>
          <w:rFonts w:ascii="Plain Thin" w:hAnsi="Plain Thin"/>
        </w:rPr>
        <w:t>geringfügiger</w:t>
      </w:r>
      <w:r w:rsidR="001D4713" w:rsidRPr="001D4713">
        <w:rPr>
          <w:rFonts w:ascii="Plain Thin" w:hAnsi="Plain Thin"/>
        </w:rPr>
        <w:t xml:space="preserve"> Beschäftigungsverhältnisse – Stichwort Versicherungen </w:t>
      </w:r>
      <w:r>
        <w:rPr>
          <w:rFonts w:ascii="Plain Thin" w:hAnsi="Plain Thin"/>
        </w:rPr>
        <w:t>–</w:t>
      </w:r>
      <w:r w:rsidR="001D4713" w:rsidRPr="001D4713">
        <w:rPr>
          <w:rFonts w:ascii="Plain Thin" w:hAnsi="Plain Thin"/>
        </w:rPr>
        <w:t xml:space="preserve"> </w:t>
      </w:r>
      <w:r>
        <w:rPr>
          <w:rFonts w:ascii="Plain Thin" w:hAnsi="Plain Thin"/>
        </w:rPr>
        <w:t>hätten sich ihm zufolge</w:t>
      </w:r>
      <w:r w:rsidR="001D4713" w:rsidRPr="001D4713">
        <w:rPr>
          <w:rFonts w:ascii="Plain Thin" w:hAnsi="Plain Thin"/>
        </w:rPr>
        <w:t xml:space="preserve"> in der Corona-Krise als zweischneidiges Schwert</w:t>
      </w:r>
      <w:r>
        <w:rPr>
          <w:rFonts w:ascii="Plain Thin" w:hAnsi="Plain Thin"/>
        </w:rPr>
        <w:t xml:space="preserve"> erwiesen</w:t>
      </w:r>
      <w:r w:rsidR="001D4713" w:rsidRPr="001D4713">
        <w:rPr>
          <w:rFonts w:ascii="Plain Thin" w:hAnsi="Plain Thin"/>
        </w:rPr>
        <w:t>. Denn da 450 Euro-Jobs keinen Anspruch auf Kurzarbeitergeld haben, fielen sie den Lockdown-Folgen als Erste zum Opfer. Die Folgen davon s</w:t>
      </w:r>
      <w:r>
        <w:rPr>
          <w:rFonts w:ascii="Plain Thin" w:hAnsi="Plain Thin"/>
        </w:rPr>
        <w:t>eien</w:t>
      </w:r>
      <w:r w:rsidR="001D4713" w:rsidRPr="001D4713">
        <w:rPr>
          <w:rFonts w:ascii="Plain Thin" w:hAnsi="Plain Thin"/>
        </w:rPr>
        <w:t xml:space="preserve"> bis heute spürbar – besonders in Branchen wie der Gastronomie, in der 450 Euro-Kräfte traditionell verbreitet sind. </w:t>
      </w:r>
    </w:p>
    <w:p w14:paraId="27828E2F" w14:textId="7C57CC63" w:rsidR="00F07420" w:rsidRDefault="00F07420">
      <w:pPr>
        <w:rPr>
          <w:rFonts w:ascii="Plain Thin" w:hAnsi="Plain Thin"/>
        </w:rPr>
      </w:pPr>
      <w:r w:rsidRPr="00215EE1">
        <w:rPr>
          <w:rFonts w:ascii="Plain Thin" w:hAnsi="Plain Thin"/>
        </w:rPr>
        <w:t xml:space="preserve">In der </w:t>
      </w:r>
      <w:r w:rsidR="001D4713">
        <w:rPr>
          <w:rFonts w:ascii="Plain Thin" w:hAnsi="Plain Thin"/>
        </w:rPr>
        <w:t>dritten</w:t>
      </w:r>
      <w:r w:rsidRPr="00215EE1">
        <w:rPr>
          <w:rFonts w:ascii="Plain Thin" w:hAnsi="Plain Thin"/>
        </w:rPr>
        <w:t xml:space="preserve"> Folge der </w:t>
      </w:r>
      <w:hyperlink r:id="rId5" w:history="1">
        <w:r w:rsidRPr="00AB2406">
          <w:rPr>
            <w:rStyle w:val="Hyperlink"/>
            <w:rFonts w:ascii="Plain Thin" w:hAnsi="Plain Thin"/>
          </w:rPr>
          <w:t>ETL ADHOGA</w:t>
        </w:r>
      </w:hyperlink>
      <w:r w:rsidRPr="00215EE1">
        <w:rPr>
          <w:rFonts w:ascii="Plain Thin" w:hAnsi="Plain Thin"/>
        </w:rPr>
        <w:t xml:space="preserve"> Interview-Reihe </w:t>
      </w:r>
      <w:hyperlink r:id="rId6" w:history="1">
        <w:r w:rsidRPr="00AB2406">
          <w:rPr>
            <w:rStyle w:val="Hyperlink"/>
            <w:rFonts w:ascii="Plain Thin" w:hAnsi="Plain Thin"/>
          </w:rPr>
          <w:t>„Auf einen Espresso… Aktuelle Trends und Herausforderungen für Hotellerie und Gastronomie“</w:t>
        </w:r>
      </w:hyperlink>
      <w:r w:rsidRPr="00215EE1">
        <w:rPr>
          <w:rFonts w:ascii="Plain Thin" w:hAnsi="Plain Thin"/>
        </w:rPr>
        <w:t xml:space="preserve"> </w:t>
      </w:r>
      <w:r w:rsidR="001D4713">
        <w:rPr>
          <w:rFonts w:ascii="Plain Thin" w:hAnsi="Plain Thin"/>
        </w:rPr>
        <w:t xml:space="preserve">warnt der aufs Gastgewerbe spezialisierte Steuerberater Christian Schindler Gastronomen davor, eben jene vermeintlichen Vorteile zu überschätzen. </w:t>
      </w:r>
      <w:r w:rsidR="00FC1DB8">
        <w:rPr>
          <w:rFonts w:ascii="Plain Thin" w:hAnsi="Plain Thin"/>
        </w:rPr>
        <w:t>Gerade auf der Kostenebene sei ein großer Pool an geringfügig Beschäftigten unter Umständen teurer als Festangestellte, rechnet er vor: „</w:t>
      </w:r>
      <w:r w:rsidR="00FC1DB8">
        <w:rPr>
          <w:bCs/>
        </w:rPr>
        <w:t>Unter Berücksichtigung des aktuellen Mindestlohns und</w:t>
      </w:r>
      <w:r w:rsidR="00FC1DB8" w:rsidRPr="009A3769">
        <w:rPr>
          <w:bCs/>
        </w:rPr>
        <w:t xml:space="preserve"> den SV-Anteilen kostet das den Arbeitgeber knapp unter 2.100 Euro im Monat. Da die Vollzeitkraft mir im Durchschnitt 173,33h im Monat zur Verfügung steht, benötige ich rechnerisch, um diese Vollzeitkraft mit Minijobs zu ersetzen, 3,8, also vier Aushilfsstellen. Da die Sozialabgaben bei der Aushilfskraft voll beim Arbeitgeber liegen, würde mich das im Durchschnitt 300 Euro mehr im Monat kosten.</w:t>
      </w:r>
      <w:r w:rsidR="00FC1DB8">
        <w:rPr>
          <w:bCs/>
        </w:rPr>
        <w:t>“</w:t>
      </w:r>
    </w:p>
    <w:p w14:paraId="4EC4B970" w14:textId="02EF47A6" w:rsidR="001D4713" w:rsidRPr="00215EE1" w:rsidRDefault="001D4713">
      <w:pPr>
        <w:rPr>
          <w:rFonts w:ascii="Plain Thin" w:hAnsi="Plain Thin"/>
        </w:rPr>
      </w:pPr>
      <w:r>
        <w:rPr>
          <w:rFonts w:ascii="Plain Thin" w:hAnsi="Plain Thin"/>
        </w:rPr>
        <w:t xml:space="preserve">Doch nicht nur auf der Ebene betriebswirtschaftlicher Kalkulation steht Schindler dem Einsatz von Minijobbern eher skeptisch gegenüber. Auch in Sachen Bindung ans Unternehmen und langfristige Motivation seien sozialversicherungspflichtige </w:t>
      </w:r>
      <w:r w:rsidR="00FC1DB8">
        <w:rPr>
          <w:rFonts w:ascii="Plain Thin" w:hAnsi="Plain Thin"/>
        </w:rPr>
        <w:t>Anstellungsverhältnisse im Vorteil: „</w:t>
      </w:r>
      <w:r w:rsidRPr="001D4713">
        <w:rPr>
          <w:rFonts w:ascii="Plain Thin" w:hAnsi="Plain Thin"/>
        </w:rPr>
        <w:t xml:space="preserve">Was ist besser? 20 Aushilfen zu beschäftigen, oder drei sozialversicherungspflichtige Vollzeitstellen? Im ersten Fall müssen 20 Menschen das Unternehmen kennenlernen und eingearbeitet werden, statt nur drei Personen. Zudem sind erstere nicht regelmäßig im Unternehmen, sondern nur wenige Tage im </w:t>
      </w:r>
      <w:r w:rsidRPr="001D4713">
        <w:rPr>
          <w:rFonts w:ascii="Plain Thin" w:hAnsi="Plain Thin"/>
        </w:rPr>
        <w:lastRenderedPageBreak/>
        <w:t>Monat – mitunter auch monatelang überhaupt nicht. Die Bindung ans Unternehmen und zwischen den Mitarbeitern ist dadurch eine ganz andere, die Motivation ist eine andere</w:t>
      </w:r>
      <w:r w:rsidR="00FC1DB8">
        <w:rPr>
          <w:rFonts w:ascii="Plain Thin" w:hAnsi="Plain Thin"/>
        </w:rPr>
        <w:t>“, so Schindler.</w:t>
      </w:r>
    </w:p>
    <w:p w14:paraId="57054729" w14:textId="6BFDE993" w:rsidR="00FC1DB8" w:rsidRPr="001F7BCD" w:rsidRDefault="00FC1DB8" w:rsidP="00FC1DB8">
      <w:pPr>
        <w:rPr>
          <w:bCs/>
        </w:rPr>
      </w:pPr>
      <w:r>
        <w:rPr>
          <w:rFonts w:ascii="Plain Thin" w:hAnsi="Plain Thin"/>
        </w:rPr>
        <w:t>Die von der Bundesregierung angekündigte Erhöhung der Verdienst-Obergrenze von 450 Euro auf 520 Euro im Monat ändere an der bestehenden Problematik wenig, betont Schindler. Vielmehr biete die beinahe zwei Jahre andauernde Corona-Krise Gastronomen eine Gelegenheit,</w:t>
      </w:r>
      <w:r>
        <w:t xml:space="preserve"> „einmal darüber nachzudenken, ob ich nicht aus meinem eigenen Aushilfen-Pool ein SV-pflichtiges Arbeitsverhältnis mache. Damit steigt die Motivation des Mitarbeiters und die Bindung ans Unternehmen. Davon können doch alle profitieren – ist der Mitarbeiter zufrieden, ist der Unternehmer zufrieden. Und was ganz wichtig ist: Am Ende ist dann auch der Gast zufrieden. </w:t>
      </w:r>
      <w:r w:rsidRPr="00F62A32">
        <w:t>Der Erfolg des Unternehmens beginnt bei der Bezahlung der Mitarbeit</w:t>
      </w:r>
      <w:r>
        <w:t>er.</w:t>
      </w:r>
      <w:r w:rsidR="001070A1">
        <w:t>“</w:t>
      </w:r>
    </w:p>
    <w:p w14:paraId="6CAADC9F" w14:textId="0087E3D0" w:rsidR="00FC1DB8" w:rsidRDefault="00FC1DB8">
      <w:pPr>
        <w:rPr>
          <w:rFonts w:ascii="Plain Thin" w:hAnsi="Plain Thin"/>
        </w:rPr>
      </w:pPr>
    </w:p>
    <w:p w14:paraId="01021D65" w14:textId="7F5A3684" w:rsidR="00215EE1" w:rsidRDefault="00215EE1">
      <w:pPr>
        <w:rPr>
          <w:rFonts w:ascii="Plain Thin" w:hAnsi="Plain Thin"/>
        </w:rPr>
      </w:pPr>
      <w:r w:rsidRPr="00215EE1">
        <w:rPr>
          <w:rFonts w:ascii="Plain Thin" w:hAnsi="Plain Thin"/>
        </w:rPr>
        <w:t xml:space="preserve">Das vollständige Interview mit </w:t>
      </w:r>
      <w:r w:rsidR="001070A1">
        <w:rPr>
          <w:rFonts w:ascii="Plain Thin" w:hAnsi="Plain Thin"/>
        </w:rPr>
        <w:t>Christian Schindler</w:t>
      </w:r>
      <w:r w:rsidRPr="00215EE1">
        <w:rPr>
          <w:rFonts w:ascii="Plain Thin" w:hAnsi="Plain Thin"/>
        </w:rPr>
        <w:t xml:space="preserve"> steht hier zum Nachlesen bereit:</w:t>
      </w:r>
    </w:p>
    <w:p w14:paraId="492E647D" w14:textId="248D32F7" w:rsidR="008B3B27" w:rsidRDefault="00DF425C">
      <w:pPr>
        <w:rPr>
          <w:rFonts w:ascii="Plain Thin" w:hAnsi="Plain Thin"/>
        </w:rPr>
      </w:pPr>
      <w:hyperlink r:id="rId7" w:history="1">
        <w:r w:rsidRPr="00DF6B45">
          <w:rPr>
            <w:rStyle w:val="Hyperlink"/>
            <w:rFonts w:ascii="Plain Thin" w:hAnsi="Plain Thin"/>
          </w:rPr>
          <w:t>https://www.etl-adhoga.de/aktuelles/auf-einen-espresso-mit-christian-schindler</w:t>
        </w:r>
      </w:hyperlink>
    </w:p>
    <w:p w14:paraId="6DE11990" w14:textId="77777777" w:rsidR="00A11963" w:rsidRDefault="00A11963">
      <w:pPr>
        <w:rPr>
          <w:rFonts w:ascii="Plain Thin" w:hAnsi="Plain Thin"/>
        </w:rPr>
      </w:pPr>
    </w:p>
    <w:p w14:paraId="13D1DD1D" w14:textId="1EF84219" w:rsidR="008B3B27" w:rsidRDefault="008B3B27">
      <w:pPr>
        <w:rPr>
          <w:rFonts w:ascii="Plain Thin" w:hAnsi="Plain Thin"/>
        </w:rPr>
      </w:pPr>
      <w:r>
        <w:rPr>
          <w:rFonts w:ascii="Plain Thin" w:hAnsi="Plain Thin"/>
        </w:rPr>
        <w:t xml:space="preserve">Hier geht es zum Video in voller Länge: </w:t>
      </w:r>
    </w:p>
    <w:p w14:paraId="350C6A16" w14:textId="2D02C016" w:rsidR="00F842E0" w:rsidRDefault="00A11963">
      <w:pPr>
        <w:rPr>
          <w:rFonts w:ascii="Plain Thin" w:hAnsi="Plain Thin"/>
        </w:rPr>
      </w:pPr>
      <w:hyperlink r:id="rId8" w:history="1">
        <w:r w:rsidRPr="00DF6B45">
          <w:rPr>
            <w:rStyle w:val="Hyperlink"/>
            <w:rFonts w:ascii="Plain Thin" w:hAnsi="Plain Thin"/>
          </w:rPr>
          <w:t>https://www.etl-adhoga.de/auf-einen-espresso/</w:t>
        </w:r>
      </w:hyperlink>
    </w:p>
    <w:p w14:paraId="40AF5F14" w14:textId="77777777" w:rsidR="00A11963" w:rsidRDefault="00A11963">
      <w:pPr>
        <w:rPr>
          <w:rFonts w:ascii="Plain Thin" w:hAnsi="Plain Thin"/>
        </w:rPr>
      </w:pPr>
    </w:p>
    <w:p w14:paraId="7CFFD8D4" w14:textId="77777777" w:rsidR="00A11963" w:rsidRDefault="00C917D0">
      <w:pPr>
        <w:rPr>
          <w:rFonts w:ascii="Plain Thin" w:hAnsi="Plain Thin"/>
        </w:rPr>
      </w:pPr>
      <w:r>
        <w:rPr>
          <w:rFonts w:ascii="Plain Thin" w:hAnsi="Plain Thin"/>
        </w:rPr>
        <w:t xml:space="preserve">Hier geht es zum Podcast: </w:t>
      </w:r>
    </w:p>
    <w:p w14:paraId="5EC1BA0C" w14:textId="55863D2B" w:rsidR="00C917D0" w:rsidRDefault="00A11963">
      <w:pPr>
        <w:rPr>
          <w:rFonts w:ascii="Plain Thin" w:hAnsi="Plain Thin"/>
        </w:rPr>
      </w:pPr>
      <w:hyperlink r:id="rId9" w:history="1">
        <w:r w:rsidRPr="00DF6B45">
          <w:rPr>
            <w:rStyle w:val="Hyperlink"/>
            <w:rFonts w:ascii="Plain Thin" w:hAnsi="Plain Thin"/>
          </w:rPr>
          <w:t>https://etl-adhoga-auf-einen-espresso-mit.podigee.io/</w:t>
        </w:r>
      </w:hyperlink>
    </w:p>
    <w:p w14:paraId="490B5246" w14:textId="77777777" w:rsidR="00215EE1" w:rsidRDefault="00215EE1">
      <w:pPr>
        <w:rPr>
          <w:rFonts w:ascii="Plain Light" w:hAnsi="Plain Light"/>
        </w:rPr>
      </w:pPr>
    </w:p>
    <w:p w14:paraId="52602131" w14:textId="77777777" w:rsidR="00215EE1" w:rsidRPr="00706D90" w:rsidRDefault="00215EE1" w:rsidP="00215EE1">
      <w:pPr>
        <w:spacing w:line="240" w:lineRule="auto"/>
        <w:rPr>
          <w:rFonts w:ascii="Plain" w:eastAsia="Calibri" w:hAnsi="Plain" w:cs="Times New Roman"/>
          <w:b/>
          <w:bCs/>
        </w:rPr>
      </w:pPr>
      <w:r w:rsidRPr="00706D90">
        <w:rPr>
          <w:rFonts w:ascii="Plain" w:eastAsia="Calibri" w:hAnsi="Plain" w:cs="Times New Roman"/>
          <w:b/>
          <w:bCs/>
        </w:rPr>
        <w:t>Über ETL ADHOGA</w:t>
      </w:r>
    </w:p>
    <w:p w14:paraId="4CE645DE" w14:textId="77777777" w:rsidR="00215EE1" w:rsidRPr="00706D90" w:rsidRDefault="00215EE1" w:rsidP="00215EE1">
      <w:pPr>
        <w:spacing w:before="360" w:after="0" w:line="240" w:lineRule="auto"/>
        <w:contextualSpacing/>
        <w:jc w:val="both"/>
        <w:rPr>
          <w:rFonts w:ascii="Plain Thin" w:eastAsia="Calibri" w:hAnsi="Plain Thin" w:cs="Times New Roman"/>
          <w:sz w:val="16"/>
          <w:szCs w:val="16"/>
        </w:rPr>
      </w:pPr>
      <w:r w:rsidRPr="00706D90">
        <w:rPr>
          <w:rFonts w:ascii="Plain Thin" w:eastAsia="Calibri" w:hAnsi="Plain Thin" w:cs="Times New Roman"/>
          <w:sz w:val="16"/>
          <w:szCs w:val="16"/>
        </w:rPr>
        <w:t>Die ETL ADHOGA Steuerberatungsgesellschaft AG ist als Teil der ETL-Gruppe auf die Beratung von Gastronomen und Hoteliers rund um die Themen Steuern, Recht und Unternehmensführung spezialisiert.</w:t>
      </w:r>
    </w:p>
    <w:p w14:paraId="39133329" w14:textId="77777777" w:rsidR="00215EE1" w:rsidRPr="00706D90" w:rsidRDefault="00215EE1" w:rsidP="00215EE1">
      <w:pPr>
        <w:spacing w:before="360" w:after="0" w:line="240" w:lineRule="auto"/>
        <w:contextualSpacing/>
        <w:jc w:val="both"/>
        <w:rPr>
          <w:rFonts w:ascii="Plain Thin" w:eastAsia="Calibri" w:hAnsi="Plain Thin" w:cs="Times New Roman"/>
          <w:sz w:val="16"/>
          <w:szCs w:val="16"/>
        </w:rPr>
      </w:pPr>
      <w:r w:rsidRPr="00706D90">
        <w:rPr>
          <w:rFonts w:ascii="Plain Thin" w:eastAsia="Calibri" w:hAnsi="Plain Thin" w:cs="Times New Roman"/>
          <w:sz w:val="16"/>
          <w:szCs w:val="16"/>
        </w:rPr>
        <w:t>Zu den Leistungen von ADHOGA im Bereich der Steuerberatung für Hotels und Gaststätten zählen die Klassische Steuerberatung, Finanz- und Lohnbuchhaltung, Bilanzen und Steuererklärungen sowie betriebswirtschaftliche Beratung. Deutschlandweit verzeichnen die auf Hotellerie und Gastronomie spezialisierten Berater von ETL ADHOGA bereits über 1.000 Kunden. Im Rahmen der gesamten ETL-Gruppe über 4.000 Hotellerie- und Gastronomiebetriebe betreut.</w:t>
      </w:r>
    </w:p>
    <w:p w14:paraId="309E79BF" w14:textId="77777777" w:rsidR="00215EE1" w:rsidRPr="00706D90" w:rsidRDefault="00215EE1" w:rsidP="00215EE1">
      <w:pPr>
        <w:spacing w:before="360" w:after="0" w:line="240" w:lineRule="auto"/>
        <w:contextualSpacing/>
        <w:jc w:val="both"/>
        <w:rPr>
          <w:rFonts w:ascii="Plain Thin" w:eastAsia="Calibri" w:hAnsi="Plain Thin" w:cs="Times New Roman"/>
          <w:sz w:val="16"/>
          <w:szCs w:val="16"/>
        </w:rPr>
      </w:pPr>
    </w:p>
    <w:p w14:paraId="4AB163A9" w14:textId="77777777" w:rsidR="00215EE1" w:rsidRPr="00706D90" w:rsidRDefault="00215EE1" w:rsidP="00215EE1">
      <w:pPr>
        <w:spacing w:before="360" w:after="0" w:line="240" w:lineRule="auto"/>
        <w:contextualSpacing/>
        <w:jc w:val="both"/>
        <w:rPr>
          <w:rFonts w:ascii="Plain Thin" w:eastAsia="Calibri" w:hAnsi="Plain Thin" w:cs="Times New Roman"/>
          <w:b/>
          <w:sz w:val="16"/>
          <w:szCs w:val="16"/>
        </w:rPr>
      </w:pPr>
      <w:r w:rsidRPr="00706D90">
        <w:rPr>
          <w:rFonts w:ascii="Plain Thin" w:eastAsia="Calibri" w:hAnsi="Plain Thin" w:cs="Times New Roman"/>
          <w:b/>
          <w:sz w:val="16"/>
          <w:szCs w:val="16"/>
        </w:rPr>
        <w:t>Pressekontakt</w:t>
      </w:r>
    </w:p>
    <w:p w14:paraId="12492AFB" w14:textId="77777777" w:rsidR="00215EE1" w:rsidRPr="00706D90" w:rsidRDefault="00215EE1" w:rsidP="00215EE1">
      <w:pPr>
        <w:spacing w:after="0" w:line="240" w:lineRule="auto"/>
        <w:contextualSpacing/>
        <w:jc w:val="both"/>
        <w:rPr>
          <w:rFonts w:ascii="Plain Thin" w:eastAsia="Calibri" w:hAnsi="Plain Thin" w:cs="Calibri Light"/>
          <w:sz w:val="16"/>
          <w:szCs w:val="16"/>
        </w:rPr>
      </w:pPr>
      <w:r w:rsidRPr="00706D90">
        <w:rPr>
          <w:rFonts w:ascii="Plain Thin" w:eastAsia="Calibri" w:hAnsi="Plain Thin" w:cs="Calibri Light"/>
          <w:sz w:val="16"/>
          <w:szCs w:val="16"/>
        </w:rPr>
        <w:t>Danyal Alaybeyoglu, Tel.: 030 22 64 02 30, E-Mail: danyal.alaybeyoglu@etl.de, ETL, Mauerstraße 86-88, 10117 Berlin, www.etl.de</w:t>
      </w:r>
    </w:p>
    <w:p w14:paraId="1C0297D5" w14:textId="77777777" w:rsidR="00215EE1" w:rsidRPr="00DE5D06" w:rsidRDefault="00215EE1" w:rsidP="00215EE1"/>
    <w:p w14:paraId="2A878625" w14:textId="77777777" w:rsidR="00215EE1" w:rsidRDefault="00215EE1">
      <w:pPr>
        <w:rPr>
          <w:rFonts w:ascii="Plain Light" w:hAnsi="Plain Light"/>
        </w:rPr>
      </w:pPr>
    </w:p>
    <w:p w14:paraId="2C320306" w14:textId="77777777" w:rsidR="00215EE1" w:rsidRPr="00F07420" w:rsidRDefault="00215EE1">
      <w:pPr>
        <w:rPr>
          <w:rFonts w:ascii="Plain Light" w:hAnsi="Plain Light"/>
        </w:rPr>
      </w:pPr>
    </w:p>
    <w:sectPr w:rsidR="00215EE1" w:rsidRPr="00F074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in Thin">
    <w:altName w:val="Calibri"/>
    <w:panose1 w:val="00000000000000000000"/>
    <w:charset w:val="00"/>
    <w:family w:val="swiss"/>
    <w:notTrueType/>
    <w:pitch w:val="variable"/>
    <w:sig w:usb0="8000002F" w:usb1="00002000" w:usb2="00000000" w:usb3="00000000" w:csb0="00000093" w:csb1="00000000"/>
  </w:font>
  <w:font w:name="Plain Light">
    <w:altName w:val="Calibri"/>
    <w:panose1 w:val="00000000000000000000"/>
    <w:charset w:val="00"/>
    <w:family w:val="swiss"/>
    <w:notTrueType/>
    <w:pitch w:val="variable"/>
    <w:sig w:usb0="8000002F" w:usb1="00002000" w:usb2="00000000" w:usb3="00000000" w:csb0="00000093" w:csb1="00000000"/>
  </w:font>
  <w:font w:name="Plain">
    <w:altName w:val="Calibri"/>
    <w:panose1 w:val="00000000000000000000"/>
    <w:charset w:val="00"/>
    <w:family w:val="swiss"/>
    <w:notTrueType/>
    <w:pitch w:val="variable"/>
    <w:sig w:usb0="8000002F" w:usb1="00002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28"/>
    <w:rsid w:val="0002335B"/>
    <w:rsid w:val="000B4C1B"/>
    <w:rsid w:val="001070A1"/>
    <w:rsid w:val="001449DB"/>
    <w:rsid w:val="001D4713"/>
    <w:rsid w:val="001D56FD"/>
    <w:rsid w:val="001E2C28"/>
    <w:rsid w:val="00215EE1"/>
    <w:rsid w:val="00396E1E"/>
    <w:rsid w:val="005A62C6"/>
    <w:rsid w:val="00690283"/>
    <w:rsid w:val="007A027F"/>
    <w:rsid w:val="008B3B27"/>
    <w:rsid w:val="00A11963"/>
    <w:rsid w:val="00A337FE"/>
    <w:rsid w:val="00AB2406"/>
    <w:rsid w:val="00AD3DEA"/>
    <w:rsid w:val="00B60EE7"/>
    <w:rsid w:val="00C3060F"/>
    <w:rsid w:val="00C917D0"/>
    <w:rsid w:val="00CE6D36"/>
    <w:rsid w:val="00CF64BF"/>
    <w:rsid w:val="00DF425C"/>
    <w:rsid w:val="00F07420"/>
    <w:rsid w:val="00F842E0"/>
    <w:rsid w:val="00FC1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7569"/>
  <w15:chartTrackingRefBased/>
  <w15:docId w15:val="{7E13ABB5-B329-449D-9715-A3CD19F2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2C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2406"/>
    <w:rPr>
      <w:color w:val="0563C1" w:themeColor="hyperlink"/>
      <w:u w:val="single"/>
    </w:rPr>
  </w:style>
  <w:style w:type="character" w:styleId="NichtaufgelsteErwhnung">
    <w:name w:val="Unresolved Mention"/>
    <w:basedOn w:val="Absatz-Standardschriftart"/>
    <w:uiPriority w:val="99"/>
    <w:semiHidden/>
    <w:unhideWhenUsed/>
    <w:rsid w:val="00A1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l-adhoga.de/auf-einen-espresso/" TargetMode="External"/><Relationship Id="rId3" Type="http://schemas.openxmlformats.org/officeDocument/2006/relationships/webSettings" Target="webSettings.xml"/><Relationship Id="rId7" Type="http://schemas.openxmlformats.org/officeDocument/2006/relationships/hyperlink" Target="https://www.etl-adhoga.de/aktuelles/auf-einen-espresso-mit-christian-schind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l-adhoga-auf-einen-espresso-mit.podigee.io/" TargetMode="External"/><Relationship Id="rId11" Type="http://schemas.openxmlformats.org/officeDocument/2006/relationships/theme" Target="theme/theme1.xml"/><Relationship Id="rId5" Type="http://schemas.openxmlformats.org/officeDocument/2006/relationships/hyperlink" Target="https://www.etl-adhoga.d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tl-adhoga-auf-einen-espresso-mit.podigee.i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4682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Admin</cp:lastModifiedBy>
  <cp:revision>4</cp:revision>
  <dcterms:created xsi:type="dcterms:W3CDTF">2022-02-15T09:03:00Z</dcterms:created>
  <dcterms:modified xsi:type="dcterms:W3CDTF">2022-02-22T10:37:00Z</dcterms:modified>
</cp:coreProperties>
</file>