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1"/>
      </w:pPr>
      <w:r>
        <w:t>Fachwissen auftanken beim Boxenstopp 2024</w:t>
      </w:r>
    </w:p>
    <w:p>
      <w:pPr>
        <w:spacing w:line="240" w:lineRule="auto"/>
        <w:rPr>
          <w:rFonts w:cs="Arial"/>
          <w:b/>
          <w:noProof/>
          <w:sz w:val="20"/>
        </w:rPr>
      </w:pPr>
    </w:p>
    <w:p>
      <w:pPr>
        <w:spacing w:line="240" w:lineRule="auto"/>
        <w:rPr>
          <w:rFonts w:cs="Arial"/>
          <w:noProof/>
          <w:sz w:val="20"/>
        </w:rPr>
      </w:pPr>
      <w:r>
        <w:rPr>
          <w:rFonts w:cs="Arial"/>
          <w:noProof/>
          <w:sz w:val="20"/>
        </w:rPr>
        <w:t>Am 17. und 19. September veranstaltet Lindner wieder gemeinsam mit den Partnerunternehmen Frese, malotech, Helios, Remeha, Grundfos und Bode den TGA-Boxenstopp in Schlüsselfeld und Oberlungwitz: Das Event beinhaltet informative Fachvorträge, Produktausstellungen und Diskussionsrunden rund ums Thema Heizen – Lüften – Kühlen.</w:t>
      </w:r>
    </w:p>
    <w:p>
      <w:pPr>
        <w:spacing w:line="240" w:lineRule="auto"/>
        <w:rPr>
          <w:rFonts w:cs="Arial"/>
          <w:noProof/>
          <w:sz w:val="20"/>
        </w:rPr>
      </w:pPr>
    </w:p>
    <w:p>
      <w:pPr>
        <w:spacing w:line="240" w:lineRule="auto"/>
        <w:rPr>
          <w:rFonts w:cs="Arial"/>
          <w:b/>
          <w:noProof/>
          <w:sz w:val="20"/>
        </w:rPr>
      </w:pPr>
      <w:r>
        <w:rPr>
          <w:rFonts w:cs="Arial"/>
          <w:b/>
          <w:noProof/>
          <w:sz w:val="20"/>
        </w:rPr>
        <w:t>Integrale Planung in der TGA – Erzeugung, Verteilung, Übertragung</w:t>
      </w:r>
    </w:p>
    <w:p>
      <w:pPr>
        <w:spacing w:line="240" w:lineRule="auto"/>
        <w:rPr>
          <w:rFonts w:cs="Arial"/>
          <w:b/>
          <w:noProof/>
          <w:sz w:val="20"/>
        </w:rPr>
      </w:pPr>
    </w:p>
    <w:p>
      <w:pPr>
        <w:spacing w:line="240" w:lineRule="auto"/>
        <w:rPr>
          <w:rFonts w:cs="Arial"/>
          <w:noProof/>
          <w:sz w:val="20"/>
        </w:rPr>
      </w:pPr>
      <w:r>
        <w:rPr>
          <w:rFonts w:cs="Arial"/>
          <w:noProof/>
          <w:sz w:val="20"/>
        </w:rPr>
        <w:t>Am 17. und 19. September ist es wieder so weit: Beim Boxenstopp am Sachsenring bzw. beim Fahrsicherheitszentrum ADAC in Schlüsselfeld erfahren Partner und Kunden der Lindner Group alles, was sie aktuell zu den Themen Heizen, Lüften und Kühlen wissen müssen: Experten von Lindner, Frese, malotech, Helios, Remeha, Grundfos und Bode referieren über neueste Technologien und Lösungen aus den Bereichen Gebäudetechnik, Heizungs- und Klimasysteme, Lüftungsanlagen, Wasserpumpen und -systeme sowie Regelventile und Durchflussregler. Anhand von Praxisbeispielen erfahren die Teilnehmer mehr über das Zusammenspiel und den Einfluss der verschiedenen TGA-Gewerke zueinander und wie deren Planung optimal aufeinander abgestimmt werden kann.</w:t>
      </w:r>
    </w:p>
    <w:p>
      <w:pPr>
        <w:spacing w:line="240" w:lineRule="auto"/>
        <w:rPr>
          <w:rFonts w:cs="Arial"/>
          <w:noProof/>
          <w:sz w:val="20"/>
        </w:rPr>
      </w:pPr>
    </w:p>
    <w:p>
      <w:pPr>
        <w:spacing w:line="240" w:lineRule="auto"/>
        <w:rPr>
          <w:rFonts w:cs="Arial"/>
          <w:noProof/>
          <w:sz w:val="20"/>
        </w:rPr>
      </w:pPr>
      <w:r>
        <w:rPr>
          <w:rFonts w:cs="Arial"/>
          <w:noProof/>
          <w:sz w:val="20"/>
        </w:rPr>
        <w:t>Im Anschluss an die Vorträge haben alle Teilnehmer die Möglichkeit, an einem exklusiven Fahrsicherheitstraining teilzunehmen und ihre besten Brems- und Ausweichmanöver auf weitläufigen Aktionsflächen zu zeigen. Hier kommt der Fahrspaß mit Sicherheit ganz gewiss nicht zu kurz.</w:t>
      </w:r>
    </w:p>
    <w:p>
      <w:pPr>
        <w:spacing w:line="240" w:lineRule="auto"/>
        <w:rPr>
          <w:rFonts w:cs="Arial"/>
          <w:noProof/>
          <w:sz w:val="20"/>
        </w:rPr>
      </w:pPr>
    </w:p>
    <w:p>
      <w:pPr>
        <w:spacing w:line="240" w:lineRule="auto"/>
        <w:rPr>
          <w:rFonts w:cs="Arial"/>
          <w:b/>
          <w:noProof/>
          <w:sz w:val="20"/>
        </w:rPr>
      </w:pPr>
      <w:r>
        <w:rPr>
          <w:rFonts w:cs="Arial"/>
          <w:b/>
          <w:noProof/>
          <w:sz w:val="20"/>
        </w:rPr>
        <w:t>Ein Blick unter die Decke – Heizen und Kühlen von oben</w:t>
      </w:r>
    </w:p>
    <w:p>
      <w:pPr>
        <w:spacing w:line="240" w:lineRule="auto"/>
        <w:rPr>
          <w:rFonts w:cs="Arial"/>
          <w:b/>
          <w:noProof/>
          <w:sz w:val="20"/>
        </w:rPr>
      </w:pPr>
    </w:p>
    <w:p>
      <w:pPr>
        <w:spacing w:line="240" w:lineRule="auto"/>
        <w:rPr>
          <w:rFonts w:cs="Arial"/>
          <w:noProof/>
          <w:sz w:val="20"/>
        </w:rPr>
      </w:pPr>
      <w:r>
        <w:rPr>
          <w:rFonts w:cs="Arial"/>
          <w:noProof/>
          <w:sz w:val="20"/>
        </w:rPr>
        <w:t xml:space="preserve">Thomas Waas, Produktmanager für Heiz-/Kühldecken bei der Lindner Group, referiert zum Thema </w:t>
      </w:r>
      <w:r>
        <w:rPr>
          <w:rFonts w:cs="Arial"/>
          <w:b/>
          <w:noProof/>
          <w:sz w:val="20"/>
        </w:rPr>
        <w:t>„Wir stellen alles auf den Kopf – Heizen mit der Decke.“</w:t>
      </w:r>
      <w:r>
        <w:rPr>
          <w:rFonts w:cs="Arial"/>
          <w:noProof/>
          <w:sz w:val="20"/>
        </w:rPr>
        <w:t xml:space="preserve"> Neben grundlegenden Funktionsweisen und Vorteilen der Lindner Heiz- und Kühldecken stehen vor allem die Plafotherm</w:t>
      </w:r>
      <w:r>
        <w:rPr>
          <w:rFonts w:cs="Arial"/>
          <w:noProof/>
          <w:sz w:val="20"/>
          <w:vertAlign w:val="superscript"/>
        </w:rPr>
        <w:t>®</w:t>
      </w:r>
      <w:r>
        <w:rPr>
          <w:rFonts w:cs="Arial"/>
          <w:noProof/>
          <w:sz w:val="20"/>
        </w:rPr>
        <w:t xml:space="preserve"> Hybridheiz-/kühldecken im Fokus: Diese Heiz- und Kühldecken vereinen effiziente Kühltechnologie mit AirHybrid Lüftungselementen, um eine angenehme Frischluftzufuhr zu gewährleisten. </w:t>
      </w:r>
    </w:p>
    <w:p>
      <w:pPr>
        <w:spacing w:line="240" w:lineRule="auto"/>
        <w:rPr>
          <w:rFonts w:cs="Arial"/>
          <w:noProof/>
          <w:sz w:val="20"/>
        </w:rPr>
      </w:pPr>
    </w:p>
    <w:p>
      <w:pPr>
        <w:spacing w:line="240" w:lineRule="auto"/>
        <w:rPr>
          <w:rFonts w:cs="Arial"/>
          <w:noProof/>
          <w:sz w:val="20"/>
        </w:rPr>
      </w:pPr>
      <w:r>
        <w:rPr>
          <w:rFonts w:cs="Arial"/>
          <w:noProof/>
          <w:sz w:val="20"/>
        </w:rPr>
        <w:t>Der diesjährige Boxenstopp findet jeweils von 09:00 bis 17:00 Uhr an folgenden Terminen statt:</w:t>
      </w:r>
    </w:p>
    <w:p>
      <w:pPr>
        <w:spacing w:line="240" w:lineRule="auto"/>
        <w:ind w:firstLine="426"/>
        <w:rPr>
          <w:rFonts w:cs="Arial"/>
          <w:b/>
          <w:noProof/>
          <w:sz w:val="20"/>
        </w:rPr>
      </w:pPr>
      <w:r>
        <w:rPr>
          <w:rFonts w:cs="Arial"/>
          <w:b/>
          <w:noProof/>
          <w:sz w:val="20"/>
        </w:rPr>
        <w:t>•</w:t>
      </w:r>
      <w:r>
        <w:rPr>
          <w:rFonts w:cs="Arial"/>
          <w:b/>
          <w:noProof/>
          <w:sz w:val="20"/>
        </w:rPr>
        <w:tab/>
        <w:t>17. September 2024</w:t>
      </w:r>
    </w:p>
    <w:p>
      <w:pPr>
        <w:spacing w:line="240" w:lineRule="auto"/>
        <w:ind w:firstLine="709"/>
        <w:rPr>
          <w:rFonts w:cs="Arial"/>
          <w:noProof/>
          <w:sz w:val="20"/>
        </w:rPr>
      </w:pPr>
      <w:r>
        <w:rPr>
          <w:rFonts w:cs="Arial"/>
          <w:noProof/>
          <w:sz w:val="20"/>
        </w:rPr>
        <w:t>Verkehrssicherheitszentrum, Sachsenring</w:t>
      </w:r>
    </w:p>
    <w:p>
      <w:pPr>
        <w:spacing w:line="240" w:lineRule="auto"/>
        <w:rPr>
          <w:rFonts w:cs="Arial"/>
          <w:noProof/>
          <w:sz w:val="20"/>
        </w:rPr>
      </w:pPr>
    </w:p>
    <w:p>
      <w:pPr>
        <w:spacing w:line="240" w:lineRule="auto"/>
        <w:ind w:firstLine="426"/>
        <w:rPr>
          <w:rFonts w:cs="Arial"/>
          <w:b/>
          <w:noProof/>
          <w:sz w:val="20"/>
        </w:rPr>
      </w:pPr>
      <w:r>
        <w:rPr>
          <w:rFonts w:cs="Arial"/>
          <w:b/>
          <w:noProof/>
          <w:sz w:val="20"/>
        </w:rPr>
        <w:t>•</w:t>
      </w:r>
      <w:r>
        <w:rPr>
          <w:rFonts w:cs="Arial"/>
          <w:b/>
          <w:noProof/>
          <w:sz w:val="20"/>
        </w:rPr>
        <w:tab/>
        <w:t>19. September 2024</w:t>
      </w:r>
    </w:p>
    <w:p>
      <w:pPr>
        <w:spacing w:line="240" w:lineRule="auto"/>
        <w:ind w:firstLine="709"/>
        <w:rPr>
          <w:rFonts w:cs="Arial"/>
          <w:noProof/>
          <w:sz w:val="20"/>
        </w:rPr>
      </w:pPr>
      <w:r>
        <w:rPr>
          <w:rFonts w:cs="Arial"/>
          <w:noProof/>
          <w:sz w:val="20"/>
        </w:rPr>
        <w:t>ADAC Fahrsicherheitszentrum, Schlüsselfeld</w:t>
      </w:r>
    </w:p>
    <w:p>
      <w:pPr>
        <w:spacing w:line="240" w:lineRule="auto"/>
        <w:rPr>
          <w:rFonts w:cs="Arial"/>
          <w:noProof/>
          <w:sz w:val="20"/>
        </w:rPr>
      </w:pPr>
    </w:p>
    <w:p>
      <w:pPr>
        <w:spacing w:line="240" w:lineRule="auto"/>
        <w:rPr>
          <w:rFonts w:cs="Arial"/>
          <w:noProof/>
          <w:sz w:val="20"/>
        </w:rPr>
      </w:pPr>
      <w:r>
        <w:rPr>
          <w:rFonts w:cs="Arial"/>
          <w:noProof/>
          <w:sz w:val="20"/>
        </w:rPr>
        <w:t>Melden Sie sich gleich an unter www.tga-boxenstopp.de und machen Sie den Boxenstopp. Die Teilnahme ist kostenfrei!</w:t>
      </w:r>
    </w:p>
    <w:p>
      <w:pPr>
        <w:spacing w:line="240" w:lineRule="auto"/>
        <w:rPr>
          <w:rFonts w:cs="Arial"/>
          <w:noProof/>
          <w:sz w:val="20"/>
        </w:rPr>
      </w:pPr>
    </w:p>
    <w:p>
      <w:r>
        <w:rPr>
          <w:rFonts w:cs="Arial"/>
          <w:b/>
          <w:color w:val="FF0000"/>
          <w:sz w:val="20"/>
        </w:rPr>
        <w:t xml:space="preserve">Bilder: </w:t>
      </w:r>
      <w:r>
        <w:rPr>
          <w:rFonts w:cs="Arial"/>
          <w:b/>
          <w:color w:val="FF0000"/>
          <w:sz w:val="20"/>
        </w:rPr>
        <w:br/>
      </w:r>
      <w:bookmarkStart w:id="0" w:name="_GoBack"/>
      <w:r>
        <w:rPr>
          <w:noProof/>
        </w:rPr>
        <w:drawing>
          <wp:inline distT="0" distB="0" distL="0" distR="0">
            <wp:extent cx="2520000" cy="1418087"/>
            <wp:effectExtent l="0" t="0" r="0" b="0"/>
            <wp:docPr id="1" name="Grafik 1" descr="C:\Users\crieger02\AppData\Local\Microsoft\Windows\INetCache\Content.Word\Lindner_Boxenstopp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ieger02\AppData\Local\Microsoft\Windows\INetCache\Content.Word\Lindner_Boxenstopp 3 .jpe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20000" cy="1418087"/>
                    </a:xfrm>
                    <a:prstGeom prst="rect">
                      <a:avLst/>
                    </a:prstGeom>
                    <a:noFill/>
                    <a:ln>
                      <a:noFill/>
                    </a:ln>
                  </pic:spPr>
                </pic:pic>
              </a:graphicData>
            </a:graphic>
          </wp:inline>
        </w:drawing>
      </w:r>
      <w:bookmarkEnd w:id="0"/>
    </w:p>
    <w:p>
      <w:pPr>
        <w:rPr>
          <w:rFonts w:cs="Arial"/>
          <w:sz w:val="18"/>
        </w:rPr>
      </w:pPr>
      <w:proofErr w:type="spellStart"/>
      <w:r>
        <w:rPr>
          <w:b/>
          <w:sz w:val="18"/>
        </w:rPr>
        <w:t>Lindner_Boxenstopp</w:t>
      </w:r>
      <w:proofErr w:type="spellEnd"/>
      <w:r>
        <w:rPr>
          <w:b/>
          <w:sz w:val="18"/>
        </w:rPr>
        <w:t xml:space="preserve"> 3 .</w:t>
      </w:r>
      <w:proofErr w:type="spellStart"/>
      <w:r>
        <w:rPr>
          <w:b/>
          <w:sz w:val="18"/>
        </w:rPr>
        <w:t>jpeg</w:t>
      </w:r>
      <w:proofErr w:type="spellEnd"/>
      <w:r>
        <w:rPr>
          <w:b/>
          <w:sz w:val="18"/>
        </w:rPr>
        <w:br/>
      </w:r>
      <w:r>
        <w:rPr>
          <w:rFonts w:cs="Arial"/>
          <w:sz w:val="18"/>
        </w:rPr>
        <w:t xml:space="preserve">Bildrechte: © TGA-Boxenstopp </w:t>
      </w:r>
    </w:p>
    <w:p>
      <w:pPr>
        <w:spacing w:line="240" w:lineRule="auto"/>
      </w:pPr>
      <w:r>
        <w:br w:type="page"/>
      </w:r>
    </w:p>
    <w:p/>
    <w:p>
      <w:pPr>
        <w:rPr>
          <w:b/>
          <w:color w:val="E00428"/>
        </w:rPr>
      </w:pPr>
      <w:r>
        <w:rPr>
          <w:b/>
          <w:color w:val="E00428"/>
        </w:rPr>
        <w:t>Lindner Group – Unternehmensbeschreibung</w:t>
      </w:r>
    </w:p>
    <w:p>
      <w:pPr>
        <w:rPr>
          <w:b/>
          <w:color w:val="E00428"/>
        </w:rPr>
      </w:pPr>
    </w:p>
    <w:p>
      <w:r>
        <w:t xml:space="preserve">Die Lindner Group ist Europas führender Komplettanbieter in den Bereichen Innenausbau inkl. Gebäudetechnik, Fassaden und Isoliertechnik. Das Familienunternehmen verfügt über mehr als 55 Jahre Erfahrung im „Bauen mit neuen Lösungen“, der Entwicklung und Ausführung von individuellen und fortschrittlichen Projektlösungen, die </w:t>
      </w:r>
      <w:proofErr w:type="spellStart"/>
      <w:r>
        <w:t>Mehr.Wert</w:t>
      </w:r>
      <w:proofErr w:type="spellEnd"/>
      <w:r>
        <w:t xml:space="preserve"> bieten. Mit weltweit gut 7.500 Mitarbeitern betreibt Lindner vom bayerischen </w:t>
      </w:r>
      <w:proofErr w:type="spellStart"/>
      <w:r>
        <w:t>Arnstorf</w:t>
      </w:r>
      <w:proofErr w:type="spellEnd"/>
      <w:r>
        <w:t xml:space="preserve"> aus Produktionsstätten und Tochtergesellschaften in mehr als 20 Ländern.</w:t>
      </w:r>
    </w:p>
    <w:p/>
    <w:p/>
    <w:p/>
    <w:p>
      <w:pPr>
        <w:rPr>
          <w:rFonts w:eastAsiaTheme="minorEastAsia"/>
          <w:b/>
          <w:color w:val="E40428"/>
        </w:rPr>
      </w:pPr>
      <w:r>
        <w:rPr>
          <w:rFonts w:eastAsiaTheme="minorEastAsia"/>
          <w:b/>
          <w:color w:val="E40428"/>
        </w:rPr>
        <w:t xml:space="preserve">Weitere Infos unter </w:t>
      </w:r>
      <w:hyperlink r:id="rId9" w:history="1">
        <w:r>
          <w:rPr>
            <w:rStyle w:val="Hyperlink"/>
            <w:rFonts w:eastAsiaTheme="minorEastAsia"/>
            <w:b/>
            <w:color w:val="E40428"/>
            <w:u w:val="none"/>
          </w:rPr>
          <w:t>www.Lindner-Group.com</w:t>
        </w:r>
      </w:hyperlink>
    </w:p>
    <w:p>
      <w:pPr>
        <w:pStyle w:val="EinfAbs"/>
        <w:rPr>
          <w:rStyle w:val="Hyperlink"/>
          <w:rFonts w:ascii="Arial" w:hAnsi="Arial" w:cs="Arial"/>
          <w:color w:val="auto"/>
          <w:sz w:val="20"/>
          <w:szCs w:val="16"/>
          <w:lang w:val="en-GB"/>
        </w:rPr>
      </w:pPr>
      <w:hyperlink r:id="rId10" w:history="1">
        <w:r>
          <w:rPr>
            <w:rStyle w:val="Hyperlink"/>
            <w:rFonts w:ascii="Arial" w:hAnsi="Arial" w:cs="Arial"/>
            <w:color w:val="auto"/>
            <w:sz w:val="20"/>
            <w:szCs w:val="16"/>
            <w:lang w:val="en-GB"/>
          </w:rPr>
          <w:t>LinkedIn</w:t>
        </w:r>
      </w:hyperlink>
      <w:r>
        <w:rPr>
          <w:rFonts w:ascii="Arial" w:hAnsi="Arial" w:cs="Arial"/>
          <w:color w:val="auto"/>
          <w:sz w:val="20"/>
          <w:szCs w:val="16"/>
          <w:lang w:val="en-GB"/>
        </w:rPr>
        <w:t xml:space="preserve"> | </w:t>
      </w:r>
      <w:hyperlink r:id="rId11" w:history="1">
        <w:r>
          <w:rPr>
            <w:rStyle w:val="Hyperlink"/>
            <w:rFonts w:ascii="Arial" w:hAnsi="Arial" w:cs="Arial"/>
            <w:color w:val="auto"/>
            <w:sz w:val="20"/>
            <w:szCs w:val="16"/>
            <w:lang w:val="en-GB"/>
          </w:rPr>
          <w:t>XING</w:t>
        </w:r>
      </w:hyperlink>
      <w:r>
        <w:rPr>
          <w:rFonts w:ascii="Arial" w:hAnsi="Arial" w:cs="Arial"/>
          <w:color w:val="auto"/>
          <w:sz w:val="20"/>
          <w:szCs w:val="16"/>
          <w:lang w:val="en-GB"/>
        </w:rPr>
        <w:t xml:space="preserve"> | </w:t>
      </w:r>
      <w:hyperlink r:id="rId12" w:history="1">
        <w:r>
          <w:rPr>
            <w:rStyle w:val="Hyperlink"/>
            <w:rFonts w:ascii="Arial" w:hAnsi="Arial" w:cs="Arial"/>
            <w:color w:val="auto"/>
            <w:sz w:val="20"/>
            <w:szCs w:val="16"/>
            <w:lang w:val="en-GB"/>
          </w:rPr>
          <w:t>Instagram</w:t>
        </w:r>
      </w:hyperlink>
      <w:r>
        <w:rPr>
          <w:rStyle w:val="Hyperlink"/>
          <w:rFonts w:ascii="Arial" w:hAnsi="Arial" w:cs="Arial"/>
          <w:color w:val="auto"/>
          <w:sz w:val="20"/>
          <w:szCs w:val="16"/>
          <w:u w:val="none"/>
          <w:lang w:val="en-GB"/>
        </w:rPr>
        <w:t xml:space="preserve"> | </w:t>
      </w:r>
      <w:hyperlink r:id="rId13" w:history="1">
        <w:r>
          <w:rPr>
            <w:rStyle w:val="Hyperlink"/>
            <w:rFonts w:ascii="Arial" w:hAnsi="Arial" w:cs="Arial"/>
            <w:color w:val="auto"/>
            <w:sz w:val="20"/>
            <w:szCs w:val="16"/>
            <w:lang w:val="en-GB"/>
          </w:rPr>
          <w:t>Facebook</w:t>
        </w:r>
      </w:hyperlink>
      <w:r>
        <w:rPr>
          <w:rStyle w:val="Hyperlink"/>
          <w:rFonts w:ascii="Arial" w:hAnsi="Arial" w:cs="Arial"/>
          <w:color w:val="auto"/>
          <w:sz w:val="20"/>
          <w:szCs w:val="16"/>
          <w:u w:val="none"/>
          <w:lang w:val="en-GB"/>
        </w:rPr>
        <w:t xml:space="preserve"> | </w:t>
      </w:r>
      <w:hyperlink r:id="rId14" w:history="1">
        <w:r>
          <w:rPr>
            <w:rStyle w:val="Hyperlink"/>
            <w:rFonts w:ascii="Arial" w:hAnsi="Arial" w:cs="Arial"/>
            <w:color w:val="auto"/>
            <w:sz w:val="20"/>
            <w:szCs w:val="16"/>
            <w:lang w:val="en-GB"/>
          </w:rPr>
          <w:t>Pinterest</w:t>
        </w:r>
      </w:hyperlink>
      <w:r>
        <w:rPr>
          <w:rFonts w:ascii="Arial" w:hAnsi="Arial" w:cs="Arial"/>
          <w:color w:val="auto"/>
          <w:sz w:val="20"/>
          <w:szCs w:val="16"/>
          <w:lang w:val="en-GB"/>
        </w:rPr>
        <w:t xml:space="preserve"> | </w:t>
      </w:r>
      <w:hyperlink r:id="rId15" w:history="1">
        <w:r>
          <w:rPr>
            <w:rStyle w:val="Hyperlink"/>
            <w:rFonts w:ascii="Arial" w:hAnsi="Arial" w:cs="Arial"/>
            <w:color w:val="auto"/>
            <w:sz w:val="20"/>
            <w:szCs w:val="16"/>
            <w:lang w:val="en-GB"/>
          </w:rPr>
          <w:t>YouTube</w:t>
        </w:r>
      </w:hyperlink>
    </w:p>
    <w:p>
      <w:pPr>
        <w:pStyle w:val="EinfAbs"/>
        <w:rPr>
          <w:rFonts w:ascii="Arial" w:hAnsi="Arial" w:cs="Arial"/>
          <w:color w:val="auto"/>
          <w:sz w:val="20"/>
          <w:szCs w:val="16"/>
          <w:lang w:val="en-GB"/>
        </w:rPr>
      </w:pPr>
    </w:p>
    <w:sectPr>
      <w:headerReference w:type="default" r:id="rId16"/>
      <w:footerReference w:type="default" r:id="rId17"/>
      <w:headerReference w:type="first" r:id="rId18"/>
      <w:footerReference w:type="first" r:id="rId19"/>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r>
      <w:rPr>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b/>
        <w:bCs/>
        <w:noProof/>
        <w:color w:val="ED1B34"/>
        <w:sz w:val="40"/>
        <w:szCs w:val="40"/>
      </w:rPr>
      <w:drawing>
        <wp:anchor distT="0" distB="0" distL="114300" distR="114300" simplePos="0" relativeHeight="251659264" behindDoc="0" locked="0" layoutInCell="1" allowOverlap="1">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6663"/>
      </w:tabs>
      <w:ind w:left="6237"/>
      <w:jc w:val="right"/>
      <w:rPr>
        <w:b/>
        <w:color w:val="E40428"/>
        <w:sz w:val="18"/>
      </w:rPr>
    </w:pPr>
    <w:r>
      <w:rPr>
        <w:b/>
        <w:bCs/>
        <w:noProof/>
        <w:color w:val="E40428"/>
        <w:sz w:val="32"/>
        <w:szCs w:val="40"/>
      </w:rPr>
      <w:drawing>
        <wp:anchor distT="0" distB="0" distL="114300" distR="114300" simplePos="0" relativeHeight="251661312" behindDoc="0" locked="0" layoutInCell="1" allowOverlap="1">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0428"/>
        <w:sz w:val="18"/>
      </w:rPr>
      <w:t>Lindner Group</w:t>
    </w:r>
  </w:p>
  <w:p>
    <w:pPr>
      <w:tabs>
        <w:tab w:val="left" w:pos="6663"/>
      </w:tabs>
      <w:ind w:left="6237"/>
      <w:jc w:val="right"/>
      <w:rPr>
        <w:sz w:val="18"/>
      </w:rPr>
    </w:pPr>
    <w:r>
      <w:rPr>
        <w:sz w:val="18"/>
      </w:rPr>
      <w:t>Pressekontakt: Christina Rieger</w:t>
    </w:r>
  </w:p>
  <w:p>
    <w:pPr>
      <w:tabs>
        <w:tab w:val="left" w:pos="6663"/>
      </w:tabs>
      <w:ind w:left="6237"/>
      <w:jc w:val="right"/>
      <w:rPr>
        <w:sz w:val="18"/>
      </w:rPr>
    </w:pPr>
    <w:r>
      <w:rPr>
        <w:sz w:val="18"/>
      </w:rPr>
      <w:t>Bahnhofstraße 29, 94424 Arnstorf</w:t>
    </w:r>
  </w:p>
  <w:p>
    <w:pPr>
      <w:tabs>
        <w:tab w:val="left" w:pos="6663"/>
      </w:tabs>
      <w:ind w:left="6237"/>
      <w:jc w:val="right"/>
      <w:rPr>
        <w:sz w:val="18"/>
      </w:rPr>
    </w:pPr>
    <w:r>
      <w:rPr>
        <w:sz w:val="18"/>
      </w:rPr>
      <w:t>Telefon +49 8723 20-3148</w:t>
    </w:r>
  </w:p>
  <w:p>
    <w:pPr>
      <w:tabs>
        <w:tab w:val="left" w:pos="6663"/>
      </w:tabs>
      <w:ind w:left="6237"/>
      <w:jc w:val="right"/>
      <w:rPr>
        <w:rStyle w:val="Hyperlink"/>
        <w:color w:val="auto"/>
        <w:sz w:val="18"/>
        <w:u w:val="none"/>
      </w:rPr>
    </w:pPr>
    <w:r>
      <w:rPr>
        <w:rStyle w:val="Hyperlink"/>
        <w:color w:val="auto"/>
        <w:sz w:val="18"/>
        <w:u w:val="none"/>
      </w:rPr>
      <w:t>Christina.Rieger@Lindner-Group.com</w:t>
    </w:r>
  </w:p>
  <w:p>
    <w:pPr>
      <w:tabs>
        <w:tab w:val="left" w:pos="6663"/>
      </w:tabs>
      <w:rPr>
        <w:sz w:val="18"/>
      </w:rPr>
    </w:pPr>
  </w:p>
  <w:p>
    <w:pPr>
      <w:tabs>
        <w:tab w:val="left" w:pos="666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57"/>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sz w:val="22"/>
      <w:lang w:val="de-DE" w:eastAsia="de-DE"/>
    </w:rPr>
  </w:style>
  <w:style w:type="paragraph" w:styleId="berschrift1">
    <w:name w:val="heading 1"/>
    <w:basedOn w:val="Standard"/>
    <w:next w:val="Standard"/>
    <w:autoRedefine/>
    <w:qFormat/>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pPr>
      <w:numPr>
        <w:ilvl w:val="3"/>
      </w:numPr>
      <w:outlineLvl w:val="3"/>
    </w:pPr>
    <w:rPr>
      <w:bCs/>
      <w:iCs w:val="0"/>
      <w:sz w:val="22"/>
      <w:szCs w:val="20"/>
    </w:rPr>
  </w:style>
  <w:style w:type="paragraph" w:styleId="berschrift5">
    <w:name w:val="heading 5"/>
    <w:basedOn w:val="Standard"/>
    <w:next w:val="Standard"/>
    <w:link w:val="berschrift5Zchn"/>
    <w:semiHidden/>
    <w:unhideWhenUsed/>
    <w:qFormat/>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customStyle="1" w:styleId="Pro-1-Sp1">
    <w:name w:val="Pro-1-Sp1"/>
    <w:basedOn w:val="Standard"/>
    <w:rPr>
      <w:rFonts w:ascii="Arial (W1)" w:hAnsi="Arial (W1)" w:cs="Arial"/>
      <w:b/>
      <w:szCs w:val="24"/>
    </w:rPr>
  </w:style>
  <w:style w:type="paragraph" w:customStyle="1" w:styleId="Pro-AblaufIcon">
    <w:name w:val="Pro-Ablauf_Icon"/>
    <w:basedOn w:val="Standard"/>
    <w:pPr>
      <w:jc w:val="center"/>
    </w:pPr>
    <w:rPr>
      <w:rFonts w:ascii="Arial (W1)" w:hAnsi="Arial (W1)" w:cs="Arial"/>
      <w:b/>
      <w:bCs/>
      <w:sz w:val="16"/>
      <w:szCs w:val="16"/>
    </w:rPr>
  </w:style>
  <w:style w:type="paragraph" w:customStyle="1" w:styleId="Pro-Aufz-Pkt">
    <w:name w:val="Pro-Aufz-Pkt"/>
    <w:basedOn w:val="Standard"/>
    <w:autoRedefine/>
    <w:pPr>
      <w:ind w:left="43"/>
    </w:pPr>
    <w:rPr>
      <w:rFonts w:ascii="Arial (W1)" w:hAnsi="Arial (W1)" w:cs="Arial"/>
      <w:szCs w:val="22"/>
    </w:rPr>
  </w:style>
  <w:style w:type="paragraph" w:customStyle="1" w:styleId="Pro-Text">
    <w:name w:val="Pro-Text"/>
    <w:basedOn w:val="Standard"/>
    <w:autoRedefine/>
    <w:pPr>
      <w:jc w:val="both"/>
    </w:pPr>
    <w:rPr>
      <w:rFonts w:ascii="Arial (W1)" w:hAnsi="Arial (W1)" w:cs="Arial"/>
      <w:szCs w:val="24"/>
    </w:rPr>
  </w:style>
  <w:style w:type="paragraph" w:customStyle="1" w:styleId="Pro-Text-Einge">
    <w:name w:val="Pro-Text-Einge"/>
    <w:basedOn w:val="Standard"/>
    <w:link w:val="Pro-Text-EingeZchn"/>
    <w:autoRedefine/>
    <w:rPr>
      <w:rFonts w:ascii="Arial (W1)" w:hAnsi="Arial (W1)"/>
      <w:b/>
      <w:sz w:val="24"/>
      <w:szCs w:val="22"/>
      <w:lang w:val="x-none" w:eastAsia="x-none"/>
    </w:rPr>
  </w:style>
  <w:style w:type="paragraph" w:customStyle="1" w:styleId="Pro-ber-Tab">
    <w:name w:val="Pro-Über-Tab"/>
    <w:basedOn w:val="Standard"/>
    <w:pPr>
      <w:jc w:val="center"/>
    </w:pPr>
    <w:rPr>
      <w:rFonts w:ascii="Arial (W1)" w:hAnsi="Arial (W1)" w:cs="Arial"/>
      <w:b/>
      <w:szCs w:val="24"/>
    </w:rPr>
  </w:style>
  <w:style w:type="paragraph" w:styleId="Verzeichnis1">
    <w:name w:val="toc 1"/>
    <w:aliases w:val="Pro-IV-1"/>
    <w:basedOn w:val="Standard"/>
    <w:next w:val="Standard"/>
    <w:autoRedefine/>
    <w:uiPriority w:val="39"/>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pPr>
      <w:tabs>
        <w:tab w:val="right" w:leader="dot" w:pos="10080"/>
      </w:tabs>
      <w:spacing w:line="360" w:lineRule="auto"/>
      <w:ind w:left="851"/>
    </w:pPr>
    <w:rPr>
      <w:rFonts w:ascii="Arial (W1)" w:hAnsi="Arial (W1)" w:cs="Arial"/>
      <w:noProof/>
      <w:szCs w:val="24"/>
    </w:rPr>
  </w:style>
  <w:style w:type="character" w:styleId="Hyperlink">
    <w:name w:val="Hyperlink"/>
    <w:uiPriority w:val="99"/>
    <w:rPr>
      <w:color w:val="0000FF"/>
      <w:u w:val="single"/>
    </w:rPr>
  </w:style>
  <w:style w:type="paragraph" w:customStyle="1" w:styleId="Pro-Abst-Zeich-Tab">
    <w:name w:val="Pro-Abst-Zeich-Tab"/>
    <w:basedOn w:val="Standard"/>
    <w:pPr>
      <w:jc w:val="center"/>
    </w:pPr>
    <w:rPr>
      <w:rFonts w:cs="Arial"/>
      <w:sz w:val="24"/>
      <w:szCs w:val="24"/>
    </w:rPr>
  </w:style>
  <w:style w:type="character" w:customStyle="1" w:styleId="Pro-Text-EingeZchn">
    <w:name w:val="Pro-Text-Einge Zchn"/>
    <w:link w:val="Pro-Text-Einge"/>
    <w:rPr>
      <w:rFonts w:ascii="Arial (W1)" w:hAnsi="Arial (W1)"/>
      <w:b/>
      <w:sz w:val="24"/>
      <w:szCs w:val="22"/>
      <w:lang w:val="x-none" w:eastAsia="x-none"/>
    </w:rPr>
  </w:style>
  <w:style w:type="character" w:styleId="Fett">
    <w:name w:val="Strong"/>
    <w:rPr>
      <w:rFonts w:ascii="Arial" w:hAnsi="Arial"/>
      <w:b/>
      <w:bCs/>
      <w:sz w:val="22"/>
    </w:rPr>
  </w:style>
  <w:style w:type="paragraph" w:styleId="Listenabsatz">
    <w:name w:val="List Paragraph"/>
    <w:basedOn w:val="Standard"/>
    <w:uiPriority w:val="34"/>
    <w:pPr>
      <w:ind w:left="708"/>
    </w:pPr>
  </w:style>
  <w:style w:type="paragraph" w:styleId="Dokumentstruktur">
    <w:name w:val="Document Map"/>
    <w:basedOn w:val="Standard"/>
    <w:link w:val="DokumentstrukturZchn"/>
    <w:rPr>
      <w:rFonts w:ascii="Tahoma" w:hAnsi="Tahoma"/>
      <w:sz w:val="16"/>
      <w:szCs w:val="16"/>
      <w:lang w:val="x-none" w:eastAsia="x-none"/>
    </w:rPr>
  </w:style>
  <w:style w:type="character" w:customStyle="1" w:styleId="DokumentstrukturZchn">
    <w:name w:val="Dokumentstruktur Zchn"/>
    <w:link w:val="Dokumentstruktur"/>
    <w:rPr>
      <w:rFonts w:ascii="Tahoma" w:hAnsi="Tahoma" w:cs="Tahoma"/>
      <w:sz w:val="16"/>
      <w:szCs w:val="16"/>
    </w:rPr>
  </w:style>
  <w:style w:type="character" w:customStyle="1" w:styleId="KopfzeileZchn">
    <w:name w:val="Kopfzeile Zchn"/>
    <w:basedOn w:val="Absatz-Standardschriftart"/>
    <w:link w:val="Kopfzeile"/>
  </w:style>
  <w:style w:type="character" w:customStyle="1" w:styleId="berschrift2Zchn">
    <w:name w:val="Überschrift 2 Zchn"/>
    <w:link w:val="berschrift2"/>
    <w:rPr>
      <w:rFonts w:ascii="Arial" w:hAnsi="Arial" w:cs="Arial"/>
      <w:b/>
      <w:bCs/>
      <w:sz w:val="24"/>
      <w:szCs w:val="24"/>
      <w:lang w:val="de-DE" w:eastAsia="de-DE"/>
    </w:rPr>
  </w:style>
  <w:style w:type="numbering" w:customStyle="1" w:styleId="Formatvorlage1">
    <w:name w:val="Formatvorlage1"/>
    <w:uiPriority w:val="99"/>
    <w:pPr>
      <w:numPr>
        <w:numId w:val="2"/>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Pr>
      <w:i/>
      <w:iC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Pr>
      <w:rFonts w:ascii="Arial" w:hAnsi="Arial"/>
      <w:b/>
      <w:bCs/>
      <w:color w:val="E40428"/>
      <w:sz w:val="40"/>
      <w:szCs w:val="40"/>
      <w:lang w:val="de-DE" w:eastAsia="de-DE"/>
    </w:rPr>
  </w:style>
  <w:style w:type="paragraph" w:customStyle="1" w:styleId="H2">
    <w:name w:val="H2"/>
    <w:basedOn w:val="berschrift1"/>
    <w:link w:val="H2Zchn"/>
    <w:qFormat/>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Pr>
      <w:rFonts w:ascii="Arial" w:hAnsi="Arial"/>
      <w:color w:val="231F20"/>
      <w:sz w:val="28"/>
      <w:szCs w:val="28"/>
      <w:lang w:val="de-DE" w:eastAsia="de-DE"/>
    </w:rPr>
  </w:style>
  <w:style w:type="paragraph" w:customStyle="1" w:styleId="EinfAbs">
    <w:name w:val="[Einf. Abs.]"/>
    <w:basedOn w:val="Standard"/>
    <w:uiPriority w:val="99"/>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LindnerGroup.Karrie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tagram.com/lindner_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g.com/companies/lindnergroup" TargetMode="External"/><Relationship Id="rId5" Type="http://schemas.openxmlformats.org/officeDocument/2006/relationships/webSettings" Target="webSettings.xml"/><Relationship Id="rId15" Type="http://schemas.openxmlformats.org/officeDocument/2006/relationships/hyperlink" Target="https://www.youtube.com/user/LindnerGroup" TargetMode="External"/><Relationship Id="rId10" Type="http://schemas.openxmlformats.org/officeDocument/2006/relationships/hyperlink" Target="http://www.linkedin.com/company/lindner-grou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ndner-Group.com" TargetMode="External"/><Relationship Id="rId14" Type="http://schemas.openxmlformats.org/officeDocument/2006/relationships/hyperlink" Target="http://www.pinterest.de/lindner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371A7-2625-4963-A6D2-8649AD85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3393</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5</cp:revision>
  <cp:lastPrinted>2022-06-29T08:34:00Z</cp:lastPrinted>
  <dcterms:created xsi:type="dcterms:W3CDTF">2024-07-25T14:47:00Z</dcterms:created>
  <dcterms:modified xsi:type="dcterms:W3CDTF">2024-07-30T05:00:00Z</dcterms:modified>
</cp:coreProperties>
</file>