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shd w:val="clear" w:color="auto" w:fill="E6E6E6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394"/>
        <w:gridCol w:w="5261"/>
      </w:tblGrid>
      <w:tr w:rsidR="00450363" w14:paraId="288A5E3B" w14:textId="77777777" w:rsidTr="008C21D3">
        <w:trPr>
          <w:trHeight w:val="2552"/>
        </w:trPr>
        <w:tc>
          <w:tcPr>
            <w:tcW w:w="3749" w:type="dxa"/>
            <w:shd w:val="clear" w:color="auto" w:fill="E6E6E6"/>
          </w:tcPr>
          <w:p w14:paraId="06E90BDB" w14:textId="7DEF94FB" w:rsidR="00C30CD3" w:rsidRPr="00356564" w:rsidRDefault="00A70E2B" w:rsidP="008C21D3">
            <w:pPr>
              <w:pStyle w:val="Presseinfo-berschrift1"/>
              <w:ind w:firstLine="0"/>
            </w:pPr>
            <w:r w:rsidRPr="00754530">
              <w:rPr>
                <w:sz w:val="24"/>
                <w:szCs w:val="24"/>
              </w:rPr>
              <w:t xml:space="preserve"> </w:t>
            </w:r>
            <w:r w:rsidRPr="00237F8B">
              <w:t xml:space="preserve"> </w:t>
            </w:r>
            <w:r w:rsidRPr="008C21D3">
              <w:rPr>
                <w:sz w:val="24"/>
                <w:szCs w:val="24"/>
              </w:rPr>
              <w:t xml:space="preserve"> </w:t>
            </w:r>
            <w:r w:rsidR="00AF38A5" w:rsidRPr="008C21D3">
              <w:rPr>
                <w:sz w:val="24"/>
                <w:szCs w:val="24"/>
              </w:rPr>
              <w:t xml:space="preserve"> </w:t>
            </w:r>
            <w:r w:rsidR="008C21D3">
              <w:rPr>
                <w:noProof/>
              </w:rPr>
              <w:drawing>
                <wp:inline distT="0" distB="0" distL="0" distR="0" wp14:anchorId="52016EBD" wp14:editId="52C8D79D">
                  <wp:extent cx="2574780" cy="1716066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385" cy="1847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6" w:type="dxa"/>
            <w:shd w:val="clear" w:color="auto" w:fill="E6E6E6"/>
          </w:tcPr>
          <w:p w14:paraId="5A9C4BC7" w14:textId="737412FC" w:rsidR="001066A5" w:rsidRPr="00D047F7" w:rsidRDefault="00AF38A5" w:rsidP="003C35DE">
            <w:pPr>
              <w:pStyle w:val="Presseinfo-berschrift1"/>
              <w:rPr>
                <w:sz w:val="34"/>
                <w:szCs w:val="34"/>
              </w:rPr>
            </w:pPr>
            <w:r w:rsidRPr="00715B9B">
              <w:rPr>
                <w:sz w:val="16"/>
                <w:szCs w:val="16"/>
              </w:rPr>
              <w:br/>
            </w:r>
            <w:r w:rsidR="00450363" w:rsidRPr="00FB56DB">
              <w:rPr>
                <w:sz w:val="32"/>
                <w:szCs w:val="32"/>
              </w:rPr>
              <w:t xml:space="preserve">TARUK verlängert Sonderaktion: </w:t>
            </w:r>
            <w:r w:rsidR="00593678" w:rsidRPr="00FB56DB">
              <w:rPr>
                <w:sz w:val="32"/>
                <w:szCs w:val="32"/>
              </w:rPr>
              <w:t xml:space="preserve">Reisebüros profitieren </w:t>
            </w:r>
            <w:r w:rsidR="00450363" w:rsidRPr="00FB56DB">
              <w:rPr>
                <w:sz w:val="32"/>
                <w:szCs w:val="32"/>
              </w:rPr>
              <w:t>a</w:t>
            </w:r>
            <w:r w:rsidR="000D3091" w:rsidRPr="00FB56DB">
              <w:rPr>
                <w:sz w:val="32"/>
                <w:szCs w:val="32"/>
              </w:rPr>
              <w:t xml:space="preserve">uch 2022 </w:t>
            </w:r>
            <w:r w:rsidR="00593678" w:rsidRPr="00FB56DB">
              <w:rPr>
                <w:sz w:val="32"/>
                <w:szCs w:val="32"/>
              </w:rPr>
              <w:t>von</w:t>
            </w:r>
            <w:r w:rsidR="000D3091" w:rsidRPr="00FB56DB">
              <w:rPr>
                <w:sz w:val="32"/>
                <w:szCs w:val="32"/>
              </w:rPr>
              <w:t xml:space="preserve"> halbierten Provisionsstaffe</w:t>
            </w:r>
            <w:r w:rsidR="00FB56DB">
              <w:rPr>
                <w:sz w:val="32"/>
                <w:szCs w:val="32"/>
              </w:rPr>
              <w:t>ln</w:t>
            </w:r>
            <w:r w:rsidR="003C35DE" w:rsidRPr="00D047F7">
              <w:rPr>
                <w:sz w:val="34"/>
                <w:szCs w:val="34"/>
              </w:rPr>
              <w:t xml:space="preserve">  </w:t>
            </w:r>
          </w:p>
          <w:p w14:paraId="33FDBEB8" w14:textId="7A8F1CBF" w:rsidR="0042450A" w:rsidRPr="00FB56DB" w:rsidRDefault="00FB56DB" w:rsidP="00915EAA">
            <w:pPr>
              <w:pStyle w:val="Presseinfo-berschrift1"/>
              <w:spacing w:after="0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5"/>
                <w:szCs w:val="25"/>
              </w:rPr>
              <w:t xml:space="preserve">Auch im </w:t>
            </w:r>
            <w:r w:rsidR="000D3091" w:rsidRPr="00FB56DB">
              <w:rPr>
                <w:color w:val="auto"/>
                <w:sz w:val="25"/>
                <w:szCs w:val="25"/>
              </w:rPr>
              <w:t xml:space="preserve">nächsten Jahr können sich </w:t>
            </w:r>
            <w:r w:rsidR="00593678" w:rsidRPr="00FB56DB">
              <w:rPr>
                <w:color w:val="auto"/>
                <w:sz w:val="25"/>
                <w:szCs w:val="25"/>
              </w:rPr>
              <w:t>Par</w:t>
            </w:r>
            <w:r w:rsidRPr="00FB56DB">
              <w:rPr>
                <w:color w:val="auto"/>
                <w:sz w:val="25"/>
                <w:szCs w:val="25"/>
              </w:rPr>
              <w:t>t</w:t>
            </w:r>
            <w:r w:rsidR="00593678" w:rsidRPr="00FB56DB">
              <w:rPr>
                <w:color w:val="auto"/>
                <w:sz w:val="25"/>
                <w:szCs w:val="25"/>
              </w:rPr>
              <w:t>ner</w:t>
            </w:r>
            <w:r>
              <w:rPr>
                <w:color w:val="auto"/>
                <w:sz w:val="25"/>
                <w:szCs w:val="25"/>
              </w:rPr>
              <w:t>-</w:t>
            </w:r>
            <w:r w:rsidR="00593678" w:rsidRPr="00FB56DB">
              <w:rPr>
                <w:color w:val="auto"/>
                <w:sz w:val="25"/>
                <w:szCs w:val="25"/>
              </w:rPr>
              <w:t xml:space="preserve">agenturen des </w:t>
            </w:r>
            <w:r w:rsidR="000D3091" w:rsidRPr="00FB56DB">
              <w:rPr>
                <w:color w:val="auto"/>
                <w:sz w:val="25"/>
                <w:szCs w:val="25"/>
              </w:rPr>
              <w:t xml:space="preserve">Kleingruppen-Spezialisten </w:t>
            </w:r>
            <w:r w:rsidR="008C21D3" w:rsidRPr="00FB56DB">
              <w:rPr>
                <w:color w:val="auto"/>
                <w:sz w:val="25"/>
                <w:szCs w:val="25"/>
              </w:rPr>
              <w:t xml:space="preserve">bereits bei </w:t>
            </w:r>
            <w:r w:rsidR="00D54539" w:rsidRPr="00FB56DB">
              <w:rPr>
                <w:color w:val="auto"/>
                <w:sz w:val="25"/>
                <w:szCs w:val="25"/>
              </w:rPr>
              <w:t>Jahresu</w:t>
            </w:r>
            <w:r w:rsidR="008C21D3" w:rsidRPr="00FB56DB">
              <w:rPr>
                <w:color w:val="auto"/>
                <w:sz w:val="25"/>
                <w:szCs w:val="25"/>
              </w:rPr>
              <w:t>msätzen ab 12.500 € über die Grundvergütung von 10 % hinausgehende Provisionssätze sichern.</w:t>
            </w:r>
            <w:r w:rsidR="000D3091" w:rsidRPr="00FB56DB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232F9BA9" w14:textId="77777777" w:rsidR="007054C0" w:rsidRPr="00D0575B" w:rsidRDefault="007054C0" w:rsidP="00927D80">
      <w:pPr>
        <w:rPr>
          <w:sz w:val="16"/>
          <w:szCs w:val="16"/>
        </w:rPr>
      </w:pPr>
    </w:p>
    <w:p w14:paraId="2C8D3F66" w14:textId="5C2F717A" w:rsidR="00BC3505" w:rsidRDefault="00BC3505" w:rsidP="00BC3505">
      <w:pPr>
        <w:rPr>
          <w:rFonts w:ascii="Corbel" w:hAnsi="Corbel"/>
          <w:b/>
          <w:bCs/>
          <w:sz w:val="21"/>
          <w:szCs w:val="21"/>
        </w:rPr>
      </w:pPr>
      <w:r>
        <w:rPr>
          <w:rFonts w:ascii="Corbel" w:hAnsi="Corbel"/>
          <w:b/>
          <w:bCs/>
          <w:sz w:val="21"/>
          <w:szCs w:val="21"/>
        </w:rPr>
        <w:t>2</w:t>
      </w:r>
      <w:r w:rsidR="00E3442E">
        <w:rPr>
          <w:rFonts w:ascii="Corbel" w:hAnsi="Corbel"/>
          <w:b/>
          <w:bCs/>
          <w:sz w:val="21"/>
          <w:szCs w:val="21"/>
        </w:rPr>
        <w:t>1</w:t>
      </w:r>
      <w:r w:rsidR="003E2FFF">
        <w:rPr>
          <w:rFonts w:ascii="Corbel" w:hAnsi="Corbel"/>
          <w:b/>
          <w:bCs/>
          <w:sz w:val="21"/>
          <w:szCs w:val="21"/>
        </w:rPr>
        <w:t xml:space="preserve">. </w:t>
      </w:r>
      <w:r>
        <w:rPr>
          <w:rFonts w:ascii="Corbel" w:hAnsi="Corbel"/>
          <w:b/>
          <w:bCs/>
          <w:sz w:val="21"/>
          <w:szCs w:val="21"/>
        </w:rPr>
        <w:t>Juli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202</w:t>
      </w:r>
      <w:r w:rsidR="00915EAA">
        <w:rPr>
          <w:rFonts w:ascii="Corbel" w:hAnsi="Corbel"/>
          <w:b/>
          <w:bCs/>
          <w:sz w:val="21"/>
          <w:szCs w:val="21"/>
        </w:rPr>
        <w:t>1</w:t>
      </w:r>
      <w:r w:rsidR="00237F8B" w:rsidRPr="0032682D">
        <w:rPr>
          <w:rFonts w:ascii="Corbel" w:hAnsi="Corbel"/>
          <w:b/>
          <w:bCs/>
          <w:sz w:val="21"/>
          <w:szCs w:val="21"/>
        </w:rPr>
        <w:t xml:space="preserve"> –</w:t>
      </w:r>
      <w:r w:rsidR="004E065B" w:rsidRPr="0032682D">
        <w:rPr>
          <w:rFonts w:ascii="Corbel" w:hAnsi="Corbel"/>
          <w:b/>
          <w:bCs/>
          <w:sz w:val="21"/>
          <w:szCs w:val="21"/>
        </w:rPr>
        <w:t xml:space="preserve"> </w:t>
      </w:r>
      <w:r w:rsidR="00D54539">
        <w:rPr>
          <w:rFonts w:ascii="Corbel" w:hAnsi="Corbel"/>
          <w:b/>
          <w:bCs/>
          <w:sz w:val="21"/>
          <w:szCs w:val="21"/>
        </w:rPr>
        <w:t xml:space="preserve">Um </w:t>
      </w:r>
      <w:r w:rsidR="00E712D5">
        <w:rPr>
          <w:rFonts w:ascii="Corbel" w:hAnsi="Corbel"/>
          <w:b/>
          <w:bCs/>
          <w:sz w:val="21"/>
          <w:szCs w:val="21"/>
        </w:rPr>
        <w:t>Reisebüros</w:t>
      </w:r>
      <w:r w:rsidR="00D54539">
        <w:rPr>
          <w:rFonts w:ascii="Corbel" w:hAnsi="Corbel"/>
          <w:b/>
          <w:bCs/>
          <w:sz w:val="21"/>
          <w:szCs w:val="21"/>
        </w:rPr>
        <w:t xml:space="preserve"> im Zuge der Pandemie zu unterstützen, hatte TARUK – neben verschiedenen weiteren Maßnahmen – für das Jahr </w:t>
      </w:r>
      <w:r w:rsidR="00E712D5">
        <w:rPr>
          <w:rFonts w:ascii="Corbel" w:hAnsi="Corbel"/>
          <w:b/>
          <w:bCs/>
          <w:sz w:val="21"/>
          <w:szCs w:val="21"/>
        </w:rPr>
        <w:t xml:space="preserve">2021 </w:t>
      </w:r>
      <w:r w:rsidR="00D54539">
        <w:rPr>
          <w:rFonts w:ascii="Corbel" w:hAnsi="Corbel"/>
          <w:b/>
          <w:bCs/>
          <w:sz w:val="21"/>
          <w:szCs w:val="21"/>
        </w:rPr>
        <w:t xml:space="preserve">als Sonderaktion eine Halbierung seiner Provisionsstaffeln versprochen. Dies </w:t>
      </w:r>
      <w:r w:rsidR="00593678">
        <w:rPr>
          <w:rFonts w:ascii="Corbel" w:hAnsi="Corbel"/>
          <w:b/>
          <w:bCs/>
          <w:sz w:val="21"/>
          <w:szCs w:val="21"/>
        </w:rPr>
        <w:t xml:space="preserve">stellt </w:t>
      </w:r>
      <w:r w:rsidR="00D54539">
        <w:rPr>
          <w:rFonts w:ascii="Corbel" w:hAnsi="Corbel"/>
          <w:b/>
          <w:bCs/>
          <w:sz w:val="21"/>
          <w:szCs w:val="21"/>
        </w:rPr>
        <w:t xml:space="preserve">der </w:t>
      </w:r>
      <w:r w:rsidR="00E712D5">
        <w:rPr>
          <w:rFonts w:ascii="Corbel" w:hAnsi="Corbel"/>
          <w:b/>
          <w:bCs/>
          <w:sz w:val="21"/>
          <w:szCs w:val="21"/>
        </w:rPr>
        <w:t xml:space="preserve">familiengeführte </w:t>
      </w:r>
      <w:r w:rsidR="00D54539">
        <w:rPr>
          <w:rFonts w:ascii="Corbel" w:hAnsi="Corbel"/>
          <w:b/>
          <w:bCs/>
          <w:sz w:val="21"/>
          <w:szCs w:val="21"/>
        </w:rPr>
        <w:t xml:space="preserve">Erlebnisreise-Veranstalter </w:t>
      </w:r>
      <w:r w:rsidR="00E712D5">
        <w:rPr>
          <w:rFonts w:ascii="Corbel" w:hAnsi="Corbel"/>
          <w:b/>
          <w:bCs/>
          <w:sz w:val="21"/>
          <w:szCs w:val="21"/>
        </w:rPr>
        <w:t>Agenturpartnern</w:t>
      </w:r>
      <w:r w:rsidR="00D54539">
        <w:rPr>
          <w:rFonts w:ascii="Corbel" w:hAnsi="Corbel"/>
          <w:b/>
          <w:bCs/>
          <w:sz w:val="21"/>
          <w:szCs w:val="21"/>
        </w:rPr>
        <w:t xml:space="preserve"> nun auch für 2022</w:t>
      </w:r>
      <w:r w:rsidR="00593678">
        <w:rPr>
          <w:rFonts w:ascii="Corbel" w:hAnsi="Corbel"/>
          <w:b/>
          <w:bCs/>
          <w:sz w:val="21"/>
          <w:szCs w:val="21"/>
        </w:rPr>
        <w:t xml:space="preserve"> in Aussicht</w:t>
      </w:r>
      <w:r w:rsidR="00D54539">
        <w:rPr>
          <w:rFonts w:ascii="Corbel" w:hAnsi="Corbel"/>
          <w:b/>
          <w:bCs/>
          <w:sz w:val="21"/>
          <w:szCs w:val="21"/>
        </w:rPr>
        <w:t>.</w:t>
      </w:r>
    </w:p>
    <w:p w14:paraId="641F3C66" w14:textId="13AF2784" w:rsidR="00BC3505" w:rsidRPr="00D54539" w:rsidRDefault="00D54539" w:rsidP="00BC3505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Unverändert erhalten </w:t>
      </w:r>
      <w:r w:rsidR="0054238B">
        <w:rPr>
          <w:rFonts w:ascii="Corbel" w:hAnsi="Corbel"/>
          <w:sz w:val="21"/>
          <w:szCs w:val="21"/>
        </w:rPr>
        <w:t>A</w:t>
      </w:r>
      <w:r>
        <w:rPr>
          <w:rFonts w:ascii="Corbel" w:hAnsi="Corbel"/>
          <w:sz w:val="21"/>
          <w:szCs w:val="21"/>
        </w:rPr>
        <w:t xml:space="preserve">genturen bei TARUK eine Grundprovision von </w:t>
      </w:r>
      <w:r w:rsidRPr="00334982">
        <w:rPr>
          <w:rFonts w:ascii="Corbel" w:hAnsi="Corbel"/>
          <w:b/>
          <w:bCs/>
          <w:sz w:val="21"/>
          <w:szCs w:val="21"/>
        </w:rPr>
        <w:t>10 % ab der ersten Buchung</w:t>
      </w:r>
      <w:r>
        <w:rPr>
          <w:rFonts w:ascii="Corbel" w:hAnsi="Corbel"/>
          <w:sz w:val="21"/>
          <w:szCs w:val="21"/>
        </w:rPr>
        <w:t xml:space="preserve"> – </w:t>
      </w:r>
      <w:r>
        <w:rPr>
          <w:rFonts w:ascii="Corbel" w:hAnsi="Corbel"/>
          <w:b/>
          <w:bCs/>
          <w:sz w:val="21"/>
          <w:szCs w:val="21"/>
        </w:rPr>
        <w:t xml:space="preserve">auch auf Zusatzleistungen </w:t>
      </w:r>
      <w:r>
        <w:rPr>
          <w:rFonts w:ascii="Corbel" w:hAnsi="Corbel"/>
          <w:sz w:val="21"/>
          <w:szCs w:val="21"/>
        </w:rPr>
        <w:t>wie optionale Ausflüge oder Verlängerungsprogramme.</w:t>
      </w:r>
      <w:r w:rsidR="00334982">
        <w:rPr>
          <w:rFonts w:ascii="Corbel" w:hAnsi="Corbel"/>
          <w:sz w:val="21"/>
          <w:szCs w:val="21"/>
        </w:rPr>
        <w:t xml:space="preserve"> Schon ab einem Jahresumsatz von </w:t>
      </w:r>
      <w:r w:rsidR="0001782E">
        <w:rPr>
          <w:rFonts w:ascii="Corbel" w:hAnsi="Corbel"/>
          <w:sz w:val="21"/>
          <w:szCs w:val="21"/>
        </w:rPr>
        <w:t xml:space="preserve">&gt; </w:t>
      </w:r>
      <w:r w:rsidR="00334982">
        <w:rPr>
          <w:rFonts w:ascii="Corbel" w:hAnsi="Corbel"/>
          <w:sz w:val="21"/>
          <w:szCs w:val="21"/>
        </w:rPr>
        <w:t xml:space="preserve">12.500 € erhöht sich die Provision </w:t>
      </w:r>
      <w:r w:rsidR="0001782E">
        <w:rPr>
          <w:rFonts w:ascii="Corbel" w:hAnsi="Corbel"/>
          <w:sz w:val="21"/>
          <w:szCs w:val="21"/>
        </w:rPr>
        <w:t>für Abreise</w:t>
      </w:r>
      <w:r w:rsidR="00391714">
        <w:rPr>
          <w:rFonts w:ascii="Corbel" w:hAnsi="Corbel"/>
          <w:sz w:val="21"/>
          <w:szCs w:val="21"/>
        </w:rPr>
        <w:t>termine bis Ende</w:t>
      </w:r>
      <w:r w:rsidR="00450363">
        <w:rPr>
          <w:rFonts w:ascii="Corbel" w:hAnsi="Corbel"/>
          <w:sz w:val="21"/>
          <w:szCs w:val="21"/>
        </w:rPr>
        <w:t xml:space="preserve"> </w:t>
      </w:r>
      <w:r w:rsidR="0001782E">
        <w:rPr>
          <w:rFonts w:ascii="Corbel" w:hAnsi="Corbel"/>
          <w:sz w:val="21"/>
          <w:szCs w:val="21"/>
        </w:rPr>
        <w:t xml:space="preserve">2022 </w:t>
      </w:r>
      <w:r w:rsidR="00334982">
        <w:rPr>
          <w:rFonts w:ascii="Corbel" w:hAnsi="Corbel"/>
          <w:sz w:val="21"/>
          <w:szCs w:val="21"/>
        </w:rPr>
        <w:t xml:space="preserve">auf </w:t>
      </w:r>
      <w:r w:rsidR="00334982" w:rsidRPr="00334982">
        <w:rPr>
          <w:rFonts w:ascii="Corbel" w:hAnsi="Corbel"/>
          <w:b/>
          <w:bCs/>
          <w:sz w:val="21"/>
          <w:szCs w:val="21"/>
        </w:rPr>
        <w:t>11,5 %</w:t>
      </w:r>
      <w:r w:rsidR="00334982">
        <w:rPr>
          <w:rFonts w:ascii="Corbel" w:hAnsi="Corbel"/>
          <w:sz w:val="21"/>
          <w:szCs w:val="21"/>
        </w:rPr>
        <w:t>.</w:t>
      </w:r>
      <w:r w:rsidR="006562D9">
        <w:rPr>
          <w:rFonts w:ascii="Corbel" w:hAnsi="Corbel"/>
          <w:sz w:val="21"/>
          <w:szCs w:val="21"/>
        </w:rPr>
        <w:t xml:space="preserve"> </w:t>
      </w:r>
      <w:r w:rsidR="00E712D5">
        <w:rPr>
          <w:rFonts w:ascii="Corbel" w:hAnsi="Corbel"/>
          <w:sz w:val="21"/>
          <w:szCs w:val="21"/>
        </w:rPr>
        <w:t>Auch f</w:t>
      </w:r>
      <w:r w:rsidR="006562D9">
        <w:rPr>
          <w:rFonts w:ascii="Corbel" w:hAnsi="Corbel"/>
          <w:sz w:val="21"/>
          <w:szCs w:val="21"/>
        </w:rPr>
        <w:t xml:space="preserve">ür alle </w:t>
      </w:r>
      <w:r w:rsidR="00E712D5">
        <w:rPr>
          <w:rFonts w:ascii="Corbel" w:hAnsi="Corbel"/>
          <w:sz w:val="21"/>
          <w:szCs w:val="21"/>
        </w:rPr>
        <w:t>weiteren S</w:t>
      </w:r>
      <w:r w:rsidR="006562D9">
        <w:rPr>
          <w:rFonts w:ascii="Corbel" w:hAnsi="Corbel"/>
          <w:sz w:val="21"/>
          <w:szCs w:val="21"/>
        </w:rPr>
        <w:t xml:space="preserve">taffeln </w:t>
      </w:r>
      <w:r w:rsidR="00450363">
        <w:rPr>
          <w:rFonts w:ascii="Corbel" w:hAnsi="Corbel"/>
          <w:sz w:val="21"/>
          <w:szCs w:val="21"/>
        </w:rPr>
        <w:t xml:space="preserve">gilt </w:t>
      </w:r>
      <w:r w:rsidR="00E712D5">
        <w:rPr>
          <w:rFonts w:ascii="Corbel" w:hAnsi="Corbel"/>
          <w:sz w:val="21"/>
          <w:szCs w:val="21"/>
        </w:rPr>
        <w:t xml:space="preserve">die Halbierung </w:t>
      </w:r>
      <w:r w:rsidR="006562D9">
        <w:rPr>
          <w:rFonts w:ascii="Corbel" w:hAnsi="Corbel"/>
          <w:sz w:val="21"/>
          <w:szCs w:val="21"/>
        </w:rPr>
        <w:t xml:space="preserve">– </w:t>
      </w:r>
      <w:r w:rsidR="00E712D5">
        <w:rPr>
          <w:rFonts w:ascii="Corbel" w:hAnsi="Corbel"/>
          <w:sz w:val="21"/>
          <w:szCs w:val="21"/>
        </w:rPr>
        <w:t xml:space="preserve">so können sich Reisebüros </w:t>
      </w:r>
      <w:r w:rsidR="006562D9">
        <w:rPr>
          <w:rFonts w:ascii="Corbel" w:hAnsi="Corbel"/>
          <w:sz w:val="21"/>
          <w:szCs w:val="21"/>
        </w:rPr>
        <w:t>ab 50.00</w:t>
      </w:r>
      <w:r w:rsidR="00E712D5">
        <w:rPr>
          <w:rFonts w:ascii="Corbel" w:hAnsi="Corbel"/>
          <w:sz w:val="21"/>
          <w:szCs w:val="21"/>
        </w:rPr>
        <w:t>1</w:t>
      </w:r>
      <w:r w:rsidR="006562D9">
        <w:rPr>
          <w:rFonts w:ascii="Corbel" w:hAnsi="Corbel"/>
          <w:sz w:val="21"/>
          <w:szCs w:val="21"/>
        </w:rPr>
        <w:t xml:space="preserve"> € </w:t>
      </w:r>
      <w:r w:rsidR="00E712D5">
        <w:rPr>
          <w:rFonts w:ascii="Corbel" w:hAnsi="Corbel"/>
          <w:sz w:val="21"/>
          <w:szCs w:val="21"/>
        </w:rPr>
        <w:t xml:space="preserve">Jahresumsatz eine Provision von </w:t>
      </w:r>
      <w:r w:rsidR="00E712D5" w:rsidRPr="00E712D5">
        <w:rPr>
          <w:rFonts w:ascii="Corbel" w:hAnsi="Corbel"/>
          <w:b/>
          <w:bCs/>
          <w:sz w:val="21"/>
          <w:szCs w:val="21"/>
        </w:rPr>
        <w:t>12,5 %</w:t>
      </w:r>
      <w:r w:rsidR="00E712D5">
        <w:rPr>
          <w:rFonts w:ascii="Corbel" w:hAnsi="Corbel"/>
          <w:sz w:val="21"/>
          <w:szCs w:val="21"/>
        </w:rPr>
        <w:t xml:space="preserve"> sichern.</w:t>
      </w:r>
    </w:p>
    <w:p w14:paraId="593D39EE" w14:textId="44D6C5DD" w:rsidR="00490B66" w:rsidRDefault="00334982" w:rsidP="00BC3505">
      <w:pPr>
        <w:rPr>
          <w:rFonts w:ascii="Corbel" w:hAnsi="Corbel"/>
          <w:sz w:val="21"/>
          <w:szCs w:val="21"/>
        </w:rPr>
      </w:pPr>
      <w:r w:rsidRPr="00334982">
        <w:rPr>
          <w:rFonts w:ascii="Corbel" w:hAnsi="Corbel"/>
          <w:sz w:val="21"/>
          <w:szCs w:val="21"/>
        </w:rPr>
        <w:t>„</w:t>
      </w:r>
      <w:r>
        <w:rPr>
          <w:rFonts w:ascii="Corbel" w:hAnsi="Corbel"/>
          <w:sz w:val="21"/>
          <w:szCs w:val="21"/>
        </w:rPr>
        <w:t xml:space="preserve">Während der gesamten von Lockdowns und Unsicherheit geprägten letzten 1 ½ Jahre standen wir </w:t>
      </w:r>
      <w:r w:rsidR="006562D9">
        <w:rPr>
          <w:rFonts w:ascii="Corbel" w:hAnsi="Corbel"/>
          <w:sz w:val="21"/>
          <w:szCs w:val="21"/>
        </w:rPr>
        <w:t xml:space="preserve">im </w:t>
      </w:r>
      <w:r>
        <w:rPr>
          <w:rFonts w:ascii="Corbel" w:hAnsi="Corbel"/>
          <w:sz w:val="21"/>
          <w:szCs w:val="21"/>
        </w:rPr>
        <w:t>permanent</w:t>
      </w:r>
      <w:r w:rsidR="006562D9">
        <w:rPr>
          <w:rFonts w:ascii="Corbel" w:hAnsi="Corbel"/>
          <w:sz w:val="21"/>
          <w:szCs w:val="21"/>
        </w:rPr>
        <w:t xml:space="preserve">en und </w:t>
      </w:r>
      <w:r>
        <w:rPr>
          <w:rFonts w:ascii="Corbel" w:hAnsi="Corbel"/>
          <w:sz w:val="21"/>
          <w:szCs w:val="21"/>
        </w:rPr>
        <w:t xml:space="preserve">engen Dialog mit unseren Partneragenturen und </w:t>
      </w:r>
      <w:r w:rsidR="00391714">
        <w:rPr>
          <w:rFonts w:ascii="Corbel" w:hAnsi="Corbel"/>
          <w:sz w:val="21"/>
          <w:szCs w:val="21"/>
        </w:rPr>
        <w:t>konnten</w:t>
      </w:r>
      <w:r>
        <w:rPr>
          <w:rFonts w:ascii="Corbel" w:hAnsi="Corbel"/>
          <w:sz w:val="21"/>
          <w:szCs w:val="21"/>
        </w:rPr>
        <w:t xml:space="preserve"> </w:t>
      </w:r>
      <w:r w:rsidR="00450363">
        <w:rPr>
          <w:rFonts w:ascii="Corbel" w:hAnsi="Corbel"/>
          <w:sz w:val="21"/>
          <w:szCs w:val="21"/>
        </w:rPr>
        <w:t xml:space="preserve">uns auch in diesen Zeiten als </w:t>
      </w:r>
      <w:r w:rsidR="00450363" w:rsidRPr="0054238B">
        <w:rPr>
          <w:rFonts w:ascii="Corbel" w:hAnsi="Corbel"/>
          <w:b/>
          <w:bCs/>
          <w:sz w:val="21"/>
          <w:szCs w:val="21"/>
        </w:rPr>
        <w:t>verlässlicher Partner</w:t>
      </w:r>
      <w:r w:rsidR="00450363">
        <w:rPr>
          <w:rFonts w:ascii="Corbel" w:hAnsi="Corbel"/>
          <w:sz w:val="21"/>
          <w:szCs w:val="21"/>
        </w:rPr>
        <w:t xml:space="preserve"> auf Augenhöhe präsentier</w:t>
      </w:r>
      <w:r w:rsidR="00391714">
        <w:rPr>
          <w:rFonts w:ascii="Corbel" w:hAnsi="Corbel"/>
          <w:sz w:val="21"/>
          <w:szCs w:val="21"/>
        </w:rPr>
        <w:t>en</w:t>
      </w:r>
      <w:r w:rsidR="00450363">
        <w:rPr>
          <w:rFonts w:ascii="Corbel" w:hAnsi="Corbel"/>
          <w:sz w:val="21"/>
          <w:szCs w:val="21"/>
        </w:rPr>
        <w:t xml:space="preserve">“, </w:t>
      </w:r>
      <w:r>
        <w:rPr>
          <w:rFonts w:ascii="Corbel" w:hAnsi="Corbel"/>
          <w:sz w:val="21"/>
          <w:szCs w:val="21"/>
        </w:rPr>
        <w:t xml:space="preserve">so TARUK-Chef Johannes Haape. </w:t>
      </w:r>
      <w:r w:rsidR="00593678">
        <w:rPr>
          <w:rFonts w:ascii="Corbel" w:hAnsi="Corbel"/>
          <w:sz w:val="21"/>
          <w:szCs w:val="21"/>
        </w:rPr>
        <w:t>„Wir</w:t>
      </w:r>
      <w:r>
        <w:rPr>
          <w:rFonts w:ascii="Corbel" w:hAnsi="Corbel"/>
          <w:sz w:val="21"/>
          <w:szCs w:val="21"/>
        </w:rPr>
        <w:t xml:space="preserve"> freuen uns</w:t>
      </w:r>
      <w:r w:rsidR="00593678">
        <w:rPr>
          <w:rFonts w:ascii="Corbel" w:hAnsi="Corbel"/>
          <w:sz w:val="21"/>
          <w:szCs w:val="21"/>
        </w:rPr>
        <w:t>, dass</w:t>
      </w:r>
      <w:r w:rsidR="00490B66">
        <w:rPr>
          <w:rFonts w:ascii="Corbel" w:hAnsi="Corbel"/>
          <w:sz w:val="21"/>
          <w:szCs w:val="21"/>
        </w:rPr>
        <w:t xml:space="preserve"> </w:t>
      </w:r>
      <w:r w:rsidR="00391714">
        <w:rPr>
          <w:rFonts w:ascii="Corbel" w:hAnsi="Corbel"/>
          <w:sz w:val="21"/>
          <w:szCs w:val="21"/>
        </w:rPr>
        <w:t xml:space="preserve">Reisebüros ihre </w:t>
      </w:r>
      <w:r w:rsidR="00490B66">
        <w:rPr>
          <w:rFonts w:ascii="Corbel" w:hAnsi="Corbel"/>
          <w:sz w:val="21"/>
          <w:szCs w:val="21"/>
        </w:rPr>
        <w:t xml:space="preserve">Kunden nun </w:t>
      </w:r>
      <w:r w:rsidR="00542A4C">
        <w:rPr>
          <w:rFonts w:ascii="Corbel" w:hAnsi="Corbel"/>
          <w:sz w:val="21"/>
          <w:szCs w:val="21"/>
        </w:rPr>
        <w:t>endlich wieder zu deren Urlaubswünschen und Reiseplänen beraten können</w:t>
      </w:r>
      <w:r w:rsidR="00490B66">
        <w:rPr>
          <w:rFonts w:ascii="Corbel" w:hAnsi="Corbel"/>
          <w:sz w:val="21"/>
          <w:szCs w:val="21"/>
        </w:rPr>
        <w:t xml:space="preserve">. </w:t>
      </w:r>
      <w:r w:rsidR="00450363">
        <w:rPr>
          <w:rFonts w:ascii="Corbel" w:hAnsi="Corbel"/>
          <w:sz w:val="21"/>
          <w:szCs w:val="21"/>
        </w:rPr>
        <w:t>M</w:t>
      </w:r>
      <w:r w:rsidR="00490B66">
        <w:rPr>
          <w:rFonts w:ascii="Corbel" w:hAnsi="Corbel"/>
          <w:sz w:val="21"/>
          <w:szCs w:val="21"/>
        </w:rPr>
        <w:t xml:space="preserve">it der Halbierung unserer Provisionsstaffeln </w:t>
      </w:r>
      <w:r w:rsidR="0054238B">
        <w:rPr>
          <w:rFonts w:ascii="Corbel" w:hAnsi="Corbel"/>
          <w:sz w:val="21"/>
          <w:szCs w:val="21"/>
        </w:rPr>
        <w:t xml:space="preserve">auch für 2022 möchten wir hierbei </w:t>
      </w:r>
      <w:r w:rsidR="00490B66">
        <w:rPr>
          <w:rFonts w:ascii="Corbel" w:hAnsi="Corbel"/>
          <w:sz w:val="21"/>
          <w:szCs w:val="21"/>
        </w:rPr>
        <w:t xml:space="preserve">eine zusätzliche Motivationsspritze </w:t>
      </w:r>
      <w:r w:rsidR="006562D9">
        <w:rPr>
          <w:rFonts w:ascii="Corbel" w:hAnsi="Corbel"/>
          <w:sz w:val="21"/>
          <w:szCs w:val="21"/>
        </w:rPr>
        <w:t>schaffen.“</w:t>
      </w:r>
    </w:p>
    <w:p w14:paraId="6FCFF45A" w14:textId="0015966D" w:rsidR="006562D9" w:rsidRDefault="006562D9" w:rsidP="00BC3505">
      <w:pPr>
        <w:rPr>
          <w:rFonts w:ascii="Corbel" w:hAnsi="Corbel"/>
          <w:sz w:val="21"/>
          <w:szCs w:val="21"/>
        </w:rPr>
      </w:pPr>
      <w:r>
        <w:rPr>
          <w:rFonts w:ascii="Corbel" w:hAnsi="Corbel"/>
          <w:sz w:val="21"/>
          <w:szCs w:val="21"/>
        </w:rPr>
        <w:t xml:space="preserve">Reisebüros, die noch keinen </w:t>
      </w:r>
      <w:r w:rsidRPr="00D63EFB">
        <w:rPr>
          <w:rFonts w:ascii="Corbel" w:hAnsi="Corbel"/>
          <w:b/>
          <w:bCs/>
          <w:sz w:val="21"/>
          <w:szCs w:val="21"/>
        </w:rPr>
        <w:t>TARUK-Agenturvertrag</w:t>
      </w:r>
      <w:r>
        <w:rPr>
          <w:rFonts w:ascii="Corbel" w:hAnsi="Corbel"/>
          <w:sz w:val="21"/>
          <w:szCs w:val="21"/>
        </w:rPr>
        <w:t xml:space="preserve"> haben, können diesen jederzeit beantragen – ganz einfach per Mail an </w:t>
      </w:r>
      <w:hyperlink r:id="rId9" w:history="1">
        <w:r w:rsidRPr="00F72736">
          <w:rPr>
            <w:rStyle w:val="Hyperlink"/>
            <w:rFonts w:ascii="Corbel" w:hAnsi="Corbel"/>
            <w:sz w:val="21"/>
            <w:szCs w:val="21"/>
          </w:rPr>
          <w:t>j.harder@taruk.com</w:t>
        </w:r>
      </w:hyperlink>
      <w:r>
        <w:rPr>
          <w:rFonts w:ascii="Corbel" w:hAnsi="Corbel"/>
          <w:sz w:val="21"/>
          <w:szCs w:val="21"/>
        </w:rPr>
        <w:t xml:space="preserve">. </w:t>
      </w:r>
    </w:p>
    <w:p w14:paraId="5DD23220" w14:textId="77777777" w:rsidR="006562D9" w:rsidRDefault="006562D9" w:rsidP="00BC3505">
      <w:pPr>
        <w:rPr>
          <w:rFonts w:ascii="Corbel" w:hAnsi="Corbel"/>
          <w:sz w:val="21"/>
          <w:szCs w:val="21"/>
        </w:rPr>
      </w:pPr>
    </w:p>
    <w:p w14:paraId="092D08E7" w14:textId="2A1B042D" w:rsidR="00237F8B" w:rsidRPr="00391714" w:rsidRDefault="0021313E" w:rsidP="00B916FA">
      <w:pPr>
        <w:rPr>
          <w:sz w:val="19"/>
          <w:szCs w:val="19"/>
        </w:rPr>
      </w:pPr>
      <w:r w:rsidRPr="00391714">
        <w:rPr>
          <w:rFonts w:ascii="Corbel" w:hAnsi="Corbel"/>
          <w:i/>
          <w:sz w:val="19"/>
          <w:szCs w:val="19"/>
        </w:rPr>
        <w:t xml:space="preserve">Textlänge: </w:t>
      </w:r>
      <w:r w:rsidR="0001782E" w:rsidRPr="00391714">
        <w:rPr>
          <w:rFonts w:ascii="Corbel" w:hAnsi="Corbel"/>
          <w:i/>
          <w:sz w:val="19"/>
          <w:szCs w:val="19"/>
        </w:rPr>
        <w:t>1.</w:t>
      </w:r>
      <w:r w:rsidR="0054238B" w:rsidRPr="00391714">
        <w:rPr>
          <w:rFonts w:ascii="Corbel" w:hAnsi="Corbel"/>
          <w:i/>
          <w:sz w:val="19"/>
          <w:szCs w:val="19"/>
        </w:rPr>
        <w:t>3</w:t>
      </w:r>
      <w:r w:rsidR="00542A4C">
        <w:rPr>
          <w:rFonts w:ascii="Corbel" w:hAnsi="Corbel"/>
          <w:i/>
          <w:sz w:val="19"/>
          <w:szCs w:val="19"/>
        </w:rPr>
        <w:t>88</w:t>
      </w:r>
      <w:r w:rsidR="003576B3" w:rsidRPr="00391714">
        <w:rPr>
          <w:rFonts w:ascii="Corbel" w:hAnsi="Corbel"/>
          <w:i/>
          <w:sz w:val="19"/>
          <w:szCs w:val="19"/>
        </w:rPr>
        <w:t xml:space="preserve"> </w:t>
      </w:r>
      <w:r w:rsidRPr="00391714">
        <w:rPr>
          <w:rFonts w:ascii="Corbel" w:hAnsi="Corbel"/>
          <w:i/>
          <w:sz w:val="19"/>
          <w:szCs w:val="19"/>
        </w:rPr>
        <w:t>Zeichen inkl. Leerzeiche</w:t>
      </w:r>
      <w:r w:rsidR="00391714" w:rsidRPr="00391714">
        <w:rPr>
          <w:rFonts w:ascii="Corbel" w:hAnsi="Corbel"/>
          <w:i/>
          <w:sz w:val="19"/>
          <w:szCs w:val="19"/>
        </w:rPr>
        <w:t>n</w:t>
      </w:r>
      <w:r w:rsidR="00391714" w:rsidRPr="00391714">
        <w:rPr>
          <w:rFonts w:ascii="Corbel" w:hAnsi="Corbel"/>
          <w:i/>
          <w:sz w:val="19"/>
          <w:szCs w:val="19"/>
        </w:rPr>
        <w:br/>
      </w:r>
      <w:r w:rsidR="00391714" w:rsidRPr="00391714">
        <w:rPr>
          <w:rFonts w:ascii="Corbel" w:hAnsi="Corbel"/>
          <w:i/>
          <w:sz w:val="19"/>
          <w:szCs w:val="19"/>
        </w:rPr>
        <w:br/>
      </w:r>
      <w:r w:rsidR="00391714" w:rsidRPr="00391714">
        <w:rPr>
          <w:i/>
          <w:iCs/>
          <w:sz w:val="19"/>
          <w:szCs w:val="19"/>
        </w:rPr>
        <w:t xml:space="preserve">Bildunterschrift: </w:t>
      </w:r>
      <w:r w:rsidR="00391714" w:rsidRPr="00391714">
        <w:rPr>
          <w:sz w:val="19"/>
          <w:szCs w:val="19"/>
        </w:rPr>
        <w:t>TARUK, Pionier für Kleingruppen-Rundreisen, blickt weiterhin mit viel Optimismus in die Zukunft</w:t>
      </w:r>
      <w:r w:rsidR="00391714" w:rsidRPr="00391714">
        <w:rPr>
          <w:i/>
          <w:iCs/>
          <w:sz w:val="19"/>
          <w:szCs w:val="19"/>
        </w:rPr>
        <w:t xml:space="preserve">  </w:t>
      </w:r>
      <w:r w:rsidR="00CF4221" w:rsidRPr="00391714">
        <w:rPr>
          <w:rFonts w:ascii="Corbel" w:hAnsi="Corbel"/>
          <w:i/>
          <w:sz w:val="19"/>
          <w:szCs w:val="19"/>
        </w:rPr>
        <w:br/>
      </w:r>
      <w:r w:rsidR="00CF4221" w:rsidRPr="00391714">
        <w:rPr>
          <w:rFonts w:ascii="Corbel" w:hAnsi="Corbel"/>
          <w:iCs/>
          <w:sz w:val="19"/>
          <w:szCs w:val="19"/>
        </w:rPr>
        <w:br/>
      </w:r>
      <w:r w:rsidR="00237F8B" w:rsidRPr="00391714">
        <w:rPr>
          <w:rFonts w:ascii="Corbel" w:hAnsi="Corbel"/>
          <w:iCs/>
          <w:sz w:val="19"/>
          <w:szCs w:val="19"/>
        </w:rPr>
        <w:t>Weitere Infos unte</w:t>
      </w:r>
      <w:r w:rsidR="009E2F3E" w:rsidRPr="00391714">
        <w:rPr>
          <w:rFonts w:ascii="Corbel" w:hAnsi="Corbel"/>
          <w:iCs/>
          <w:sz w:val="19"/>
          <w:szCs w:val="19"/>
        </w:rPr>
        <w:t xml:space="preserve">r </w:t>
      </w:r>
      <w:hyperlink r:id="rId10" w:history="1">
        <w:r w:rsidR="009A2FCF" w:rsidRPr="00391714">
          <w:rPr>
            <w:rStyle w:val="Hyperlink"/>
            <w:rFonts w:ascii="Corbel" w:hAnsi="Corbel"/>
            <w:iCs/>
            <w:sz w:val="19"/>
            <w:szCs w:val="19"/>
          </w:rPr>
          <w:t>www.taruk.com</w:t>
        </w:r>
      </w:hyperlink>
      <w:r w:rsidR="00335D70" w:rsidRPr="00391714">
        <w:rPr>
          <w:rStyle w:val="Hyperlink"/>
          <w:rFonts w:ascii="Corbel" w:hAnsi="Corbel"/>
          <w:iCs/>
          <w:sz w:val="19"/>
          <w:szCs w:val="19"/>
        </w:rPr>
        <w:br/>
      </w:r>
      <w:r w:rsidR="00335D70" w:rsidRPr="00391714">
        <w:rPr>
          <w:rStyle w:val="Hyperlink"/>
          <w:rFonts w:ascii="Corbel" w:hAnsi="Corbel"/>
          <w:iCs/>
          <w:sz w:val="19"/>
          <w:szCs w:val="19"/>
        </w:rPr>
        <w:br/>
      </w:r>
      <w:r w:rsidR="00C41691" w:rsidRPr="00391714">
        <w:rPr>
          <w:i/>
          <w:iCs/>
          <w:sz w:val="19"/>
          <w:szCs w:val="19"/>
        </w:rPr>
        <w:br/>
      </w:r>
    </w:p>
    <w:p w14:paraId="1D8C41BC" w14:textId="125BAA87" w:rsidR="00237F8B" w:rsidRDefault="00237F8B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p w14:paraId="61A9C2A6" w14:textId="77777777" w:rsidR="00B916FA" w:rsidRPr="00237F8B" w:rsidRDefault="00B916FA" w:rsidP="00CD6A7D">
      <w:pPr>
        <w:rPr>
          <w:rFonts w:ascii="Corbel" w:hAnsi="Corbel"/>
          <w:i/>
          <w:iCs/>
          <w:color w:val="767171" w:themeColor="background2" w:themeShade="80"/>
          <w:sz w:val="10"/>
          <w:szCs w:val="10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506"/>
        <w:gridCol w:w="3969"/>
      </w:tblGrid>
      <w:tr w:rsidR="00C44821" w:rsidRPr="0049258F" w14:paraId="4A0EF0FC" w14:textId="77777777" w:rsidTr="00EF4C74">
        <w:trPr>
          <w:trHeight w:val="4031"/>
        </w:trPr>
        <w:tc>
          <w:tcPr>
            <w:tcW w:w="550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4B2242" w:rsidRDefault="00C44821" w:rsidP="00D40636">
            <w:pPr>
              <w:pStyle w:val="Presseinfo-berschrift2"/>
            </w:pPr>
            <w:r>
              <w:t xml:space="preserve">Über </w:t>
            </w:r>
            <w:r w:rsidRPr="004B2242">
              <w:t>TARUK</w:t>
            </w:r>
            <w:r>
              <w:t xml:space="preserve"> </w:t>
            </w:r>
          </w:p>
          <w:p w14:paraId="2068E530" w14:textId="2EC978AA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E</w:t>
            </w:r>
            <w:r w:rsidR="00C911BF">
              <w:t>inzigartige</w:t>
            </w:r>
            <w:r>
              <w:t xml:space="preserve"> Rundreisen in </w:t>
            </w:r>
            <w:r w:rsidR="00EF37FF">
              <w:t>Klein- und Kleinstg</w:t>
            </w:r>
            <w:r>
              <w:t xml:space="preserve">ruppen </w:t>
            </w:r>
            <w:r w:rsidR="0001782E">
              <w:t xml:space="preserve">auf fünf Kontinenten </w:t>
            </w:r>
            <w:r>
              <w:t>sowie Selbstfahrer-Touren</w:t>
            </w:r>
          </w:p>
          <w:p w14:paraId="732D2EC9" w14:textId="582F3921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Persönlich konzipierte</w:t>
            </w:r>
            <w:r w:rsidR="0001782E">
              <w:t>, außergewöhnliche</w:t>
            </w:r>
            <w:r>
              <w:t xml:space="preserve"> </w:t>
            </w:r>
            <w:r w:rsidR="00C911BF">
              <w:t>Reiserouten u</w:t>
            </w:r>
            <w:r>
              <w:t xml:space="preserve">nd </w:t>
            </w:r>
            <w:r w:rsidR="00C911BF">
              <w:t>-</w:t>
            </w:r>
            <w:r>
              <w:t>programme</w:t>
            </w:r>
          </w:p>
          <w:p w14:paraId="2768D8BF" w14:textId="1CDDE0AE" w:rsidR="00C44821" w:rsidRDefault="00C911BF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H</w:t>
            </w:r>
            <w:r w:rsidR="00C44821">
              <w:t>andverlesene</w:t>
            </w:r>
            <w:r>
              <w:t xml:space="preserve"> landestypische </w:t>
            </w:r>
            <w:r w:rsidR="00C44821">
              <w:t>Unterkünfte</w:t>
            </w:r>
            <w:r w:rsidR="009E2F3E">
              <w:t xml:space="preserve"> mit </w:t>
            </w:r>
            <w:r>
              <w:t>individuellen</w:t>
            </w:r>
            <w:r w:rsidR="009E2F3E">
              <w:t xml:space="preserve"> Hygienekonzepten</w:t>
            </w:r>
          </w:p>
          <w:p w14:paraId="3E3A8FDE" w14:textId="072FEBDA" w:rsidR="00C911BF" w:rsidRDefault="00C911BF" w:rsidP="00EF4C74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 xml:space="preserve">Persönliche Betreuung der Reisegäste durch einheimische deutschsprachige Reiseleiter </w:t>
            </w:r>
          </w:p>
          <w:p w14:paraId="7C4FD772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Intensive, authentische Begegnungen mit Menschen, Natur und Kultur</w:t>
            </w:r>
          </w:p>
          <w:p w14:paraId="63587B2C" w14:textId="02A70FF8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</w:pPr>
            <w:r>
              <w:t>Alle Katalogreisen auch als Privatreisen buchbar</w:t>
            </w:r>
            <w:r w:rsidR="0001782E">
              <w:t xml:space="preserve"> – von 2 bis 12 Personen</w:t>
            </w:r>
          </w:p>
          <w:p w14:paraId="547A3BB9" w14:textId="0226D4E6" w:rsidR="00C44821" w:rsidRPr="00ED24AF" w:rsidRDefault="00C44821" w:rsidP="0001782E">
            <w:pPr>
              <w:pStyle w:val="Listenabsatz"/>
              <w:ind w:right="174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Default="00C44821" w:rsidP="00EF4C74">
            <w:pPr>
              <w:spacing w:before="120" w:after="0" w:line="288" w:lineRule="auto"/>
              <w:jc w:val="center"/>
              <w:rPr>
                <w:b/>
                <w:sz w:val="18"/>
                <w:szCs w:val="18"/>
              </w:rPr>
            </w:pPr>
          </w:p>
          <w:p w14:paraId="151F984B" w14:textId="30F44D9E" w:rsidR="00C44821" w:rsidRDefault="00454996" w:rsidP="00EF4C74">
            <w:pPr>
              <w:pStyle w:val="Default"/>
              <w:spacing w:after="120"/>
              <w:jc w:val="center"/>
              <w:rPr>
                <w:b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0C0D80" w:rsidRDefault="00C44821" w:rsidP="00EF4C7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sz w:val="16"/>
                <w:szCs w:val="16"/>
              </w:rPr>
              <w:t>Ihr Pressekontakt bei TARUK</w:t>
            </w:r>
            <w:r w:rsidR="00454996" w:rsidRPr="000C0D80">
              <w:rPr>
                <w:rFonts w:asciiTheme="minorHAnsi" w:hAnsiTheme="minorHAnsi" w:cstheme="minorHAnsi"/>
                <w:b/>
                <w:sz w:val="8"/>
                <w:szCs w:val="8"/>
              </w:rPr>
              <w:br/>
            </w:r>
          </w:p>
          <w:p w14:paraId="6E6B9152" w14:textId="77777777" w:rsidR="00454996" w:rsidRPr="000C0D80" w:rsidRDefault="0043736B" w:rsidP="00454996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Jens Harder</w:t>
            </w:r>
            <w:r w:rsidR="00C44821" w:rsidRPr="000C0D80">
              <w:rPr>
                <w:rFonts w:asciiTheme="minorHAnsi" w:hAnsiTheme="minorHAnsi" w:cstheme="minorHAnsi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52AC056E" w14:textId="3DD980FC" w:rsidR="00C44821" w:rsidRPr="000C0D80" w:rsidRDefault="00C44821" w:rsidP="00454996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6"/>
                <w:szCs w:val="6"/>
              </w:rPr>
            </w:pPr>
            <w:r w:rsidRPr="000C0D80"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  <w:t xml:space="preserve">                </w:t>
            </w:r>
            <w:r w:rsidRPr="000C0D80">
              <w:rPr>
                <w:rFonts w:asciiTheme="minorHAnsi" w:hAnsiTheme="minorHAnsi" w:cstheme="minorHAnsi"/>
                <w:iCs/>
                <w:sz w:val="12"/>
                <w:szCs w:val="12"/>
              </w:rPr>
              <w:br/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 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Presse- und Öffentlichkeitsarbeit</w:t>
            </w:r>
            <w:r w:rsidR="00B916FA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-</w:t>
            </w:r>
            <w:r w:rsidR="00454996" w:rsidRPr="000C0D80">
              <w:rPr>
                <w:rFonts w:asciiTheme="minorHAnsi" w:hAnsiTheme="minorHAnsi" w:cstheme="minorHAnsi"/>
                <w:iCs/>
                <w:sz w:val="6"/>
                <w:szCs w:val="6"/>
              </w:rPr>
              <w:br/>
            </w:r>
          </w:p>
          <w:p w14:paraId="2C591FE8" w14:textId="221DAEFD" w:rsidR="00C44821" w:rsidRPr="000C0D80" w:rsidRDefault="00EF37FF" w:rsidP="00EF4C74">
            <w:pPr>
              <w:pStyle w:val="Default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Friedrich-Ebert-Straße 18</w:t>
            </w:r>
            <w:r w:rsidR="001B51B7">
              <w:rPr>
                <w:rFonts w:asciiTheme="minorHAnsi" w:hAnsiTheme="minorHAnsi" w:cstheme="minorHAnsi"/>
                <w:iCs/>
                <w:sz w:val="16"/>
                <w:szCs w:val="16"/>
              </w:rPr>
              <w:br/>
            </w:r>
            <w:r w:rsidR="00C44821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0C0D80" w:rsidRDefault="00C44821" w:rsidP="00EF4C74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Telefon: +49-(0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)33209</w:t>
            </w:r>
            <w:r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-</w:t>
            </w:r>
            <w:r w:rsidR="00454996" w:rsidRPr="000C0D80">
              <w:rPr>
                <w:rFonts w:asciiTheme="minorHAnsi" w:hAnsiTheme="minorHAnsi" w:cstheme="minorHAnsi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0C0D80" w:rsidRDefault="00454996" w:rsidP="00EF4C74">
            <w:pPr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j.harder</w:t>
            </w:r>
            <w:r w:rsidR="00C44821" w:rsidRPr="000C0D80">
              <w:rPr>
                <w:rFonts w:asciiTheme="minorHAnsi" w:hAnsiTheme="minorHAnsi" w:cstheme="minorHAnsi"/>
                <w:sz w:val="16"/>
                <w:szCs w:val="16"/>
              </w:rPr>
              <w:t>@taruk.com</w:t>
            </w:r>
          </w:p>
          <w:p w14:paraId="41C55306" w14:textId="5328E5FA" w:rsidR="00C44821" w:rsidRPr="00921835" w:rsidRDefault="00C44821" w:rsidP="00EF4C74">
            <w:pPr>
              <w:pStyle w:val="Default"/>
              <w:spacing w:after="120"/>
              <w:jc w:val="center"/>
              <w:rPr>
                <w:b/>
                <w:sz w:val="16"/>
                <w:szCs w:val="16"/>
              </w:rPr>
            </w:pPr>
            <w:r w:rsidRPr="000C0D80">
              <w:rPr>
                <w:rFonts w:asciiTheme="minorHAnsi" w:hAnsiTheme="minorHAnsi" w:cstheme="minorHAnsi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2F3F" w:rsidRDefault="00C44821" w:rsidP="00AB3BA8">
      <w:pPr>
        <w:pStyle w:val="Default"/>
        <w:spacing w:after="120"/>
        <w:rPr>
          <w:sz w:val="12"/>
          <w:szCs w:val="12"/>
        </w:rPr>
      </w:pPr>
    </w:p>
    <w:sectPr w:rsidR="00C44821" w:rsidRPr="00282F3F" w:rsidSect="00092214">
      <w:headerReference w:type="default" r:id="rId12"/>
      <w:footerReference w:type="default" r:id="rId13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E3442E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E3442E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2B22"/>
    <w:multiLevelType w:val="hybridMultilevel"/>
    <w:tmpl w:val="0A667092"/>
    <w:lvl w:ilvl="0" w:tplc="1982E7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2C2"/>
    <w:multiLevelType w:val="hybridMultilevel"/>
    <w:tmpl w:val="76ECA324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3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5F36"/>
    <w:multiLevelType w:val="hybridMultilevel"/>
    <w:tmpl w:val="A77CD730"/>
    <w:lvl w:ilvl="0" w:tplc="4B100BB4">
      <w:start w:val="1"/>
      <w:numFmt w:val="bullet"/>
      <w:lvlText w:val=""/>
      <w:lvlJc w:val="left"/>
      <w:pPr>
        <w:ind w:left="704" w:hanging="70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autoHyphenation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2518"/>
    <w:rsid w:val="0000597D"/>
    <w:rsid w:val="000140A2"/>
    <w:rsid w:val="0001782E"/>
    <w:rsid w:val="00020796"/>
    <w:rsid w:val="00027FB0"/>
    <w:rsid w:val="00031DFE"/>
    <w:rsid w:val="000357B6"/>
    <w:rsid w:val="000416D1"/>
    <w:rsid w:val="00043024"/>
    <w:rsid w:val="00043B55"/>
    <w:rsid w:val="00043EB2"/>
    <w:rsid w:val="00055205"/>
    <w:rsid w:val="0006162D"/>
    <w:rsid w:val="0006308E"/>
    <w:rsid w:val="00066FF2"/>
    <w:rsid w:val="0007348D"/>
    <w:rsid w:val="00075910"/>
    <w:rsid w:val="00080D4A"/>
    <w:rsid w:val="0009158F"/>
    <w:rsid w:val="00092214"/>
    <w:rsid w:val="000A3929"/>
    <w:rsid w:val="000B0B65"/>
    <w:rsid w:val="000C0D80"/>
    <w:rsid w:val="000D3091"/>
    <w:rsid w:val="000D7982"/>
    <w:rsid w:val="000E0042"/>
    <w:rsid w:val="000E1808"/>
    <w:rsid w:val="000E1B63"/>
    <w:rsid w:val="000E2CDC"/>
    <w:rsid w:val="000E2DF1"/>
    <w:rsid w:val="000E4BC4"/>
    <w:rsid w:val="00100EC6"/>
    <w:rsid w:val="001035BC"/>
    <w:rsid w:val="00103F4C"/>
    <w:rsid w:val="0010667A"/>
    <w:rsid w:val="001066A5"/>
    <w:rsid w:val="00107487"/>
    <w:rsid w:val="0011072D"/>
    <w:rsid w:val="00120F5B"/>
    <w:rsid w:val="00123A4C"/>
    <w:rsid w:val="00124807"/>
    <w:rsid w:val="001253E1"/>
    <w:rsid w:val="00125CDA"/>
    <w:rsid w:val="001328B9"/>
    <w:rsid w:val="001331BF"/>
    <w:rsid w:val="00136905"/>
    <w:rsid w:val="0014562E"/>
    <w:rsid w:val="00147F49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51B7"/>
    <w:rsid w:val="001B7669"/>
    <w:rsid w:val="001C11D3"/>
    <w:rsid w:val="001C3AC7"/>
    <w:rsid w:val="001C72B8"/>
    <w:rsid w:val="001D2BF5"/>
    <w:rsid w:val="001D3800"/>
    <w:rsid w:val="001D3EF8"/>
    <w:rsid w:val="001D45DE"/>
    <w:rsid w:val="001E02D3"/>
    <w:rsid w:val="001E1A6D"/>
    <w:rsid w:val="001E3F5E"/>
    <w:rsid w:val="001F0043"/>
    <w:rsid w:val="001F0393"/>
    <w:rsid w:val="00205EFC"/>
    <w:rsid w:val="0021313E"/>
    <w:rsid w:val="00213C9F"/>
    <w:rsid w:val="002161EC"/>
    <w:rsid w:val="002205E5"/>
    <w:rsid w:val="00223B67"/>
    <w:rsid w:val="00236F3E"/>
    <w:rsid w:val="00237F8B"/>
    <w:rsid w:val="002457CC"/>
    <w:rsid w:val="00246134"/>
    <w:rsid w:val="002524A3"/>
    <w:rsid w:val="00252DDA"/>
    <w:rsid w:val="002555BC"/>
    <w:rsid w:val="002626E8"/>
    <w:rsid w:val="00263C9A"/>
    <w:rsid w:val="0026445D"/>
    <w:rsid w:val="00264572"/>
    <w:rsid w:val="00265F5C"/>
    <w:rsid w:val="00270117"/>
    <w:rsid w:val="00271D9E"/>
    <w:rsid w:val="00281A97"/>
    <w:rsid w:val="00282F3F"/>
    <w:rsid w:val="002841BF"/>
    <w:rsid w:val="002854F9"/>
    <w:rsid w:val="002857A0"/>
    <w:rsid w:val="00285E56"/>
    <w:rsid w:val="00290E2A"/>
    <w:rsid w:val="002913DD"/>
    <w:rsid w:val="00293DF6"/>
    <w:rsid w:val="00296E43"/>
    <w:rsid w:val="002975F7"/>
    <w:rsid w:val="002A656E"/>
    <w:rsid w:val="002A67DD"/>
    <w:rsid w:val="002B102A"/>
    <w:rsid w:val="002B7091"/>
    <w:rsid w:val="002C075B"/>
    <w:rsid w:val="002C08E3"/>
    <w:rsid w:val="002C1357"/>
    <w:rsid w:val="002C3F8C"/>
    <w:rsid w:val="002D03B3"/>
    <w:rsid w:val="002D7A6A"/>
    <w:rsid w:val="002D7F84"/>
    <w:rsid w:val="002F2A89"/>
    <w:rsid w:val="002F2F4B"/>
    <w:rsid w:val="002F362A"/>
    <w:rsid w:val="00300B4D"/>
    <w:rsid w:val="003105F8"/>
    <w:rsid w:val="003120A3"/>
    <w:rsid w:val="0031252E"/>
    <w:rsid w:val="00314A54"/>
    <w:rsid w:val="003236DF"/>
    <w:rsid w:val="0032682D"/>
    <w:rsid w:val="00331144"/>
    <w:rsid w:val="00334982"/>
    <w:rsid w:val="00335D70"/>
    <w:rsid w:val="0033627B"/>
    <w:rsid w:val="00337AB3"/>
    <w:rsid w:val="00341C9A"/>
    <w:rsid w:val="00342EB4"/>
    <w:rsid w:val="003441A5"/>
    <w:rsid w:val="0034592F"/>
    <w:rsid w:val="00351E9A"/>
    <w:rsid w:val="003530CA"/>
    <w:rsid w:val="00356564"/>
    <w:rsid w:val="003576B3"/>
    <w:rsid w:val="00360A48"/>
    <w:rsid w:val="00362C1F"/>
    <w:rsid w:val="00371702"/>
    <w:rsid w:val="00377519"/>
    <w:rsid w:val="003812C8"/>
    <w:rsid w:val="00382677"/>
    <w:rsid w:val="00384418"/>
    <w:rsid w:val="0038515F"/>
    <w:rsid w:val="00385435"/>
    <w:rsid w:val="0038571E"/>
    <w:rsid w:val="00391714"/>
    <w:rsid w:val="00393013"/>
    <w:rsid w:val="00395137"/>
    <w:rsid w:val="003A129A"/>
    <w:rsid w:val="003A3318"/>
    <w:rsid w:val="003A3504"/>
    <w:rsid w:val="003A5B13"/>
    <w:rsid w:val="003B177B"/>
    <w:rsid w:val="003B2659"/>
    <w:rsid w:val="003B6BF5"/>
    <w:rsid w:val="003C0729"/>
    <w:rsid w:val="003C2ECB"/>
    <w:rsid w:val="003C35DE"/>
    <w:rsid w:val="003C5135"/>
    <w:rsid w:val="003D1608"/>
    <w:rsid w:val="003D257B"/>
    <w:rsid w:val="003D453E"/>
    <w:rsid w:val="003D5445"/>
    <w:rsid w:val="003D5497"/>
    <w:rsid w:val="003E0135"/>
    <w:rsid w:val="003E2FFF"/>
    <w:rsid w:val="003E3CE7"/>
    <w:rsid w:val="003F227E"/>
    <w:rsid w:val="003F6E66"/>
    <w:rsid w:val="003F790C"/>
    <w:rsid w:val="004025BB"/>
    <w:rsid w:val="00403DCD"/>
    <w:rsid w:val="004047DA"/>
    <w:rsid w:val="00411575"/>
    <w:rsid w:val="00412BE7"/>
    <w:rsid w:val="00413142"/>
    <w:rsid w:val="00414C02"/>
    <w:rsid w:val="0042450A"/>
    <w:rsid w:val="00425C41"/>
    <w:rsid w:val="0043051F"/>
    <w:rsid w:val="0043347D"/>
    <w:rsid w:val="00437159"/>
    <w:rsid w:val="00437204"/>
    <w:rsid w:val="00437294"/>
    <w:rsid w:val="0043736B"/>
    <w:rsid w:val="00443B54"/>
    <w:rsid w:val="00444F4D"/>
    <w:rsid w:val="00445EF6"/>
    <w:rsid w:val="004474BD"/>
    <w:rsid w:val="00450363"/>
    <w:rsid w:val="00451B5C"/>
    <w:rsid w:val="00451FD5"/>
    <w:rsid w:val="00452202"/>
    <w:rsid w:val="0045383E"/>
    <w:rsid w:val="00454996"/>
    <w:rsid w:val="004636D1"/>
    <w:rsid w:val="00465FCD"/>
    <w:rsid w:val="00466908"/>
    <w:rsid w:val="00472C76"/>
    <w:rsid w:val="00484365"/>
    <w:rsid w:val="00490B66"/>
    <w:rsid w:val="0049258F"/>
    <w:rsid w:val="00492E16"/>
    <w:rsid w:val="004A7DB4"/>
    <w:rsid w:val="004B1275"/>
    <w:rsid w:val="004B2242"/>
    <w:rsid w:val="004B3EA7"/>
    <w:rsid w:val="004B5C0A"/>
    <w:rsid w:val="004B6370"/>
    <w:rsid w:val="004B7EC7"/>
    <w:rsid w:val="004C1493"/>
    <w:rsid w:val="004C49E7"/>
    <w:rsid w:val="004C624E"/>
    <w:rsid w:val="004C68CB"/>
    <w:rsid w:val="004C7FA1"/>
    <w:rsid w:val="004D2BBF"/>
    <w:rsid w:val="004D669D"/>
    <w:rsid w:val="004D6711"/>
    <w:rsid w:val="004E056B"/>
    <w:rsid w:val="004E065B"/>
    <w:rsid w:val="004E4373"/>
    <w:rsid w:val="004E5285"/>
    <w:rsid w:val="004F1E48"/>
    <w:rsid w:val="00503286"/>
    <w:rsid w:val="00503535"/>
    <w:rsid w:val="00503CF6"/>
    <w:rsid w:val="005174FC"/>
    <w:rsid w:val="0052601B"/>
    <w:rsid w:val="005274C3"/>
    <w:rsid w:val="00531EE4"/>
    <w:rsid w:val="0054238B"/>
    <w:rsid w:val="00542A4C"/>
    <w:rsid w:val="00544AB7"/>
    <w:rsid w:val="0055403A"/>
    <w:rsid w:val="005649B5"/>
    <w:rsid w:val="005662B9"/>
    <w:rsid w:val="00575342"/>
    <w:rsid w:val="005763A7"/>
    <w:rsid w:val="0058023E"/>
    <w:rsid w:val="0058173F"/>
    <w:rsid w:val="00582901"/>
    <w:rsid w:val="0058464E"/>
    <w:rsid w:val="00587AEC"/>
    <w:rsid w:val="005927F2"/>
    <w:rsid w:val="00592D70"/>
    <w:rsid w:val="00593678"/>
    <w:rsid w:val="005A0807"/>
    <w:rsid w:val="005A173B"/>
    <w:rsid w:val="005A68AF"/>
    <w:rsid w:val="005A7F2C"/>
    <w:rsid w:val="005B267C"/>
    <w:rsid w:val="005B7DF5"/>
    <w:rsid w:val="005C15DD"/>
    <w:rsid w:val="005C1748"/>
    <w:rsid w:val="005C40F6"/>
    <w:rsid w:val="005C456C"/>
    <w:rsid w:val="005C6896"/>
    <w:rsid w:val="005D19F6"/>
    <w:rsid w:val="005E7C91"/>
    <w:rsid w:val="005E7E18"/>
    <w:rsid w:val="005E7F42"/>
    <w:rsid w:val="005F7C7A"/>
    <w:rsid w:val="00602492"/>
    <w:rsid w:val="0060256C"/>
    <w:rsid w:val="006036E4"/>
    <w:rsid w:val="00603F8D"/>
    <w:rsid w:val="00604A1D"/>
    <w:rsid w:val="00604AC0"/>
    <w:rsid w:val="00606A92"/>
    <w:rsid w:val="00606F0C"/>
    <w:rsid w:val="00607631"/>
    <w:rsid w:val="006157B5"/>
    <w:rsid w:val="00617DD7"/>
    <w:rsid w:val="0063396E"/>
    <w:rsid w:val="006362FA"/>
    <w:rsid w:val="0064001E"/>
    <w:rsid w:val="00645320"/>
    <w:rsid w:val="0064590B"/>
    <w:rsid w:val="0064672E"/>
    <w:rsid w:val="00653597"/>
    <w:rsid w:val="006547C0"/>
    <w:rsid w:val="006562D9"/>
    <w:rsid w:val="00664C42"/>
    <w:rsid w:val="00670445"/>
    <w:rsid w:val="00670E6A"/>
    <w:rsid w:val="00672F21"/>
    <w:rsid w:val="00674B06"/>
    <w:rsid w:val="00677635"/>
    <w:rsid w:val="00682BC0"/>
    <w:rsid w:val="0068415F"/>
    <w:rsid w:val="00684A3D"/>
    <w:rsid w:val="006A1711"/>
    <w:rsid w:val="006A1850"/>
    <w:rsid w:val="006A1F21"/>
    <w:rsid w:val="006A4E65"/>
    <w:rsid w:val="006A685F"/>
    <w:rsid w:val="006B0539"/>
    <w:rsid w:val="006D2CD7"/>
    <w:rsid w:val="006E04C0"/>
    <w:rsid w:val="006E3500"/>
    <w:rsid w:val="006E46A3"/>
    <w:rsid w:val="006E6E4B"/>
    <w:rsid w:val="006F063F"/>
    <w:rsid w:val="006F1AF6"/>
    <w:rsid w:val="006F6248"/>
    <w:rsid w:val="006F6C76"/>
    <w:rsid w:val="007002F8"/>
    <w:rsid w:val="0070075B"/>
    <w:rsid w:val="007054C0"/>
    <w:rsid w:val="00706AC9"/>
    <w:rsid w:val="00707E45"/>
    <w:rsid w:val="00710ECA"/>
    <w:rsid w:val="00713EF8"/>
    <w:rsid w:val="0071492F"/>
    <w:rsid w:val="00715B9B"/>
    <w:rsid w:val="00716F3B"/>
    <w:rsid w:val="0074254F"/>
    <w:rsid w:val="007523E3"/>
    <w:rsid w:val="00752C63"/>
    <w:rsid w:val="00754530"/>
    <w:rsid w:val="0076311A"/>
    <w:rsid w:val="007650DD"/>
    <w:rsid w:val="0077679B"/>
    <w:rsid w:val="007840C7"/>
    <w:rsid w:val="00784928"/>
    <w:rsid w:val="00787410"/>
    <w:rsid w:val="007937A2"/>
    <w:rsid w:val="0079563A"/>
    <w:rsid w:val="007A3117"/>
    <w:rsid w:val="007A540C"/>
    <w:rsid w:val="007A6906"/>
    <w:rsid w:val="007A6CA8"/>
    <w:rsid w:val="007B1289"/>
    <w:rsid w:val="007B6926"/>
    <w:rsid w:val="007C257F"/>
    <w:rsid w:val="007C38F3"/>
    <w:rsid w:val="007C682C"/>
    <w:rsid w:val="007C7A9A"/>
    <w:rsid w:val="007D05CD"/>
    <w:rsid w:val="007D08BD"/>
    <w:rsid w:val="007D2D27"/>
    <w:rsid w:val="007E43AD"/>
    <w:rsid w:val="007F3A79"/>
    <w:rsid w:val="007F53EB"/>
    <w:rsid w:val="007F5734"/>
    <w:rsid w:val="007F7B3F"/>
    <w:rsid w:val="007F7F92"/>
    <w:rsid w:val="00800030"/>
    <w:rsid w:val="00800497"/>
    <w:rsid w:val="00801E82"/>
    <w:rsid w:val="00806645"/>
    <w:rsid w:val="008074BA"/>
    <w:rsid w:val="0081021A"/>
    <w:rsid w:val="008177E4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6C9C"/>
    <w:rsid w:val="008572CD"/>
    <w:rsid w:val="00865574"/>
    <w:rsid w:val="0086667A"/>
    <w:rsid w:val="008669F9"/>
    <w:rsid w:val="0087301A"/>
    <w:rsid w:val="008761F3"/>
    <w:rsid w:val="0088284C"/>
    <w:rsid w:val="008832B1"/>
    <w:rsid w:val="008852C7"/>
    <w:rsid w:val="008911E6"/>
    <w:rsid w:val="008A5AE6"/>
    <w:rsid w:val="008B27BE"/>
    <w:rsid w:val="008C21D3"/>
    <w:rsid w:val="008C28BA"/>
    <w:rsid w:val="008C3CBA"/>
    <w:rsid w:val="008C582F"/>
    <w:rsid w:val="008C78BB"/>
    <w:rsid w:val="008D1963"/>
    <w:rsid w:val="008E1D28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06C6"/>
    <w:rsid w:val="00915EAA"/>
    <w:rsid w:val="00917152"/>
    <w:rsid w:val="009179D0"/>
    <w:rsid w:val="00917B51"/>
    <w:rsid w:val="00927D80"/>
    <w:rsid w:val="00931439"/>
    <w:rsid w:val="009323A3"/>
    <w:rsid w:val="00933B24"/>
    <w:rsid w:val="009413E9"/>
    <w:rsid w:val="009424A5"/>
    <w:rsid w:val="009428C0"/>
    <w:rsid w:val="00951B6E"/>
    <w:rsid w:val="00954FDF"/>
    <w:rsid w:val="009559F2"/>
    <w:rsid w:val="00956C8E"/>
    <w:rsid w:val="009620F3"/>
    <w:rsid w:val="0096339B"/>
    <w:rsid w:val="0097136B"/>
    <w:rsid w:val="009827E5"/>
    <w:rsid w:val="00983807"/>
    <w:rsid w:val="00984606"/>
    <w:rsid w:val="00984734"/>
    <w:rsid w:val="00986817"/>
    <w:rsid w:val="00992D82"/>
    <w:rsid w:val="00997C28"/>
    <w:rsid w:val="009A26ED"/>
    <w:rsid w:val="009A2E4B"/>
    <w:rsid w:val="009A2FCF"/>
    <w:rsid w:val="009B309F"/>
    <w:rsid w:val="009B4B51"/>
    <w:rsid w:val="009C0E8E"/>
    <w:rsid w:val="009C2068"/>
    <w:rsid w:val="009C2FFB"/>
    <w:rsid w:val="009C3D41"/>
    <w:rsid w:val="009D1D99"/>
    <w:rsid w:val="009D512C"/>
    <w:rsid w:val="009D61DC"/>
    <w:rsid w:val="009D7248"/>
    <w:rsid w:val="009E2F3E"/>
    <w:rsid w:val="009E3CD4"/>
    <w:rsid w:val="009E4BFB"/>
    <w:rsid w:val="009F0FB2"/>
    <w:rsid w:val="009F199A"/>
    <w:rsid w:val="009F502E"/>
    <w:rsid w:val="00A04CAE"/>
    <w:rsid w:val="00A0646C"/>
    <w:rsid w:val="00A06757"/>
    <w:rsid w:val="00A150BF"/>
    <w:rsid w:val="00A24832"/>
    <w:rsid w:val="00A3245D"/>
    <w:rsid w:val="00A352F9"/>
    <w:rsid w:val="00A375BF"/>
    <w:rsid w:val="00A4208F"/>
    <w:rsid w:val="00A432FD"/>
    <w:rsid w:val="00A507C1"/>
    <w:rsid w:val="00A56365"/>
    <w:rsid w:val="00A66B8F"/>
    <w:rsid w:val="00A70E2B"/>
    <w:rsid w:val="00A77125"/>
    <w:rsid w:val="00A860C3"/>
    <w:rsid w:val="00A9225F"/>
    <w:rsid w:val="00AA1310"/>
    <w:rsid w:val="00AA322B"/>
    <w:rsid w:val="00AA5ACA"/>
    <w:rsid w:val="00AA749C"/>
    <w:rsid w:val="00AB24F4"/>
    <w:rsid w:val="00AB37CB"/>
    <w:rsid w:val="00AB3BA8"/>
    <w:rsid w:val="00AB53D1"/>
    <w:rsid w:val="00AB771F"/>
    <w:rsid w:val="00AC21E0"/>
    <w:rsid w:val="00AC75FC"/>
    <w:rsid w:val="00AD2724"/>
    <w:rsid w:val="00AD2AC8"/>
    <w:rsid w:val="00AD7A61"/>
    <w:rsid w:val="00AF38A5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43963"/>
    <w:rsid w:val="00B455F0"/>
    <w:rsid w:val="00B5025D"/>
    <w:rsid w:val="00B507F0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16FA"/>
    <w:rsid w:val="00B9200A"/>
    <w:rsid w:val="00BB043D"/>
    <w:rsid w:val="00BB19AA"/>
    <w:rsid w:val="00BB34E6"/>
    <w:rsid w:val="00BB41AB"/>
    <w:rsid w:val="00BB48A3"/>
    <w:rsid w:val="00BC0256"/>
    <w:rsid w:val="00BC05B4"/>
    <w:rsid w:val="00BC0953"/>
    <w:rsid w:val="00BC3505"/>
    <w:rsid w:val="00BC6DB8"/>
    <w:rsid w:val="00BE1316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616D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37DF6"/>
    <w:rsid w:val="00C409AF"/>
    <w:rsid w:val="00C41691"/>
    <w:rsid w:val="00C426B4"/>
    <w:rsid w:val="00C43657"/>
    <w:rsid w:val="00C437F9"/>
    <w:rsid w:val="00C44821"/>
    <w:rsid w:val="00C45249"/>
    <w:rsid w:val="00C60589"/>
    <w:rsid w:val="00C6690D"/>
    <w:rsid w:val="00C66FA0"/>
    <w:rsid w:val="00C70E28"/>
    <w:rsid w:val="00C80628"/>
    <w:rsid w:val="00C818BD"/>
    <w:rsid w:val="00C911BF"/>
    <w:rsid w:val="00C93F13"/>
    <w:rsid w:val="00C96081"/>
    <w:rsid w:val="00CA1A5C"/>
    <w:rsid w:val="00CA5108"/>
    <w:rsid w:val="00CA67CD"/>
    <w:rsid w:val="00CA769F"/>
    <w:rsid w:val="00CB3366"/>
    <w:rsid w:val="00CB3BEA"/>
    <w:rsid w:val="00CB4516"/>
    <w:rsid w:val="00CB71E7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CF4221"/>
    <w:rsid w:val="00D02EDA"/>
    <w:rsid w:val="00D047F7"/>
    <w:rsid w:val="00D04DA8"/>
    <w:rsid w:val="00D0575B"/>
    <w:rsid w:val="00D1469D"/>
    <w:rsid w:val="00D153A8"/>
    <w:rsid w:val="00D211AA"/>
    <w:rsid w:val="00D22240"/>
    <w:rsid w:val="00D22709"/>
    <w:rsid w:val="00D273B1"/>
    <w:rsid w:val="00D27849"/>
    <w:rsid w:val="00D27F7E"/>
    <w:rsid w:val="00D316E2"/>
    <w:rsid w:val="00D40636"/>
    <w:rsid w:val="00D41728"/>
    <w:rsid w:val="00D51811"/>
    <w:rsid w:val="00D5283B"/>
    <w:rsid w:val="00D54539"/>
    <w:rsid w:val="00D5479D"/>
    <w:rsid w:val="00D568A2"/>
    <w:rsid w:val="00D61648"/>
    <w:rsid w:val="00D63EFB"/>
    <w:rsid w:val="00D65E7D"/>
    <w:rsid w:val="00D67C93"/>
    <w:rsid w:val="00D70E61"/>
    <w:rsid w:val="00D71E06"/>
    <w:rsid w:val="00D726BC"/>
    <w:rsid w:val="00D81D76"/>
    <w:rsid w:val="00D874F5"/>
    <w:rsid w:val="00D87C35"/>
    <w:rsid w:val="00D97DA3"/>
    <w:rsid w:val="00DA1B16"/>
    <w:rsid w:val="00DA1D1C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F09A7"/>
    <w:rsid w:val="00DF0FA3"/>
    <w:rsid w:val="00DF2DDB"/>
    <w:rsid w:val="00DF395C"/>
    <w:rsid w:val="00DF64A9"/>
    <w:rsid w:val="00DF72DC"/>
    <w:rsid w:val="00E04E00"/>
    <w:rsid w:val="00E07F77"/>
    <w:rsid w:val="00E10110"/>
    <w:rsid w:val="00E15A61"/>
    <w:rsid w:val="00E172FB"/>
    <w:rsid w:val="00E174ED"/>
    <w:rsid w:val="00E1787F"/>
    <w:rsid w:val="00E24EAA"/>
    <w:rsid w:val="00E3442E"/>
    <w:rsid w:val="00E435A0"/>
    <w:rsid w:val="00E45234"/>
    <w:rsid w:val="00E45723"/>
    <w:rsid w:val="00E45E34"/>
    <w:rsid w:val="00E67D08"/>
    <w:rsid w:val="00E712D5"/>
    <w:rsid w:val="00E7318E"/>
    <w:rsid w:val="00E732AB"/>
    <w:rsid w:val="00E749CE"/>
    <w:rsid w:val="00E776D0"/>
    <w:rsid w:val="00E9591D"/>
    <w:rsid w:val="00EA19D2"/>
    <w:rsid w:val="00EA6275"/>
    <w:rsid w:val="00EA72FA"/>
    <w:rsid w:val="00EB5C63"/>
    <w:rsid w:val="00EB797B"/>
    <w:rsid w:val="00EC473A"/>
    <w:rsid w:val="00EC73A9"/>
    <w:rsid w:val="00ED77C8"/>
    <w:rsid w:val="00EE03BB"/>
    <w:rsid w:val="00EE0783"/>
    <w:rsid w:val="00EE39DC"/>
    <w:rsid w:val="00EE6D2E"/>
    <w:rsid w:val="00EF0BDD"/>
    <w:rsid w:val="00EF37FF"/>
    <w:rsid w:val="00EF4C74"/>
    <w:rsid w:val="00F001C9"/>
    <w:rsid w:val="00F023E2"/>
    <w:rsid w:val="00F02BDE"/>
    <w:rsid w:val="00F03353"/>
    <w:rsid w:val="00F03644"/>
    <w:rsid w:val="00F10124"/>
    <w:rsid w:val="00F12AC0"/>
    <w:rsid w:val="00F17088"/>
    <w:rsid w:val="00F205F4"/>
    <w:rsid w:val="00F3530B"/>
    <w:rsid w:val="00F44DCD"/>
    <w:rsid w:val="00F479AF"/>
    <w:rsid w:val="00F5288E"/>
    <w:rsid w:val="00F540DC"/>
    <w:rsid w:val="00F60963"/>
    <w:rsid w:val="00F616B8"/>
    <w:rsid w:val="00F61D4B"/>
    <w:rsid w:val="00F62E73"/>
    <w:rsid w:val="00F635CF"/>
    <w:rsid w:val="00F740ED"/>
    <w:rsid w:val="00F746C8"/>
    <w:rsid w:val="00F80504"/>
    <w:rsid w:val="00F83E5C"/>
    <w:rsid w:val="00F86750"/>
    <w:rsid w:val="00F90BFC"/>
    <w:rsid w:val="00F93889"/>
    <w:rsid w:val="00F946BE"/>
    <w:rsid w:val="00FA7925"/>
    <w:rsid w:val="00FB3161"/>
    <w:rsid w:val="00FB56DB"/>
    <w:rsid w:val="00FB57CF"/>
    <w:rsid w:val="00FB6084"/>
    <w:rsid w:val="00FB6377"/>
    <w:rsid w:val="00FB7DCA"/>
    <w:rsid w:val="00FC23BC"/>
    <w:rsid w:val="00FC2F65"/>
    <w:rsid w:val="00FC4B5D"/>
    <w:rsid w:val="00FC6D42"/>
    <w:rsid w:val="00FE4F20"/>
    <w:rsid w:val="00FE657C"/>
    <w:rsid w:val="00FE6A67"/>
    <w:rsid w:val="00FF4903"/>
    <w:rsid w:val="00FF4B37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908779E"/>
  <w15:chartTrackingRefBased/>
  <w15:docId w15:val="{A6EEAE21-8771-40FF-8B8E-7288DDC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1066A5"/>
    <w:pPr>
      <w:spacing w:before="0" w:after="120"/>
      <w:ind w:hanging="16"/>
    </w:pPr>
    <w:rPr>
      <w:rFonts w:ascii="Corbel" w:hAnsi="Corbel"/>
      <w:b/>
      <w:color w:val="881B43"/>
      <w:sz w:val="40"/>
      <w:szCs w:val="40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1066A5"/>
    <w:rPr>
      <w:rFonts w:ascii="Corbel" w:eastAsia="Times New Roman" w:hAnsi="Corbel"/>
      <w:b/>
      <w:color w:val="881B43"/>
      <w:sz w:val="40"/>
      <w:szCs w:val="40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F4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tarukintserver\ablage\Marketing\PRESSE\Pressemitteilungen\2020\www.taru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harder@taru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2424</Characters>
  <Application>Microsoft Office Word</Application>
  <DocSecurity>0</DocSecurity>
  <Lines>67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dc:description/>
  <cp:lastModifiedBy>Jens Harder</cp:lastModifiedBy>
  <cp:revision>7</cp:revision>
  <cp:lastPrinted>2020-11-12T09:03:00Z</cp:lastPrinted>
  <dcterms:created xsi:type="dcterms:W3CDTF">2021-07-19T09:28:00Z</dcterms:created>
  <dcterms:modified xsi:type="dcterms:W3CDTF">2021-07-21T07:56:00Z</dcterms:modified>
</cp:coreProperties>
</file>