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5791" w14:textId="77777777" w:rsidR="00273A92" w:rsidRDefault="00273A92" w:rsidP="00281180">
      <w:pPr>
        <w:pStyle w:val="Heading5"/>
        <w:spacing w:line="360" w:lineRule="auto"/>
        <w:rPr>
          <w:rFonts w:ascii="Georgia" w:eastAsia="Georgia" w:hAnsi="Georgia" w:cs="Georgia"/>
          <w:color w:val="000000" w:themeColor="text1"/>
          <w:lang w:val="de-DE"/>
        </w:rPr>
      </w:pPr>
    </w:p>
    <w:p w14:paraId="6D612ABA" w14:textId="6F78F66B" w:rsidR="009A4F1D" w:rsidRPr="00813605" w:rsidRDefault="17DCC076" w:rsidP="00281180">
      <w:pPr>
        <w:pStyle w:val="Heading5"/>
        <w:spacing w:line="360" w:lineRule="auto"/>
        <w:rPr>
          <w:rFonts w:ascii="Georgia" w:eastAsia="Georgia" w:hAnsi="Georgia" w:cs="Georgia"/>
          <w:color w:val="000000"/>
          <w:lang w:val="de-DE"/>
        </w:rPr>
      </w:pPr>
      <w:r w:rsidRPr="00813605">
        <w:rPr>
          <w:rFonts w:ascii="Georgia" w:eastAsia="Georgia" w:hAnsi="Georgia" w:cs="Georgia"/>
          <w:color w:val="000000" w:themeColor="text1"/>
          <w:lang w:val="de-DE"/>
        </w:rPr>
        <w:t>Pressemitteilung</w:t>
      </w:r>
    </w:p>
    <w:p w14:paraId="4CF42B0A" w14:textId="18F9FF40" w:rsidR="04AEDB08" w:rsidRPr="00813605" w:rsidRDefault="04AEDB08" w:rsidP="04AEDB08">
      <w:pPr>
        <w:spacing w:line="360" w:lineRule="auto"/>
        <w:ind w:left="707"/>
        <w:rPr>
          <w:rFonts w:ascii="Georgia" w:eastAsia="Georgia" w:hAnsi="Georgia" w:cs="Georgia"/>
          <w:b/>
          <w:bCs/>
          <w:sz w:val="36"/>
          <w:szCs w:val="36"/>
        </w:rPr>
      </w:pPr>
    </w:p>
    <w:p w14:paraId="6D612ABC" w14:textId="30F9FA13" w:rsidR="009A4F1D" w:rsidRPr="00813605" w:rsidRDefault="71C9CC16" w:rsidP="3004F495">
      <w:pPr>
        <w:spacing w:line="360" w:lineRule="auto"/>
        <w:ind w:left="707"/>
        <w:rPr>
          <w:rFonts w:ascii="Georgia" w:eastAsia="Georgia" w:hAnsi="Georgia" w:cs="Georgia"/>
          <w:b/>
          <w:bCs/>
          <w:sz w:val="36"/>
          <w:szCs w:val="36"/>
        </w:rPr>
      </w:pPr>
      <w:r w:rsidRPr="76070E89">
        <w:rPr>
          <w:rFonts w:ascii="Georgia" w:eastAsia="Georgia" w:hAnsi="Georgia" w:cs="Georgia"/>
          <w:b/>
          <w:bCs/>
          <w:sz w:val="36"/>
          <w:szCs w:val="36"/>
        </w:rPr>
        <w:t xml:space="preserve">IAA MOBILITY 2025: PwC </w:t>
      </w:r>
      <w:r w:rsidR="7CBAAB8B" w:rsidRPr="76070E89">
        <w:rPr>
          <w:rFonts w:ascii="Georgia" w:eastAsia="Georgia" w:hAnsi="Georgia" w:cs="Georgia"/>
          <w:b/>
          <w:bCs/>
          <w:sz w:val="36"/>
          <w:szCs w:val="36"/>
        </w:rPr>
        <w:t>lädt ein zum Dialog über die Mobilität von morgen</w:t>
      </w:r>
    </w:p>
    <w:p w14:paraId="3916049B" w14:textId="701CE14F" w:rsidR="3F199855" w:rsidRDefault="3F199855" w:rsidP="3F199855">
      <w:pPr>
        <w:spacing w:line="360" w:lineRule="auto"/>
        <w:ind w:left="707"/>
        <w:rPr>
          <w:rFonts w:ascii="Georgia" w:eastAsia="Georgia" w:hAnsi="Georgia" w:cs="Georgia"/>
          <w:b/>
          <w:bCs/>
          <w:sz w:val="36"/>
          <w:szCs w:val="36"/>
        </w:rPr>
      </w:pPr>
    </w:p>
    <w:p w14:paraId="6D612ABD" w14:textId="7AC0020F" w:rsidR="009A4F1D" w:rsidRPr="00813605" w:rsidRDefault="00DF631D" w:rsidP="6D694DBE">
      <w:pPr>
        <w:spacing w:line="360" w:lineRule="auto"/>
        <w:ind w:left="709"/>
        <w:rPr>
          <w:rFonts w:ascii="Georgia" w:eastAsia="Georgia" w:hAnsi="Georgia" w:cs="Georgia"/>
          <w:b/>
          <w:bCs/>
          <w:sz w:val="22"/>
          <w:szCs w:val="22"/>
        </w:rPr>
      </w:pPr>
      <w:r w:rsidRPr="00273A92">
        <w:rPr>
          <w:rFonts w:ascii="Georgia" w:eastAsia="Georgia" w:hAnsi="Georgia" w:cs="Georgia"/>
          <w:b/>
          <w:bCs/>
          <w:sz w:val="22"/>
          <w:szCs w:val="22"/>
          <w:lang w:val="en-US"/>
        </w:rPr>
        <w:t xml:space="preserve">Smart Mobility Space </w:t>
      </w:r>
      <w:r w:rsidR="005C15ED" w:rsidRPr="00273A92">
        <w:rPr>
          <w:rFonts w:ascii="Georgia" w:eastAsia="Georgia" w:hAnsi="Georgia" w:cs="Georgia"/>
          <w:b/>
          <w:bCs/>
          <w:sz w:val="22"/>
          <w:szCs w:val="22"/>
          <w:lang w:val="en-US"/>
        </w:rPr>
        <w:t xml:space="preserve">powered by PwC </w:t>
      </w:r>
      <w:r w:rsidRPr="00273A92">
        <w:rPr>
          <w:rFonts w:ascii="Georgia" w:eastAsia="Georgia" w:hAnsi="Georgia" w:cs="Georgia"/>
          <w:b/>
          <w:bCs/>
          <w:sz w:val="22"/>
          <w:szCs w:val="22"/>
          <w:lang w:val="en-US"/>
        </w:rPr>
        <w:t xml:space="preserve">vom 8. bis 12. </w:t>
      </w:r>
      <w:r w:rsidRPr="76070E89">
        <w:rPr>
          <w:rFonts w:ascii="Georgia" w:eastAsia="Georgia" w:hAnsi="Georgia" w:cs="Georgia"/>
          <w:b/>
          <w:bCs/>
          <w:sz w:val="22"/>
          <w:szCs w:val="22"/>
        </w:rPr>
        <w:t xml:space="preserve">September </w:t>
      </w:r>
      <w:r w:rsidR="008C37BB" w:rsidRPr="76070E89">
        <w:rPr>
          <w:rFonts w:ascii="Georgia" w:eastAsia="Georgia" w:hAnsi="Georgia" w:cs="Georgia"/>
          <w:b/>
          <w:bCs/>
          <w:sz w:val="22"/>
          <w:szCs w:val="22"/>
        </w:rPr>
        <w:t xml:space="preserve">auf der IAA MOBILITY 2025 </w:t>
      </w:r>
      <w:r w:rsidRPr="76070E89">
        <w:rPr>
          <w:rFonts w:ascii="Georgia" w:eastAsia="Georgia" w:hAnsi="Georgia" w:cs="Georgia"/>
          <w:b/>
          <w:bCs/>
          <w:sz w:val="22"/>
          <w:szCs w:val="22"/>
        </w:rPr>
        <w:t>in München</w:t>
      </w:r>
      <w:r w:rsidR="00833817" w:rsidRPr="76070E89">
        <w:rPr>
          <w:rFonts w:ascii="Georgia" w:eastAsia="Georgia" w:hAnsi="Georgia" w:cs="Georgia"/>
          <w:b/>
          <w:bCs/>
          <w:sz w:val="22"/>
          <w:szCs w:val="22"/>
        </w:rPr>
        <w:t xml:space="preserve"> </w:t>
      </w:r>
      <w:r w:rsidR="008C37BB" w:rsidRPr="76070E89">
        <w:rPr>
          <w:rFonts w:ascii="Georgia" w:eastAsia="Georgia" w:hAnsi="Georgia" w:cs="Georgia"/>
          <w:b/>
          <w:bCs/>
          <w:sz w:val="22"/>
          <w:szCs w:val="22"/>
        </w:rPr>
        <w:t>/</w:t>
      </w:r>
      <w:r w:rsidR="00833817" w:rsidRPr="76070E89">
        <w:rPr>
          <w:rFonts w:ascii="Georgia" w:eastAsia="Georgia" w:hAnsi="Georgia" w:cs="Georgia"/>
          <w:b/>
          <w:bCs/>
          <w:sz w:val="22"/>
          <w:szCs w:val="22"/>
        </w:rPr>
        <w:t xml:space="preserve"> </w:t>
      </w:r>
      <w:r w:rsidR="00974541" w:rsidRPr="76070E89">
        <w:rPr>
          <w:rFonts w:ascii="Georgia" w:eastAsia="Georgia" w:hAnsi="Georgia" w:cs="Georgia"/>
          <w:b/>
          <w:bCs/>
          <w:sz w:val="22"/>
          <w:szCs w:val="22"/>
        </w:rPr>
        <w:t>mehr</w:t>
      </w:r>
      <w:r w:rsidRPr="76070E89">
        <w:rPr>
          <w:rFonts w:ascii="Georgia" w:eastAsia="Georgia" w:hAnsi="Georgia" w:cs="Georgia"/>
          <w:b/>
          <w:bCs/>
          <w:sz w:val="22"/>
          <w:szCs w:val="22"/>
        </w:rPr>
        <w:t xml:space="preserve"> als 100 </w:t>
      </w:r>
      <w:r w:rsidR="003238D8" w:rsidRPr="76070E89">
        <w:rPr>
          <w:rFonts w:ascii="Georgia" w:eastAsia="Georgia" w:hAnsi="Georgia" w:cs="Georgia"/>
          <w:b/>
          <w:bCs/>
          <w:sz w:val="22"/>
          <w:szCs w:val="22"/>
        </w:rPr>
        <w:t>hochkarätige Refer</w:t>
      </w:r>
      <w:r w:rsidRPr="76070E89">
        <w:rPr>
          <w:rFonts w:ascii="Georgia" w:eastAsia="Georgia" w:hAnsi="Georgia" w:cs="Georgia"/>
          <w:b/>
          <w:bCs/>
          <w:sz w:val="22"/>
          <w:szCs w:val="22"/>
        </w:rPr>
        <w:t>ierende</w:t>
      </w:r>
      <w:r w:rsidR="003238D8" w:rsidRPr="76070E89">
        <w:rPr>
          <w:rFonts w:ascii="Georgia" w:eastAsia="Georgia" w:hAnsi="Georgia" w:cs="Georgia"/>
          <w:b/>
          <w:bCs/>
          <w:sz w:val="22"/>
          <w:szCs w:val="22"/>
        </w:rPr>
        <w:t xml:space="preserve"> aus Wirtschaft, Wissenschaft und Politik</w:t>
      </w:r>
      <w:r w:rsidR="005A17FA" w:rsidRPr="76070E89">
        <w:rPr>
          <w:rFonts w:ascii="Georgia" w:eastAsia="Georgia" w:hAnsi="Georgia" w:cs="Georgia"/>
          <w:b/>
          <w:bCs/>
          <w:sz w:val="22"/>
          <w:szCs w:val="22"/>
        </w:rPr>
        <w:t xml:space="preserve"> </w:t>
      </w:r>
      <w:r w:rsidR="00285CEF" w:rsidRPr="76070E89">
        <w:rPr>
          <w:rFonts w:ascii="Georgia" w:eastAsia="Georgia" w:hAnsi="Georgia" w:cs="Georgia"/>
          <w:b/>
          <w:bCs/>
          <w:color w:val="202124"/>
          <w:sz w:val="22"/>
          <w:szCs w:val="22"/>
        </w:rPr>
        <w:t>/</w:t>
      </w:r>
      <w:r w:rsidR="00974541" w:rsidRPr="76070E89">
        <w:rPr>
          <w:rFonts w:ascii="Georgia" w:eastAsia="Georgia" w:hAnsi="Georgia" w:cs="Georgia"/>
          <w:b/>
          <w:bCs/>
          <w:sz w:val="22"/>
          <w:szCs w:val="22"/>
        </w:rPr>
        <w:t xml:space="preserve"> </w:t>
      </w:r>
      <w:r w:rsidR="003C1EEB" w:rsidRPr="76070E89">
        <w:rPr>
          <w:rFonts w:ascii="Georgia" w:eastAsia="Georgia" w:hAnsi="Georgia" w:cs="Georgia"/>
          <w:b/>
          <w:bCs/>
          <w:sz w:val="22"/>
          <w:szCs w:val="22"/>
        </w:rPr>
        <w:t>30 Sessions zu Zukunftsthemen</w:t>
      </w:r>
      <w:r w:rsidR="00974541" w:rsidRPr="76070E89">
        <w:rPr>
          <w:rFonts w:ascii="Georgia" w:eastAsia="Georgia" w:hAnsi="Georgia" w:cs="Georgia"/>
          <w:b/>
          <w:bCs/>
          <w:sz w:val="22"/>
          <w:szCs w:val="22"/>
        </w:rPr>
        <w:t xml:space="preserve"> / </w:t>
      </w:r>
      <w:r w:rsidR="00187ADA" w:rsidRPr="76070E89">
        <w:rPr>
          <w:rFonts w:ascii="Georgia" w:eastAsia="Georgia" w:hAnsi="Georgia" w:cs="Georgia"/>
          <w:b/>
          <w:bCs/>
          <w:color w:val="202124"/>
          <w:sz w:val="22"/>
          <w:szCs w:val="22"/>
        </w:rPr>
        <w:t>Allianz</w:t>
      </w:r>
      <w:r w:rsidR="01F45724" w:rsidRPr="76070E89">
        <w:rPr>
          <w:rFonts w:ascii="Georgia" w:eastAsia="Georgia" w:hAnsi="Georgia" w:cs="Georgia"/>
          <w:b/>
          <w:bCs/>
          <w:color w:val="202124"/>
          <w:sz w:val="22"/>
          <w:szCs w:val="22"/>
        </w:rPr>
        <w:t xml:space="preserve"> Partners</w:t>
      </w:r>
      <w:r w:rsidR="00187ADA" w:rsidRPr="76070E89">
        <w:rPr>
          <w:rFonts w:ascii="Georgia" w:eastAsia="Georgia" w:hAnsi="Georgia" w:cs="Georgia"/>
          <w:b/>
          <w:bCs/>
          <w:color w:val="202124"/>
          <w:sz w:val="22"/>
          <w:szCs w:val="22"/>
        </w:rPr>
        <w:t xml:space="preserve">, </w:t>
      </w:r>
      <w:r w:rsidR="003238D8" w:rsidRPr="76070E89">
        <w:rPr>
          <w:rFonts w:ascii="Georgia" w:eastAsia="Georgia" w:hAnsi="Georgia" w:cs="Georgia"/>
          <w:b/>
          <w:bCs/>
          <w:color w:val="202124"/>
          <w:sz w:val="22"/>
          <w:szCs w:val="22"/>
        </w:rPr>
        <w:t xml:space="preserve">Microsoft, </w:t>
      </w:r>
      <w:r w:rsidR="00187ADA" w:rsidRPr="76070E89">
        <w:rPr>
          <w:rFonts w:ascii="Georgia" w:eastAsia="Georgia" w:hAnsi="Georgia" w:cs="Georgia"/>
          <w:b/>
          <w:bCs/>
          <w:color w:val="202124"/>
          <w:sz w:val="22"/>
          <w:szCs w:val="22"/>
        </w:rPr>
        <w:t xml:space="preserve">Strategy&amp; </w:t>
      </w:r>
      <w:r w:rsidR="00513E35" w:rsidRPr="76070E89">
        <w:rPr>
          <w:rFonts w:ascii="Georgia" w:eastAsia="Georgia" w:hAnsi="Georgia" w:cs="Georgia"/>
          <w:b/>
          <w:bCs/>
          <w:color w:val="202124"/>
          <w:sz w:val="22"/>
          <w:szCs w:val="22"/>
        </w:rPr>
        <w:t>sowie</w:t>
      </w:r>
      <w:r w:rsidR="00187ADA" w:rsidRPr="76070E89">
        <w:rPr>
          <w:rFonts w:ascii="Georgia" w:eastAsia="Georgia" w:hAnsi="Georgia" w:cs="Georgia"/>
          <w:b/>
          <w:bCs/>
          <w:color w:val="202124"/>
          <w:sz w:val="22"/>
          <w:szCs w:val="22"/>
        </w:rPr>
        <w:t xml:space="preserve"> </w:t>
      </w:r>
      <w:r w:rsidR="00513E35" w:rsidRPr="76070E89">
        <w:rPr>
          <w:rFonts w:ascii="Georgia" w:eastAsia="Georgia" w:hAnsi="Georgia" w:cs="Georgia"/>
          <w:b/>
          <w:bCs/>
          <w:color w:val="202124"/>
          <w:sz w:val="22"/>
          <w:szCs w:val="22"/>
        </w:rPr>
        <w:t>d</w:t>
      </w:r>
      <w:r w:rsidR="495064FC" w:rsidRPr="76070E89">
        <w:rPr>
          <w:rFonts w:ascii="Georgia" w:eastAsia="Georgia" w:hAnsi="Georgia" w:cs="Georgia"/>
          <w:b/>
          <w:bCs/>
          <w:color w:val="202124"/>
          <w:sz w:val="22"/>
          <w:szCs w:val="22"/>
        </w:rPr>
        <w:t>ie</w:t>
      </w:r>
      <w:r w:rsidR="44FEB9F9" w:rsidRPr="76070E89">
        <w:rPr>
          <w:rFonts w:ascii="Georgia" w:eastAsia="Georgia" w:hAnsi="Georgia" w:cs="Georgia"/>
          <w:b/>
          <w:bCs/>
          <w:color w:val="202124"/>
          <w:sz w:val="22"/>
          <w:szCs w:val="22"/>
        </w:rPr>
        <w:t xml:space="preserve"> </w:t>
      </w:r>
      <w:r w:rsidR="00187ADA" w:rsidRPr="76070E89">
        <w:rPr>
          <w:rFonts w:ascii="Georgia" w:eastAsia="Georgia" w:hAnsi="Georgia" w:cs="Georgia"/>
          <w:b/>
          <w:bCs/>
          <w:color w:val="202124"/>
          <w:sz w:val="22"/>
          <w:szCs w:val="22"/>
        </w:rPr>
        <w:t>Universität St.Gallen</w:t>
      </w:r>
      <w:r w:rsidR="7151890E" w:rsidRPr="76070E89">
        <w:rPr>
          <w:rFonts w:ascii="Georgia" w:eastAsia="Georgia" w:hAnsi="Georgia" w:cs="Georgia"/>
          <w:b/>
          <w:bCs/>
          <w:color w:val="202124"/>
          <w:sz w:val="22"/>
          <w:szCs w:val="22"/>
        </w:rPr>
        <w:t xml:space="preserve"> als Co-Hosts</w:t>
      </w:r>
    </w:p>
    <w:p w14:paraId="5E79700E" w14:textId="0576A2FA" w:rsidR="00F308F9" w:rsidRPr="00813605" w:rsidRDefault="00F86C6E" w:rsidP="76070E89">
      <w:pPr>
        <w:spacing w:before="280" w:after="280" w:line="360" w:lineRule="auto"/>
        <w:ind w:left="720"/>
        <w:jc w:val="both"/>
        <w:rPr>
          <w:rFonts w:ascii="Georgia" w:eastAsia="Georgia" w:hAnsi="Georgia" w:cs="Georgia"/>
          <w:sz w:val="22"/>
          <w:szCs w:val="22"/>
        </w:rPr>
      </w:pPr>
      <w:r w:rsidRPr="76070E89">
        <w:rPr>
          <w:rFonts w:ascii="Georgia" w:eastAsia="Georgia" w:hAnsi="Georgia" w:cs="Georgia"/>
          <w:i/>
          <w:iCs/>
          <w:sz w:val="22"/>
          <w:szCs w:val="22"/>
        </w:rPr>
        <w:t>Düsseldorf</w:t>
      </w:r>
      <w:r w:rsidR="00285CEF" w:rsidRPr="76070E89">
        <w:rPr>
          <w:rFonts w:ascii="Georgia" w:eastAsia="Georgia" w:hAnsi="Georgia" w:cs="Georgia"/>
          <w:i/>
          <w:iCs/>
          <w:sz w:val="22"/>
          <w:szCs w:val="22"/>
        </w:rPr>
        <w:t xml:space="preserve">, </w:t>
      </w:r>
      <w:r w:rsidR="779E0F81" w:rsidRPr="76070E89">
        <w:rPr>
          <w:rFonts w:ascii="Georgia" w:eastAsia="Georgia" w:hAnsi="Georgia" w:cs="Georgia"/>
          <w:i/>
          <w:iCs/>
          <w:sz w:val="22"/>
          <w:szCs w:val="22"/>
        </w:rPr>
        <w:t>9</w:t>
      </w:r>
      <w:r w:rsidR="00285CEF" w:rsidRPr="76070E89">
        <w:rPr>
          <w:rFonts w:ascii="Georgia" w:eastAsia="Georgia" w:hAnsi="Georgia" w:cs="Georgia"/>
          <w:i/>
          <w:iCs/>
          <w:sz w:val="22"/>
          <w:szCs w:val="22"/>
        </w:rPr>
        <w:t xml:space="preserve">. </w:t>
      </w:r>
      <w:r w:rsidR="00BE22B1" w:rsidRPr="76070E89">
        <w:rPr>
          <w:rFonts w:ascii="Georgia" w:eastAsia="Georgia" w:hAnsi="Georgia" w:cs="Georgia"/>
          <w:i/>
          <w:iCs/>
          <w:sz w:val="22"/>
          <w:szCs w:val="22"/>
        </w:rPr>
        <w:t>Juli</w:t>
      </w:r>
      <w:r w:rsidR="00285CEF" w:rsidRPr="76070E89">
        <w:rPr>
          <w:rFonts w:ascii="Georgia" w:eastAsia="Georgia" w:hAnsi="Georgia" w:cs="Georgia"/>
          <w:i/>
          <w:iCs/>
          <w:sz w:val="22"/>
          <w:szCs w:val="22"/>
        </w:rPr>
        <w:t xml:space="preserve"> </w:t>
      </w:r>
      <w:r w:rsidRPr="76070E89">
        <w:rPr>
          <w:rFonts w:ascii="Georgia" w:eastAsia="Georgia" w:hAnsi="Georgia" w:cs="Georgia"/>
          <w:i/>
          <w:iCs/>
          <w:sz w:val="22"/>
          <w:szCs w:val="22"/>
        </w:rPr>
        <w:t>202</w:t>
      </w:r>
      <w:r w:rsidR="00BE22B1" w:rsidRPr="76070E89">
        <w:rPr>
          <w:rFonts w:ascii="Georgia" w:eastAsia="Georgia" w:hAnsi="Georgia" w:cs="Georgia"/>
          <w:i/>
          <w:iCs/>
          <w:sz w:val="22"/>
          <w:szCs w:val="22"/>
        </w:rPr>
        <w:t>5</w:t>
      </w:r>
      <w:r w:rsidR="00285CEF" w:rsidRPr="76070E89">
        <w:rPr>
          <w:rFonts w:ascii="Georgia" w:eastAsia="Georgia" w:hAnsi="Georgia" w:cs="Georgia"/>
          <w:i/>
          <w:iCs/>
          <w:sz w:val="22"/>
          <w:szCs w:val="22"/>
        </w:rPr>
        <w:t>.</w:t>
      </w:r>
      <w:r w:rsidR="00285CEF" w:rsidRPr="76070E89">
        <w:rPr>
          <w:rFonts w:ascii="Georgia" w:eastAsia="Georgia" w:hAnsi="Georgia" w:cs="Georgia"/>
          <w:sz w:val="22"/>
          <w:szCs w:val="22"/>
        </w:rPr>
        <w:t xml:space="preserve"> </w:t>
      </w:r>
      <w:r w:rsidR="00CB618D" w:rsidRPr="76070E89">
        <w:rPr>
          <w:rFonts w:ascii="Georgia" w:eastAsia="Georgia" w:hAnsi="Georgia" w:cs="Georgia"/>
          <w:sz w:val="22"/>
          <w:szCs w:val="22"/>
        </w:rPr>
        <w:t>Mit dem Smart Mobility Space schafft d</w:t>
      </w:r>
      <w:r w:rsidR="00813605" w:rsidRPr="76070E89">
        <w:rPr>
          <w:rFonts w:ascii="Georgia" w:eastAsia="Georgia" w:hAnsi="Georgia" w:cs="Georgia"/>
          <w:sz w:val="22"/>
          <w:szCs w:val="22"/>
        </w:rPr>
        <w:t xml:space="preserve">ie </w:t>
      </w:r>
      <w:r w:rsidR="4D0B181F" w:rsidRPr="76070E89">
        <w:rPr>
          <w:rFonts w:ascii="Georgia" w:eastAsia="Georgia" w:hAnsi="Georgia" w:cs="Georgia"/>
          <w:sz w:val="22"/>
          <w:szCs w:val="22"/>
        </w:rPr>
        <w:t>Wirtschaftsp</w:t>
      </w:r>
      <w:r w:rsidR="00813605" w:rsidRPr="76070E89">
        <w:rPr>
          <w:rFonts w:ascii="Georgia" w:eastAsia="Georgia" w:hAnsi="Georgia" w:cs="Georgia"/>
          <w:sz w:val="22"/>
          <w:szCs w:val="22"/>
        </w:rPr>
        <w:t xml:space="preserve">rüfungs- und Beratungsgesellschaft PwC </w:t>
      </w:r>
      <w:r w:rsidR="7FB986BE" w:rsidRPr="76070E89">
        <w:rPr>
          <w:rFonts w:ascii="Georgia" w:eastAsia="Georgia" w:hAnsi="Georgia" w:cs="Georgia"/>
          <w:sz w:val="22"/>
          <w:szCs w:val="22"/>
        </w:rPr>
        <w:t xml:space="preserve">Deutschland </w:t>
      </w:r>
      <w:r w:rsidR="00813605" w:rsidRPr="76070E89">
        <w:rPr>
          <w:rFonts w:ascii="Georgia" w:eastAsia="Georgia" w:hAnsi="Georgia" w:cs="Georgia"/>
          <w:sz w:val="22"/>
          <w:szCs w:val="22"/>
        </w:rPr>
        <w:t xml:space="preserve">auf der </w:t>
      </w:r>
      <w:r w:rsidR="00AF4A1F" w:rsidRPr="76070E89">
        <w:rPr>
          <w:rFonts w:ascii="Georgia" w:eastAsia="Georgia" w:hAnsi="Georgia" w:cs="Georgia"/>
          <w:sz w:val="22"/>
          <w:szCs w:val="22"/>
        </w:rPr>
        <w:t xml:space="preserve">Automobil- und Mobilitätsmesse </w:t>
      </w:r>
      <w:r w:rsidR="00813605" w:rsidRPr="76070E89">
        <w:rPr>
          <w:rFonts w:ascii="Georgia" w:eastAsia="Georgia" w:hAnsi="Georgia" w:cs="Georgia"/>
          <w:sz w:val="22"/>
          <w:szCs w:val="22"/>
        </w:rPr>
        <w:t xml:space="preserve">IAA MOBILITY 2025 </w:t>
      </w:r>
      <w:r w:rsidR="007C7497" w:rsidRPr="76070E89">
        <w:rPr>
          <w:rFonts w:ascii="Georgia" w:eastAsia="Georgia" w:hAnsi="Georgia" w:cs="Georgia"/>
          <w:sz w:val="22"/>
          <w:szCs w:val="22"/>
        </w:rPr>
        <w:t xml:space="preserve">in München </w:t>
      </w:r>
      <w:r w:rsidR="003C1EEB" w:rsidRPr="76070E89">
        <w:rPr>
          <w:rFonts w:ascii="Georgia" w:eastAsia="Georgia" w:hAnsi="Georgia" w:cs="Georgia"/>
          <w:sz w:val="22"/>
          <w:szCs w:val="22"/>
        </w:rPr>
        <w:t xml:space="preserve">bereits </w:t>
      </w:r>
      <w:r w:rsidR="00D56BFA" w:rsidRPr="76070E89">
        <w:rPr>
          <w:rFonts w:ascii="Georgia" w:eastAsia="Georgia" w:hAnsi="Georgia" w:cs="Georgia"/>
          <w:sz w:val="22"/>
          <w:szCs w:val="22"/>
        </w:rPr>
        <w:t xml:space="preserve">zum dritten Mal </w:t>
      </w:r>
      <w:r w:rsidR="00813605" w:rsidRPr="76070E89">
        <w:rPr>
          <w:rFonts w:ascii="Georgia" w:eastAsia="Georgia" w:hAnsi="Georgia" w:cs="Georgia"/>
          <w:sz w:val="22"/>
          <w:szCs w:val="22"/>
        </w:rPr>
        <w:t xml:space="preserve">einen Raum für Austausch und Inspiration rund um die Mobilität der Zukunft. </w:t>
      </w:r>
      <w:r w:rsidR="00122C5C" w:rsidRPr="76070E89">
        <w:rPr>
          <w:rFonts w:ascii="Georgia" w:eastAsia="Georgia" w:hAnsi="Georgia" w:cs="Georgia"/>
          <w:sz w:val="22"/>
          <w:szCs w:val="22"/>
        </w:rPr>
        <w:t xml:space="preserve">Vom 8. bis 12. September </w:t>
      </w:r>
      <w:r w:rsidR="5C3A6AC9" w:rsidRPr="76070E89">
        <w:rPr>
          <w:rFonts w:ascii="Georgia" w:eastAsia="Georgia" w:hAnsi="Georgia" w:cs="Georgia"/>
          <w:sz w:val="22"/>
          <w:szCs w:val="22"/>
        </w:rPr>
        <w:t>kuratiert</w:t>
      </w:r>
      <w:r w:rsidR="00122C5C" w:rsidRPr="76070E89">
        <w:rPr>
          <w:rFonts w:ascii="Georgia" w:eastAsia="Georgia" w:hAnsi="Georgia" w:cs="Georgia"/>
          <w:sz w:val="22"/>
          <w:szCs w:val="22"/>
        </w:rPr>
        <w:t xml:space="preserve"> PwC </w:t>
      </w:r>
      <w:r w:rsidR="50361D4D" w:rsidRPr="76070E89">
        <w:rPr>
          <w:rFonts w:ascii="Georgia" w:eastAsia="Georgia" w:hAnsi="Georgia" w:cs="Georgia"/>
          <w:sz w:val="22"/>
          <w:szCs w:val="22"/>
        </w:rPr>
        <w:t>gemeinsam</w:t>
      </w:r>
      <w:r w:rsidR="001C256A" w:rsidRPr="76070E89">
        <w:rPr>
          <w:rFonts w:ascii="Georgia" w:eastAsia="Georgia" w:hAnsi="Georgia" w:cs="Georgia"/>
          <w:sz w:val="22"/>
          <w:szCs w:val="22"/>
        </w:rPr>
        <w:t xml:space="preserve"> mit </w:t>
      </w:r>
      <w:r w:rsidR="39A2E7E4" w:rsidRPr="76070E89">
        <w:rPr>
          <w:rFonts w:ascii="Georgia" w:eastAsia="Georgia" w:hAnsi="Georgia" w:cs="Georgia"/>
          <w:sz w:val="22"/>
          <w:szCs w:val="22"/>
        </w:rPr>
        <w:t>Strategy&amp;, dem Global-Alliance-Partner Microsoft, der Universität St.Gallen und</w:t>
      </w:r>
      <w:r w:rsidR="02E4D481" w:rsidRPr="76070E89">
        <w:rPr>
          <w:rFonts w:ascii="Georgia" w:eastAsia="Georgia" w:hAnsi="Georgia" w:cs="Georgia"/>
          <w:sz w:val="22"/>
          <w:szCs w:val="22"/>
        </w:rPr>
        <w:t xml:space="preserve"> Allianz Partners, de</w:t>
      </w:r>
      <w:r w:rsidR="669A54D7" w:rsidRPr="76070E89">
        <w:rPr>
          <w:rFonts w:ascii="Georgia" w:eastAsia="Georgia" w:hAnsi="Georgia" w:cs="Georgia"/>
          <w:sz w:val="22"/>
          <w:szCs w:val="22"/>
        </w:rPr>
        <w:t>m</w:t>
      </w:r>
      <w:r w:rsidR="02E4D481" w:rsidRPr="76070E89">
        <w:rPr>
          <w:rFonts w:ascii="Georgia" w:eastAsia="Georgia" w:hAnsi="Georgia" w:cs="Georgia"/>
          <w:sz w:val="22"/>
          <w:szCs w:val="22"/>
        </w:rPr>
        <w:t xml:space="preserve"> B2B2C-Arm der Allianz Gruppe,</w:t>
      </w:r>
      <w:r w:rsidR="001C256A" w:rsidRPr="76070E89">
        <w:rPr>
          <w:rFonts w:ascii="Georgia" w:eastAsia="Georgia" w:hAnsi="Georgia" w:cs="Georgia"/>
          <w:sz w:val="22"/>
          <w:szCs w:val="22"/>
        </w:rPr>
        <w:t xml:space="preserve"> </w:t>
      </w:r>
      <w:r w:rsidR="00122C5C" w:rsidRPr="76070E89">
        <w:rPr>
          <w:rFonts w:ascii="Georgia" w:eastAsia="Georgia" w:hAnsi="Georgia" w:cs="Georgia"/>
          <w:sz w:val="22"/>
          <w:szCs w:val="22"/>
        </w:rPr>
        <w:t>ein Programm mit mehr als 30 Sessions</w:t>
      </w:r>
      <w:r w:rsidR="00CB618D" w:rsidRPr="76070E89">
        <w:rPr>
          <w:rFonts w:ascii="Georgia" w:eastAsia="Georgia" w:hAnsi="Georgia" w:cs="Georgia"/>
          <w:sz w:val="22"/>
          <w:szCs w:val="22"/>
        </w:rPr>
        <w:t xml:space="preserve"> –</w:t>
      </w:r>
      <w:r w:rsidR="00F308F9" w:rsidRPr="76070E89">
        <w:rPr>
          <w:rFonts w:ascii="Georgia" w:eastAsia="Georgia" w:hAnsi="Georgia" w:cs="Georgia"/>
          <w:sz w:val="22"/>
          <w:szCs w:val="22"/>
        </w:rPr>
        <w:t xml:space="preserve"> darunter </w:t>
      </w:r>
      <w:r w:rsidR="001C256A" w:rsidRPr="76070E89">
        <w:rPr>
          <w:rFonts w:ascii="Georgia" w:eastAsia="Georgia" w:hAnsi="Georgia" w:cs="Georgia"/>
          <w:sz w:val="22"/>
          <w:szCs w:val="22"/>
        </w:rPr>
        <w:t xml:space="preserve">inspirierende </w:t>
      </w:r>
      <w:r w:rsidR="00F308F9" w:rsidRPr="76070E89">
        <w:rPr>
          <w:rFonts w:ascii="Georgia" w:eastAsia="Georgia" w:hAnsi="Georgia" w:cs="Georgia"/>
          <w:sz w:val="22"/>
          <w:szCs w:val="22"/>
        </w:rPr>
        <w:t>Keynotes</w:t>
      </w:r>
      <w:r w:rsidR="23589679" w:rsidRPr="76070E89">
        <w:rPr>
          <w:rFonts w:ascii="Georgia" w:eastAsia="Georgia" w:hAnsi="Georgia" w:cs="Georgia"/>
          <w:sz w:val="22"/>
          <w:szCs w:val="22"/>
        </w:rPr>
        <w:t xml:space="preserve"> und </w:t>
      </w:r>
      <w:r w:rsidR="001C256A" w:rsidRPr="76070E89">
        <w:rPr>
          <w:rFonts w:ascii="Georgia" w:eastAsia="Georgia" w:hAnsi="Georgia" w:cs="Georgia"/>
          <w:sz w:val="22"/>
          <w:szCs w:val="22"/>
        </w:rPr>
        <w:t xml:space="preserve">tiefgehende </w:t>
      </w:r>
      <w:r w:rsidR="00F308F9" w:rsidRPr="76070E89">
        <w:rPr>
          <w:rFonts w:ascii="Georgia" w:eastAsia="Georgia" w:hAnsi="Georgia" w:cs="Georgia"/>
          <w:sz w:val="22"/>
          <w:szCs w:val="22"/>
        </w:rPr>
        <w:t xml:space="preserve">Podiumsdiskussionen und </w:t>
      </w:r>
      <w:r w:rsidR="00CB618D" w:rsidRPr="76070E89">
        <w:rPr>
          <w:rFonts w:ascii="Georgia" w:eastAsia="Georgia" w:hAnsi="Georgia" w:cs="Georgia"/>
          <w:sz w:val="22"/>
          <w:szCs w:val="22"/>
        </w:rPr>
        <w:t>mit führenden Köpfen aus Wirtschaft, Wissenschaft und Politik</w:t>
      </w:r>
      <w:r w:rsidR="00F308F9" w:rsidRPr="76070E89">
        <w:rPr>
          <w:rFonts w:ascii="Georgia" w:eastAsia="Georgia" w:hAnsi="Georgia" w:cs="Georgia"/>
          <w:sz w:val="22"/>
          <w:szCs w:val="22"/>
        </w:rPr>
        <w:t>.</w:t>
      </w:r>
      <w:r w:rsidR="00F308F9">
        <w:t xml:space="preserve"> </w:t>
      </w:r>
      <w:r w:rsidR="00850CD6">
        <w:t>D</w:t>
      </w:r>
      <w:r w:rsidR="00F308F9">
        <w:t xml:space="preserve">er Fokus </w:t>
      </w:r>
      <w:r w:rsidR="00850CD6">
        <w:t xml:space="preserve">liegt </w:t>
      </w:r>
      <w:r w:rsidR="00F308F9">
        <w:t xml:space="preserve">auf den </w:t>
      </w:r>
      <w:r w:rsidR="00F308F9" w:rsidRPr="76070E89">
        <w:rPr>
          <w:rFonts w:ascii="Georgia" w:eastAsia="Georgia" w:hAnsi="Georgia" w:cs="Georgia"/>
          <w:sz w:val="22"/>
          <w:szCs w:val="22"/>
        </w:rPr>
        <w:t xml:space="preserve">neuesten Entwicklungen in </w:t>
      </w:r>
      <w:r w:rsidR="003C1EEB" w:rsidRPr="76070E89">
        <w:rPr>
          <w:rFonts w:ascii="Georgia" w:eastAsia="Georgia" w:hAnsi="Georgia" w:cs="Georgia"/>
          <w:sz w:val="22"/>
          <w:szCs w:val="22"/>
        </w:rPr>
        <w:t xml:space="preserve">den </w:t>
      </w:r>
      <w:r w:rsidR="00F308F9" w:rsidRPr="76070E89">
        <w:rPr>
          <w:rFonts w:ascii="Georgia" w:eastAsia="Georgia" w:hAnsi="Georgia" w:cs="Georgia"/>
          <w:sz w:val="22"/>
          <w:szCs w:val="22"/>
        </w:rPr>
        <w:t>Bereichen</w:t>
      </w:r>
      <w:r w:rsidR="000251EF" w:rsidRPr="76070E89">
        <w:rPr>
          <w:rFonts w:ascii="Georgia" w:eastAsia="Georgia" w:hAnsi="Georgia" w:cs="Georgia"/>
          <w:sz w:val="22"/>
          <w:szCs w:val="22"/>
        </w:rPr>
        <w:t xml:space="preserve"> </w:t>
      </w:r>
      <w:r w:rsidR="00F308F9" w:rsidRPr="76070E89">
        <w:rPr>
          <w:rFonts w:ascii="Georgia" w:eastAsia="Georgia" w:hAnsi="Georgia" w:cs="Georgia"/>
          <w:sz w:val="22"/>
          <w:szCs w:val="22"/>
        </w:rPr>
        <w:t xml:space="preserve">Digitalisierung, </w:t>
      </w:r>
      <w:r w:rsidR="001C256A" w:rsidRPr="76070E89">
        <w:rPr>
          <w:rFonts w:ascii="Georgia" w:eastAsia="Georgia" w:hAnsi="Georgia" w:cs="Georgia"/>
          <w:sz w:val="22"/>
          <w:szCs w:val="22"/>
        </w:rPr>
        <w:t>k</w:t>
      </w:r>
      <w:r w:rsidR="00F308F9" w:rsidRPr="76070E89">
        <w:rPr>
          <w:rFonts w:ascii="Georgia" w:eastAsia="Georgia" w:hAnsi="Georgia" w:cs="Georgia"/>
          <w:sz w:val="22"/>
          <w:szCs w:val="22"/>
        </w:rPr>
        <w:t xml:space="preserve">ünstliche Intelligenz, Elektromobilität, autonomes Fahren und </w:t>
      </w:r>
      <w:r w:rsidR="4CD45259" w:rsidRPr="76070E89">
        <w:rPr>
          <w:rFonts w:ascii="Georgia" w:eastAsia="Georgia" w:hAnsi="Georgia" w:cs="Georgia"/>
          <w:sz w:val="22"/>
          <w:szCs w:val="22"/>
        </w:rPr>
        <w:t>nachhaltige Mobilitätskonzepte</w:t>
      </w:r>
      <w:r w:rsidR="3F47F493" w:rsidRPr="76070E89">
        <w:rPr>
          <w:rFonts w:ascii="Georgia" w:eastAsia="Georgia" w:hAnsi="Georgia" w:cs="Georgia"/>
          <w:sz w:val="22"/>
          <w:szCs w:val="22"/>
        </w:rPr>
        <w:t>.</w:t>
      </w:r>
    </w:p>
    <w:p w14:paraId="73CCC29E" w14:textId="4E20553C" w:rsidR="00F308F9" w:rsidRPr="00813605" w:rsidRDefault="0078172F" w:rsidP="76070E89">
      <w:pPr>
        <w:spacing w:before="280" w:after="280" w:line="360" w:lineRule="auto"/>
        <w:ind w:left="720"/>
        <w:jc w:val="both"/>
        <w:rPr>
          <w:b/>
          <w:bCs/>
        </w:rPr>
      </w:pPr>
      <w:r w:rsidRPr="76070E89">
        <w:rPr>
          <w:rFonts w:ascii="Georgia" w:eastAsia="Georgia" w:hAnsi="Georgia" w:cs="Georgia"/>
          <w:b/>
          <w:bCs/>
          <w:sz w:val="22"/>
          <w:szCs w:val="22"/>
        </w:rPr>
        <w:t>Exklusive Einblicke und Diskussion aktueller Trends</w:t>
      </w:r>
    </w:p>
    <w:p w14:paraId="6ADB760C" w14:textId="3874BC44" w:rsidR="007C7497" w:rsidRDefault="00D56BFA" w:rsidP="76070E89">
      <w:pPr>
        <w:spacing w:before="280" w:after="280" w:line="360" w:lineRule="auto"/>
        <w:ind w:left="720"/>
        <w:jc w:val="both"/>
        <w:rPr>
          <w:rFonts w:ascii="Georgia" w:eastAsia="Georgia" w:hAnsi="Georgia" w:cs="Georgia"/>
          <w:sz w:val="22"/>
          <w:szCs w:val="22"/>
        </w:rPr>
      </w:pPr>
      <w:r w:rsidRPr="76070E89">
        <w:rPr>
          <w:rFonts w:ascii="Georgia" w:eastAsia="Georgia" w:hAnsi="Georgia" w:cs="Georgia"/>
          <w:sz w:val="22"/>
          <w:szCs w:val="22"/>
        </w:rPr>
        <w:t>Unter</w:t>
      </w:r>
      <w:r w:rsidR="00097D42" w:rsidRPr="76070E89">
        <w:rPr>
          <w:rFonts w:ascii="Georgia" w:eastAsia="Georgia" w:hAnsi="Georgia" w:cs="Georgia"/>
          <w:sz w:val="22"/>
          <w:szCs w:val="22"/>
        </w:rPr>
        <w:t xml:space="preserve"> dem Motto „Inhale. Exhale. Move.“ lädt PwC seine Gäste im Smart Mobility Space dazu ein, innezuhalten, durchzuatmen und nachzudenken, um sich </w:t>
      </w:r>
      <w:r w:rsidR="001C256A" w:rsidRPr="76070E89">
        <w:rPr>
          <w:rFonts w:ascii="Georgia" w:eastAsia="Georgia" w:hAnsi="Georgia" w:cs="Georgia"/>
          <w:sz w:val="22"/>
          <w:szCs w:val="22"/>
        </w:rPr>
        <w:t xml:space="preserve">in einer schnelllebigen Branche </w:t>
      </w:r>
      <w:r w:rsidR="00097D42" w:rsidRPr="76070E89">
        <w:rPr>
          <w:rFonts w:ascii="Georgia" w:eastAsia="Georgia" w:hAnsi="Georgia" w:cs="Georgia"/>
          <w:sz w:val="22"/>
          <w:szCs w:val="22"/>
        </w:rPr>
        <w:t xml:space="preserve">mit neuem Fokus </w:t>
      </w:r>
      <w:r w:rsidR="00E501B1" w:rsidRPr="76070E89">
        <w:rPr>
          <w:rFonts w:ascii="Georgia" w:eastAsia="Georgia" w:hAnsi="Georgia" w:cs="Georgia"/>
          <w:sz w:val="22"/>
          <w:szCs w:val="22"/>
        </w:rPr>
        <w:t>wohlüberlegt</w:t>
      </w:r>
      <w:r w:rsidR="00097D42" w:rsidRPr="76070E89">
        <w:rPr>
          <w:rFonts w:ascii="Georgia" w:eastAsia="Georgia" w:hAnsi="Georgia" w:cs="Georgia"/>
          <w:sz w:val="22"/>
          <w:szCs w:val="22"/>
        </w:rPr>
        <w:t xml:space="preserve"> zu orientieren. </w:t>
      </w:r>
      <w:r w:rsidR="00E63BDC" w:rsidRPr="76070E89">
        <w:rPr>
          <w:rFonts w:ascii="Georgia" w:eastAsia="Georgia" w:hAnsi="Georgia" w:cs="Georgia"/>
          <w:sz w:val="22"/>
          <w:szCs w:val="22"/>
        </w:rPr>
        <w:t>„</w:t>
      </w:r>
      <w:r w:rsidR="324B78A9" w:rsidRPr="76070E89">
        <w:rPr>
          <w:rFonts w:ascii="Georgia" w:eastAsia="Georgia" w:hAnsi="Georgia" w:cs="Georgia"/>
          <w:sz w:val="22"/>
          <w:szCs w:val="22"/>
        </w:rPr>
        <w:t xml:space="preserve">Die Transformation wartet nicht. </w:t>
      </w:r>
      <w:r w:rsidR="796A7F20" w:rsidRPr="76070E89">
        <w:rPr>
          <w:rFonts w:ascii="Georgia" w:eastAsia="Georgia" w:hAnsi="Georgia" w:cs="Georgia"/>
          <w:sz w:val="22"/>
          <w:szCs w:val="22"/>
        </w:rPr>
        <w:t>Ein w</w:t>
      </w:r>
      <w:r w:rsidR="324B78A9" w:rsidRPr="76070E89">
        <w:rPr>
          <w:rFonts w:ascii="Georgia" w:eastAsia="Georgia" w:hAnsi="Georgia" w:cs="Georgia"/>
          <w:sz w:val="22"/>
          <w:szCs w:val="22"/>
        </w:rPr>
        <w:t>eiter wi</w:t>
      </w:r>
      <w:r w:rsidR="29D8A0CB" w:rsidRPr="76070E89">
        <w:rPr>
          <w:rFonts w:ascii="Georgia" w:eastAsia="Georgia" w:hAnsi="Georgia" w:cs="Georgia"/>
          <w:sz w:val="22"/>
          <w:szCs w:val="22"/>
        </w:rPr>
        <w:t>e</w:t>
      </w:r>
      <w:r w:rsidR="324B78A9" w:rsidRPr="76070E89">
        <w:rPr>
          <w:rFonts w:ascii="Georgia" w:eastAsia="Georgia" w:hAnsi="Georgia" w:cs="Georgia"/>
          <w:sz w:val="22"/>
          <w:szCs w:val="22"/>
        </w:rPr>
        <w:t xml:space="preserve"> bisher ist keine Option</w:t>
      </w:r>
      <w:r w:rsidR="00E63BDC" w:rsidRPr="76070E89">
        <w:rPr>
          <w:rFonts w:ascii="Georgia" w:eastAsia="Georgia" w:hAnsi="Georgia" w:cs="Georgia"/>
          <w:sz w:val="22"/>
          <w:szCs w:val="22"/>
        </w:rPr>
        <w:t>“, sagt Felix Kuhnert,</w:t>
      </w:r>
      <w:r w:rsidR="63593203" w:rsidRPr="76070E89">
        <w:rPr>
          <w:rFonts w:ascii="Georgia" w:eastAsia="Georgia" w:hAnsi="Georgia" w:cs="Georgia"/>
          <w:sz w:val="22"/>
          <w:szCs w:val="22"/>
        </w:rPr>
        <w:t xml:space="preserve"> Partner und</w:t>
      </w:r>
      <w:r w:rsidR="00E63BDC" w:rsidRPr="76070E89">
        <w:rPr>
          <w:rFonts w:ascii="Georgia" w:eastAsia="Georgia" w:hAnsi="Georgia" w:cs="Georgia"/>
          <w:sz w:val="22"/>
          <w:szCs w:val="22"/>
        </w:rPr>
        <w:t xml:space="preserve"> Automotive</w:t>
      </w:r>
      <w:r w:rsidR="25DCBB3C" w:rsidRPr="76070E89">
        <w:rPr>
          <w:rFonts w:ascii="Georgia" w:eastAsia="Georgia" w:hAnsi="Georgia" w:cs="Georgia"/>
          <w:sz w:val="22"/>
          <w:szCs w:val="22"/>
        </w:rPr>
        <w:t xml:space="preserve"> </w:t>
      </w:r>
      <w:r w:rsidR="50133604" w:rsidRPr="76070E89">
        <w:rPr>
          <w:rFonts w:ascii="Georgia" w:eastAsia="Georgia" w:hAnsi="Georgia" w:cs="Georgia"/>
          <w:sz w:val="22"/>
          <w:szCs w:val="22"/>
        </w:rPr>
        <w:t>Expert</w:t>
      </w:r>
      <w:r w:rsidR="78C45D15" w:rsidRPr="76070E89">
        <w:rPr>
          <w:rFonts w:ascii="Georgia" w:eastAsia="Georgia" w:hAnsi="Georgia" w:cs="Georgia"/>
          <w:sz w:val="22"/>
          <w:szCs w:val="22"/>
        </w:rPr>
        <w:t xml:space="preserve"> bei</w:t>
      </w:r>
      <w:r w:rsidR="00E63BDC" w:rsidRPr="76070E89">
        <w:rPr>
          <w:rFonts w:ascii="Georgia" w:eastAsia="Georgia" w:hAnsi="Georgia" w:cs="Georgia"/>
          <w:sz w:val="22"/>
          <w:szCs w:val="22"/>
        </w:rPr>
        <w:t xml:space="preserve"> PwC Deutschland. „</w:t>
      </w:r>
      <w:r w:rsidR="65BC58ED" w:rsidRPr="76070E89">
        <w:rPr>
          <w:rFonts w:ascii="Georgia" w:eastAsia="Georgia" w:hAnsi="Georgia" w:cs="Georgia"/>
          <w:sz w:val="22"/>
          <w:szCs w:val="22"/>
        </w:rPr>
        <w:t>Vielmehr müssen Unternehmen neue Wertschöpfungsfelder für sich erschließen und v</w:t>
      </w:r>
      <w:r w:rsidR="419BDD24" w:rsidRPr="76070E89">
        <w:rPr>
          <w:rFonts w:ascii="Georgia" w:eastAsia="Georgia" w:hAnsi="Georgia" w:cs="Georgia"/>
          <w:sz w:val="22"/>
          <w:szCs w:val="22"/>
        </w:rPr>
        <w:t>or allem</w:t>
      </w:r>
      <w:r w:rsidR="65BC58ED" w:rsidRPr="76070E89">
        <w:rPr>
          <w:rFonts w:ascii="Georgia" w:eastAsia="Georgia" w:hAnsi="Georgia" w:cs="Georgia"/>
          <w:sz w:val="22"/>
          <w:szCs w:val="22"/>
        </w:rPr>
        <w:t xml:space="preserve"> Geschwindigkeit aufnehmen. Dafür wollen wir mit dem Smart Mobility Space einen Dialograum schaffen.</w:t>
      </w:r>
      <w:r w:rsidR="00E63BDC" w:rsidRPr="76070E89">
        <w:rPr>
          <w:rFonts w:ascii="Georgia" w:eastAsia="Georgia" w:hAnsi="Georgia" w:cs="Georgia"/>
          <w:sz w:val="22"/>
          <w:szCs w:val="22"/>
        </w:rPr>
        <w:t>“</w:t>
      </w:r>
    </w:p>
    <w:p w14:paraId="6840B1B3" w14:textId="0D027A7C" w:rsidR="00F308F9" w:rsidRDefault="00AF6FB9" w:rsidP="76070E89">
      <w:pPr>
        <w:spacing w:before="280" w:after="280" w:line="360" w:lineRule="auto"/>
        <w:ind w:left="720"/>
        <w:jc w:val="both"/>
        <w:rPr>
          <w:rFonts w:ascii="Georgia" w:eastAsia="Georgia" w:hAnsi="Georgia" w:cs="Georgia"/>
          <w:sz w:val="22"/>
          <w:szCs w:val="22"/>
        </w:rPr>
      </w:pPr>
      <w:r w:rsidRPr="76070E89">
        <w:rPr>
          <w:rFonts w:ascii="Georgia" w:eastAsia="Georgia" w:hAnsi="Georgia" w:cs="Georgia"/>
          <w:sz w:val="22"/>
          <w:szCs w:val="22"/>
        </w:rPr>
        <w:t>Erwartet werden mehr als 100 hochkarätige Referierende</w:t>
      </w:r>
      <w:r w:rsidR="00CB618D" w:rsidRPr="76070E89">
        <w:rPr>
          <w:rFonts w:ascii="Georgia" w:eastAsia="Georgia" w:hAnsi="Georgia" w:cs="Georgia"/>
          <w:sz w:val="22"/>
          <w:szCs w:val="22"/>
        </w:rPr>
        <w:t>. Hierzu zählen etwa</w:t>
      </w:r>
      <w:r w:rsidRPr="76070E89">
        <w:rPr>
          <w:rFonts w:ascii="Georgia" w:eastAsia="Georgia" w:hAnsi="Georgia" w:cs="Georgia"/>
          <w:sz w:val="22"/>
          <w:szCs w:val="22"/>
        </w:rPr>
        <w:t xml:space="preserve"> Agnes Heftberger, Vorsitzende der Geschäftsführung von Microsoft Deutschland</w:t>
      </w:r>
      <w:r w:rsidR="1ABF0C90" w:rsidRPr="76070E89">
        <w:rPr>
          <w:rFonts w:ascii="Georgia" w:eastAsia="Georgia" w:hAnsi="Georgia" w:cs="Georgia"/>
          <w:sz w:val="22"/>
          <w:szCs w:val="22"/>
        </w:rPr>
        <w:t xml:space="preserve"> </w:t>
      </w:r>
      <w:r w:rsidR="00122C5C" w:rsidRPr="76070E89">
        <w:rPr>
          <w:rFonts w:ascii="Georgia" w:eastAsia="Georgia" w:hAnsi="Georgia" w:cs="Georgia"/>
          <w:sz w:val="22"/>
          <w:szCs w:val="22"/>
        </w:rPr>
        <w:t xml:space="preserve">und </w:t>
      </w:r>
      <w:r w:rsidR="1D46997D" w:rsidRPr="76070E89">
        <w:rPr>
          <w:rFonts w:ascii="Georgia" w:eastAsia="Georgia" w:hAnsi="Georgia" w:cs="Georgia"/>
          <w:sz w:val="22"/>
          <w:szCs w:val="22"/>
        </w:rPr>
        <w:t>Michael Maicher, Global Partner &amp; Director bei Allianz Partners</w:t>
      </w:r>
      <w:r w:rsidR="0059E4DA" w:rsidRPr="76070E89">
        <w:rPr>
          <w:rFonts w:ascii="Georgia" w:eastAsia="Georgia" w:hAnsi="Georgia" w:cs="Georgia"/>
          <w:sz w:val="22"/>
          <w:szCs w:val="22"/>
        </w:rPr>
        <w:t>,</w:t>
      </w:r>
      <w:r w:rsidR="3D3DD4F1" w:rsidRPr="76070E89">
        <w:rPr>
          <w:rFonts w:ascii="Georgia" w:eastAsia="Georgia" w:hAnsi="Georgia" w:cs="Georgia"/>
          <w:sz w:val="22"/>
          <w:szCs w:val="22"/>
        </w:rPr>
        <w:t xml:space="preserve"> Prof. Dr. Andreas Herrmann, Direktor des Instituts </w:t>
      </w:r>
      <w:r w:rsidR="33BB7EA4" w:rsidRPr="76070E89">
        <w:rPr>
          <w:rFonts w:ascii="Georgia" w:eastAsia="Georgia" w:hAnsi="Georgia" w:cs="Georgia"/>
          <w:sz w:val="22"/>
          <w:szCs w:val="22"/>
        </w:rPr>
        <w:t xml:space="preserve">für Mobilität </w:t>
      </w:r>
      <w:r w:rsidR="3D3DD4F1" w:rsidRPr="76070E89">
        <w:rPr>
          <w:rFonts w:ascii="Georgia" w:eastAsia="Georgia" w:hAnsi="Georgia" w:cs="Georgia"/>
          <w:sz w:val="22"/>
          <w:szCs w:val="22"/>
        </w:rPr>
        <w:t>an der Universität St.Gallen</w:t>
      </w:r>
      <w:r w:rsidR="17A1DF1C" w:rsidRPr="76070E89">
        <w:rPr>
          <w:rFonts w:ascii="Georgia" w:eastAsia="Georgia" w:hAnsi="Georgia" w:cs="Georgia"/>
          <w:sz w:val="22"/>
          <w:szCs w:val="22"/>
        </w:rPr>
        <w:t>,</w:t>
      </w:r>
      <w:r w:rsidR="3B05B10B" w:rsidRPr="76070E89">
        <w:rPr>
          <w:rFonts w:ascii="Georgia" w:eastAsia="Georgia" w:hAnsi="Georgia" w:cs="Georgia"/>
          <w:sz w:val="22"/>
          <w:szCs w:val="22"/>
        </w:rPr>
        <w:t xml:space="preserve"> sowie Petra Justenhoven, Sprecherin der Geschäftsführung von PwC Deutschland</w:t>
      </w:r>
      <w:r w:rsidR="33997933" w:rsidRPr="76070E89">
        <w:rPr>
          <w:rFonts w:ascii="Georgia" w:eastAsia="Georgia" w:hAnsi="Georgia" w:cs="Georgia"/>
          <w:sz w:val="22"/>
          <w:szCs w:val="22"/>
        </w:rPr>
        <w:t>.</w:t>
      </w:r>
      <w:r w:rsidR="389E3A54" w:rsidRPr="76070E89">
        <w:rPr>
          <w:rFonts w:ascii="Georgia" w:eastAsia="Georgia" w:hAnsi="Georgia" w:cs="Georgia"/>
          <w:sz w:val="22"/>
          <w:szCs w:val="22"/>
        </w:rPr>
        <w:t xml:space="preserve"> </w:t>
      </w:r>
      <w:r w:rsidR="007C7497" w:rsidRPr="76070E89">
        <w:rPr>
          <w:rFonts w:ascii="Georgia" w:eastAsia="Georgia" w:hAnsi="Georgia" w:cs="Georgia"/>
          <w:sz w:val="22"/>
          <w:szCs w:val="22"/>
        </w:rPr>
        <w:t xml:space="preserve">Die </w:t>
      </w:r>
      <w:bookmarkStart w:id="0" w:name="_Hlk202269348"/>
      <w:r w:rsidR="00CB618D" w:rsidRPr="76070E89">
        <w:rPr>
          <w:rFonts w:ascii="Georgia" w:eastAsia="Georgia" w:hAnsi="Georgia" w:cs="Georgia"/>
          <w:sz w:val="22"/>
          <w:szCs w:val="22"/>
        </w:rPr>
        <w:t>Teilnehmenden</w:t>
      </w:r>
      <w:r w:rsidR="007C7497" w:rsidRPr="76070E89">
        <w:rPr>
          <w:rFonts w:ascii="Georgia" w:eastAsia="Georgia" w:hAnsi="Georgia" w:cs="Georgia"/>
          <w:sz w:val="22"/>
          <w:szCs w:val="22"/>
        </w:rPr>
        <w:t xml:space="preserve"> </w:t>
      </w:r>
      <w:bookmarkEnd w:id="0"/>
      <w:r w:rsidR="007C7497" w:rsidRPr="76070E89">
        <w:rPr>
          <w:rFonts w:ascii="Georgia" w:eastAsia="Georgia" w:hAnsi="Georgia" w:cs="Georgia"/>
          <w:sz w:val="22"/>
          <w:szCs w:val="22"/>
        </w:rPr>
        <w:t>präsentieren exklusive Einblicke, diskutieren aktuelle Trends und zeigen Wege für eine erfolgreiche Transformation auf.</w:t>
      </w:r>
    </w:p>
    <w:p w14:paraId="574E55EE" w14:textId="579AAD8D" w:rsidR="00642D8A" w:rsidRPr="00813605" w:rsidRDefault="003155A5" w:rsidP="76070E89">
      <w:pPr>
        <w:spacing w:before="280" w:after="280" w:line="360" w:lineRule="auto"/>
        <w:ind w:left="720"/>
        <w:jc w:val="both"/>
        <w:rPr>
          <w:rFonts w:ascii="Georgia" w:eastAsia="Georgia" w:hAnsi="Georgia" w:cs="Georgia"/>
          <w:b/>
          <w:bCs/>
          <w:sz w:val="22"/>
          <w:szCs w:val="22"/>
        </w:rPr>
      </w:pPr>
      <w:r w:rsidRPr="76070E89">
        <w:rPr>
          <w:rFonts w:ascii="Georgia" w:eastAsia="Georgia" w:hAnsi="Georgia" w:cs="Georgia"/>
          <w:b/>
          <w:bCs/>
          <w:sz w:val="22"/>
          <w:szCs w:val="22"/>
        </w:rPr>
        <w:t>PwC ist offizieller Kooperationspartner der IAA MOBILITY</w:t>
      </w:r>
    </w:p>
    <w:p w14:paraId="6AABBA1D" w14:textId="68297D4B" w:rsidR="00D36FE2" w:rsidRDefault="00AF4A1F" w:rsidP="76070E89">
      <w:pPr>
        <w:spacing w:before="280" w:after="280" w:line="360" w:lineRule="auto"/>
        <w:ind w:left="720"/>
        <w:jc w:val="both"/>
        <w:rPr>
          <w:rFonts w:ascii="Georgia" w:eastAsia="Georgia" w:hAnsi="Georgia" w:cs="Georgia"/>
          <w:sz w:val="22"/>
          <w:szCs w:val="22"/>
        </w:rPr>
      </w:pPr>
      <w:r w:rsidRPr="76070E89">
        <w:rPr>
          <w:rFonts w:ascii="Georgia" w:eastAsia="Georgia" w:hAnsi="Georgia" w:cs="Georgia"/>
          <w:sz w:val="22"/>
          <w:szCs w:val="22"/>
        </w:rPr>
        <w:t>Auf der</w:t>
      </w:r>
      <w:r w:rsidR="00E501B1" w:rsidRPr="76070E89">
        <w:rPr>
          <w:rFonts w:ascii="Georgia" w:eastAsia="Georgia" w:hAnsi="Georgia" w:cs="Georgia"/>
          <w:sz w:val="22"/>
          <w:szCs w:val="22"/>
        </w:rPr>
        <w:t xml:space="preserve"> IAA MOBILITY </w:t>
      </w:r>
      <w:r w:rsidRPr="76070E89">
        <w:rPr>
          <w:rFonts w:ascii="Georgia" w:eastAsia="Georgia" w:hAnsi="Georgia" w:cs="Georgia"/>
          <w:sz w:val="22"/>
          <w:szCs w:val="22"/>
        </w:rPr>
        <w:t>treffen sich vom 9. bis 14. September 2025 in München die wichtigsten Akteure der Mobilitätsbranche, der Pressetag f</w:t>
      </w:r>
      <w:r w:rsidR="00E501B1" w:rsidRPr="76070E89">
        <w:rPr>
          <w:rFonts w:ascii="Georgia" w:eastAsia="Georgia" w:hAnsi="Georgia" w:cs="Georgia"/>
          <w:sz w:val="22"/>
          <w:szCs w:val="22"/>
        </w:rPr>
        <w:t xml:space="preserve">indet </w:t>
      </w:r>
      <w:r w:rsidRPr="76070E89">
        <w:rPr>
          <w:rFonts w:ascii="Georgia" w:eastAsia="Georgia" w:hAnsi="Georgia" w:cs="Georgia"/>
          <w:sz w:val="22"/>
          <w:szCs w:val="22"/>
        </w:rPr>
        <w:t>am</w:t>
      </w:r>
      <w:r w:rsidR="00E501B1" w:rsidRPr="76070E89">
        <w:rPr>
          <w:rFonts w:ascii="Georgia" w:eastAsia="Georgia" w:hAnsi="Georgia" w:cs="Georgia"/>
          <w:sz w:val="22"/>
          <w:szCs w:val="22"/>
        </w:rPr>
        <w:t xml:space="preserve"> 8. September 2025</w:t>
      </w:r>
      <w:r w:rsidRPr="76070E89">
        <w:rPr>
          <w:rFonts w:ascii="Georgia" w:eastAsia="Georgia" w:hAnsi="Georgia" w:cs="Georgia"/>
          <w:sz w:val="22"/>
          <w:szCs w:val="22"/>
        </w:rPr>
        <w:t xml:space="preserve"> statt</w:t>
      </w:r>
      <w:r w:rsidR="00E501B1" w:rsidRPr="76070E89">
        <w:rPr>
          <w:rFonts w:ascii="Georgia" w:eastAsia="Georgia" w:hAnsi="Georgia" w:cs="Georgia"/>
          <w:sz w:val="22"/>
          <w:szCs w:val="22"/>
        </w:rPr>
        <w:t>.</w:t>
      </w:r>
      <w:r w:rsidRPr="76070E89">
        <w:rPr>
          <w:rFonts w:ascii="Georgia" w:eastAsia="Georgia" w:hAnsi="Georgia" w:cs="Georgia"/>
          <w:sz w:val="22"/>
          <w:szCs w:val="22"/>
        </w:rPr>
        <w:t xml:space="preserve"> PwC Deutschland ist erneut offizieller Kooperationspartner der Automobil- und Mobilitätsmesse. Der Smart Mobility Space powered by PwC ist eine von insgesamt fünf Bühnen der IAA Conference</w:t>
      </w:r>
      <w:r w:rsidR="003155A5" w:rsidRPr="76070E89">
        <w:rPr>
          <w:rFonts w:ascii="Georgia" w:eastAsia="Georgia" w:hAnsi="Georgia" w:cs="Georgia"/>
          <w:sz w:val="22"/>
          <w:szCs w:val="22"/>
        </w:rPr>
        <w:t>, auf der</w:t>
      </w:r>
      <w:r w:rsidRPr="76070E89">
        <w:rPr>
          <w:rFonts w:ascii="Georgia" w:eastAsia="Georgia" w:hAnsi="Georgia" w:cs="Georgia"/>
          <w:sz w:val="22"/>
          <w:szCs w:val="22"/>
        </w:rPr>
        <w:t xml:space="preserve"> Meinungsführende, Visionäre und Entscheidende zusammen</w:t>
      </w:r>
      <w:r w:rsidR="003155A5" w:rsidRPr="76070E89">
        <w:rPr>
          <w:rFonts w:ascii="Georgia" w:eastAsia="Georgia" w:hAnsi="Georgia" w:cs="Georgia"/>
          <w:sz w:val="22"/>
          <w:szCs w:val="22"/>
        </w:rPr>
        <w:t>treffen</w:t>
      </w:r>
      <w:r w:rsidRPr="76070E89">
        <w:rPr>
          <w:rFonts w:ascii="Georgia" w:eastAsia="Georgia" w:hAnsi="Georgia" w:cs="Georgia"/>
          <w:sz w:val="22"/>
          <w:szCs w:val="22"/>
        </w:rPr>
        <w:t xml:space="preserve">, um die Zukunft der Mobilität aktiv zu gestalten. </w:t>
      </w:r>
    </w:p>
    <w:p w14:paraId="51350BC0" w14:textId="39F40777" w:rsidR="01A6C454" w:rsidRDefault="01A6C454" w:rsidP="226996B8">
      <w:pPr>
        <w:spacing w:before="280" w:after="280" w:line="360" w:lineRule="auto"/>
        <w:ind w:left="720"/>
        <w:rPr>
          <w:rFonts w:ascii="Georgia" w:eastAsia="Georgia" w:hAnsi="Georgia" w:cs="Georgia"/>
          <w:sz w:val="22"/>
          <w:szCs w:val="22"/>
        </w:rPr>
      </w:pPr>
      <w:hyperlink r:id="rId12">
        <w:r w:rsidRPr="226996B8">
          <w:rPr>
            <w:rStyle w:val="Hyperlink"/>
            <w:rFonts w:eastAsia="Georgia" w:cs="Georgia"/>
            <w:sz w:val="22"/>
            <w:szCs w:val="22"/>
          </w:rPr>
          <w:t>www.pwc.de/IAA</w:t>
        </w:r>
      </w:hyperlink>
      <w:r w:rsidRPr="226996B8">
        <w:rPr>
          <w:rFonts w:ascii="Georgia" w:eastAsia="Georgia" w:hAnsi="Georgia" w:cs="Georgia"/>
          <w:sz w:val="22"/>
          <w:szCs w:val="22"/>
        </w:rPr>
        <w:t xml:space="preserve"> </w:t>
      </w:r>
    </w:p>
    <w:p w14:paraId="7FF3879C" w14:textId="34ABD0D9" w:rsidR="004676D4" w:rsidRPr="00813605" w:rsidRDefault="00285CEF" w:rsidP="76070E89">
      <w:pPr>
        <w:spacing w:before="240" w:after="240"/>
        <w:ind w:firstLine="708"/>
        <w:rPr>
          <w:rFonts w:ascii="Georgia" w:eastAsia="Georgia" w:hAnsi="Georgia" w:cs="Georgia"/>
          <w:sz w:val="22"/>
          <w:szCs w:val="22"/>
        </w:rPr>
      </w:pPr>
      <w:r w:rsidRPr="76070E89">
        <w:rPr>
          <w:rFonts w:ascii="Georgia" w:eastAsia="Georgia" w:hAnsi="Georgia" w:cs="Georgia"/>
          <w:b/>
          <w:bCs/>
          <w:color w:val="000000" w:themeColor="text1"/>
          <w:sz w:val="22"/>
          <w:szCs w:val="22"/>
        </w:rPr>
        <w:t>Pressekontakt</w:t>
      </w:r>
      <w:r>
        <w:br/>
      </w:r>
      <w:r>
        <w:tab/>
      </w:r>
      <w:r w:rsidR="7985AF8D" w:rsidRPr="76070E89">
        <w:rPr>
          <w:rFonts w:ascii="Georgia" w:eastAsia="Georgia" w:hAnsi="Georgia" w:cs="Georgia"/>
          <w:color w:val="000000" w:themeColor="text1"/>
          <w:sz w:val="22"/>
          <w:szCs w:val="22"/>
        </w:rPr>
        <w:t>Martin Krause</w:t>
      </w:r>
      <w:r>
        <w:br/>
      </w:r>
      <w:r>
        <w:tab/>
      </w:r>
      <w:r w:rsidR="004676D4" w:rsidRPr="76070E89">
        <w:rPr>
          <w:rFonts w:ascii="Georgia" w:eastAsia="Georgia" w:hAnsi="Georgia" w:cs="Georgia"/>
          <w:sz w:val="22"/>
          <w:szCs w:val="22"/>
        </w:rPr>
        <w:t xml:space="preserve">PwC </w:t>
      </w:r>
      <w:r w:rsidR="056823A0" w:rsidRPr="76070E89">
        <w:rPr>
          <w:rFonts w:ascii="Georgia" w:eastAsia="Georgia" w:hAnsi="Georgia" w:cs="Georgia"/>
          <w:sz w:val="22"/>
          <w:szCs w:val="22"/>
        </w:rPr>
        <w:t>Communications</w:t>
      </w:r>
      <w:r>
        <w:br/>
      </w:r>
      <w:r>
        <w:tab/>
      </w:r>
      <w:r w:rsidR="004676D4" w:rsidRPr="76070E89">
        <w:rPr>
          <w:rFonts w:ascii="Georgia" w:eastAsia="Georgia" w:hAnsi="Georgia" w:cs="Georgia"/>
          <w:sz w:val="22"/>
          <w:szCs w:val="22"/>
        </w:rPr>
        <w:t xml:space="preserve">Tel.: </w:t>
      </w:r>
      <w:r w:rsidR="5DD8FDF9" w:rsidRPr="76070E89">
        <w:rPr>
          <w:rFonts w:ascii="Georgia" w:eastAsia="Georgia" w:hAnsi="Georgia" w:cs="Georgia"/>
          <w:sz w:val="22"/>
          <w:szCs w:val="22"/>
        </w:rPr>
        <w:t>+49</w:t>
      </w:r>
      <w:r w:rsidR="0BE6DC9D" w:rsidRPr="76070E89">
        <w:rPr>
          <w:rFonts w:ascii="Georgia" w:eastAsia="Georgia" w:hAnsi="Georgia" w:cs="Georgia"/>
          <w:sz w:val="22"/>
          <w:szCs w:val="22"/>
        </w:rPr>
        <w:t xml:space="preserve"> </w:t>
      </w:r>
      <w:r w:rsidR="5DD8FDF9" w:rsidRPr="76070E89">
        <w:rPr>
          <w:rFonts w:ascii="Georgia" w:eastAsia="Georgia" w:hAnsi="Georgia" w:cs="Georgia"/>
          <w:sz w:val="22"/>
          <w:szCs w:val="22"/>
        </w:rPr>
        <w:t>151</w:t>
      </w:r>
      <w:r w:rsidR="3F33FAA2" w:rsidRPr="76070E89">
        <w:rPr>
          <w:rFonts w:ascii="Georgia" w:eastAsia="Georgia" w:hAnsi="Georgia" w:cs="Georgia"/>
          <w:sz w:val="22"/>
          <w:szCs w:val="22"/>
        </w:rPr>
        <w:t xml:space="preserve"> </w:t>
      </w:r>
      <w:r w:rsidR="5DD8FDF9" w:rsidRPr="76070E89">
        <w:rPr>
          <w:rFonts w:ascii="Georgia" w:eastAsia="Georgia" w:hAnsi="Georgia" w:cs="Georgia"/>
          <w:sz w:val="22"/>
          <w:szCs w:val="22"/>
        </w:rPr>
        <w:t>4181306</w:t>
      </w:r>
      <w:r>
        <w:br/>
      </w:r>
      <w:r>
        <w:tab/>
      </w:r>
      <w:r w:rsidR="004676D4" w:rsidRPr="76070E89">
        <w:rPr>
          <w:rFonts w:ascii="Georgia" w:eastAsia="Georgia" w:hAnsi="Georgia" w:cs="Georgia"/>
          <w:sz w:val="22"/>
          <w:szCs w:val="22"/>
        </w:rPr>
        <w:t xml:space="preserve">E-Mail: </w:t>
      </w:r>
      <w:hyperlink r:id="rId13">
        <w:r w:rsidR="27F4A4FA" w:rsidRPr="76070E89">
          <w:rPr>
            <w:rStyle w:val="Hyperlink"/>
            <w:rFonts w:eastAsia="Georgia" w:cs="Georgia"/>
            <w:sz w:val="22"/>
            <w:szCs w:val="22"/>
          </w:rPr>
          <w:t>m.krause@pwc.co</w:t>
        </w:r>
        <w:r w:rsidR="1A0DA71E" w:rsidRPr="76070E89">
          <w:rPr>
            <w:rStyle w:val="Hyperlink"/>
            <w:rFonts w:eastAsia="Georgia" w:cs="Georgia"/>
            <w:sz w:val="22"/>
            <w:szCs w:val="22"/>
          </w:rPr>
          <w:t>m</w:t>
        </w:r>
      </w:hyperlink>
    </w:p>
    <w:p w14:paraId="6D612ACA" w14:textId="3CA65C37" w:rsidR="009A4F1D" w:rsidRPr="00813605" w:rsidRDefault="009A4F1D" w:rsidP="004676D4">
      <w:pPr>
        <w:spacing w:before="240" w:after="240" w:line="360" w:lineRule="auto"/>
        <w:ind w:firstLine="708"/>
        <w:rPr>
          <w:rFonts w:ascii="Georgia" w:eastAsia="Georgia" w:hAnsi="Georgia" w:cs="Georgia"/>
          <w:b/>
          <w:sz w:val="22"/>
          <w:szCs w:val="22"/>
        </w:rPr>
      </w:pPr>
    </w:p>
    <w:p w14:paraId="6D612ACB" w14:textId="77777777" w:rsidR="009A4F1D" w:rsidRPr="00813605" w:rsidRDefault="00285CEF" w:rsidP="00AA3626">
      <w:pPr>
        <w:spacing w:after="240"/>
        <w:ind w:firstLine="708"/>
        <w:rPr>
          <w:rFonts w:ascii="Georgia" w:eastAsia="Georgia" w:hAnsi="Georgia" w:cs="Georgia"/>
          <w:b/>
          <w:sz w:val="22"/>
          <w:szCs w:val="22"/>
        </w:rPr>
      </w:pPr>
      <w:r w:rsidRPr="226996B8">
        <w:rPr>
          <w:rFonts w:ascii="Georgia" w:eastAsia="Georgia" w:hAnsi="Georgia" w:cs="Georgia"/>
          <w:b/>
          <w:bCs/>
          <w:sz w:val="22"/>
          <w:szCs w:val="22"/>
        </w:rPr>
        <w:t xml:space="preserve">Über PwC: </w:t>
      </w:r>
    </w:p>
    <w:p w14:paraId="5B559CE4" w14:textId="1C88302D" w:rsidR="04FE263F" w:rsidRDefault="04FE263F" w:rsidP="226996B8">
      <w:pPr>
        <w:pBdr>
          <w:top w:val="nil"/>
          <w:left w:val="nil"/>
          <w:bottom w:val="nil"/>
          <w:right w:val="nil"/>
          <w:between w:val="nil"/>
        </w:pBdr>
        <w:shd w:val="clear" w:color="auto" w:fill="FFFFFF" w:themeFill="background1"/>
        <w:ind w:left="720"/>
        <w:rPr>
          <w:rFonts w:ascii="Georgia" w:eastAsia="Georgia" w:hAnsi="Georgia" w:cs="Georgia"/>
          <w:color w:val="000000" w:themeColor="text1"/>
          <w:sz w:val="22"/>
          <w:szCs w:val="22"/>
        </w:rPr>
      </w:pPr>
      <w:r w:rsidRPr="226996B8">
        <w:rPr>
          <w:rFonts w:ascii="Georgia" w:eastAsia="Georgia" w:hAnsi="Georgia" w:cs="Georgia"/>
          <w:color w:val="000000" w:themeColor="text1"/>
          <w:sz w:val="22"/>
          <w:szCs w:val="22"/>
        </w:rPr>
        <w:t>PwC unterstützt seine Kunden dabei, Vertrauen aufzubauen und sich neu zu erfinden. Im PwC-Netzwerk verwandeln mehr als 370.000 Mitarbeitende in 149 Ländern täglich komplexe Herausforderungen in Chancen und Wettbewerbsvorteile. Mit modernsten Technologien und fundiertem Fachwissen in den Bereichen Wirtschaftsprüfung, Steuern, Recht und Beratung tragen wir dazu bei, Momentum zu schaffen, auszubauen und zu erhalten.</w:t>
      </w:r>
    </w:p>
    <w:p w14:paraId="54CA8139" w14:textId="77777777" w:rsidR="00B403BB" w:rsidRPr="00813605" w:rsidRDefault="00B403BB" w:rsidP="00AA3626">
      <w:pPr>
        <w:pBdr>
          <w:top w:val="nil"/>
          <w:left w:val="nil"/>
          <w:bottom w:val="nil"/>
          <w:right w:val="nil"/>
          <w:between w:val="nil"/>
        </w:pBdr>
        <w:shd w:val="clear" w:color="auto" w:fill="FFFFFF"/>
        <w:ind w:left="720"/>
        <w:rPr>
          <w:rFonts w:ascii="Georgia" w:eastAsia="Georgia" w:hAnsi="Georgia" w:cs="Georgia"/>
          <w:color w:val="000000"/>
          <w:sz w:val="22"/>
          <w:szCs w:val="22"/>
        </w:rPr>
      </w:pPr>
    </w:p>
    <w:p w14:paraId="77CC51BA" w14:textId="77777777" w:rsidR="00B403BB" w:rsidRPr="00813605" w:rsidRDefault="00B403BB" w:rsidP="00AA3626">
      <w:pPr>
        <w:pBdr>
          <w:top w:val="nil"/>
          <w:left w:val="nil"/>
          <w:bottom w:val="nil"/>
          <w:right w:val="nil"/>
          <w:between w:val="nil"/>
        </w:pBdr>
        <w:shd w:val="clear" w:color="auto" w:fill="FFFFFF"/>
        <w:ind w:left="720"/>
        <w:rPr>
          <w:rFonts w:ascii="Georgia" w:eastAsia="Georgia" w:hAnsi="Georgia" w:cs="Georgia"/>
          <w:color w:val="000000"/>
          <w:sz w:val="22"/>
          <w:szCs w:val="22"/>
        </w:rPr>
      </w:pPr>
      <w:r w:rsidRPr="00813605">
        <w:rPr>
          <w:rFonts w:ascii="Georgia" w:eastAsia="Georgia" w:hAnsi="Georgia" w:cs="Georgia"/>
          <w:color w:val="000000"/>
          <w:sz w:val="22"/>
          <w:szCs w:val="22"/>
        </w:rPr>
        <w:t>PwC Deutschland bezeichnet in diesem Dokument die PricewaterhouseCoopers GmbH Wirtschaftsprüfungsgesellschaft, die eine Mitgliedsgesellschaft der PricewaterhouseCoopers International Limited (PwCIL) ist. Jede der Mitgliedsgesellschaften der PwCIL ist eine rechtlich selbstständige Gesellschaft.</w:t>
      </w:r>
    </w:p>
    <w:p w14:paraId="74684D98" w14:textId="77777777" w:rsidR="00B403BB" w:rsidRPr="00813605" w:rsidRDefault="00B403BB" w:rsidP="00AA3626">
      <w:pPr>
        <w:pBdr>
          <w:top w:val="nil"/>
          <w:left w:val="nil"/>
          <w:bottom w:val="nil"/>
          <w:right w:val="nil"/>
          <w:between w:val="nil"/>
        </w:pBdr>
        <w:shd w:val="clear" w:color="auto" w:fill="FFFFFF"/>
        <w:ind w:left="720"/>
        <w:rPr>
          <w:rFonts w:ascii="Georgia" w:eastAsia="Georgia" w:hAnsi="Georgia" w:cs="Georgia"/>
          <w:color w:val="000000"/>
          <w:sz w:val="22"/>
          <w:szCs w:val="22"/>
        </w:rPr>
      </w:pPr>
    </w:p>
    <w:p w14:paraId="6D612ACE" w14:textId="2EA659C5" w:rsidR="009A4F1D" w:rsidRPr="00813605" w:rsidRDefault="00B403BB" w:rsidP="00AA3626">
      <w:pPr>
        <w:pBdr>
          <w:top w:val="nil"/>
          <w:left w:val="nil"/>
          <w:bottom w:val="nil"/>
          <w:right w:val="nil"/>
          <w:between w:val="nil"/>
        </w:pBdr>
        <w:shd w:val="clear" w:color="auto" w:fill="FFFFFF"/>
        <w:ind w:left="720"/>
        <w:rPr>
          <w:rFonts w:ascii="Georgia" w:eastAsia="Georgia" w:hAnsi="Georgia" w:cs="Georgia"/>
          <w:color w:val="000000"/>
          <w:sz w:val="22"/>
          <w:szCs w:val="22"/>
        </w:rPr>
      </w:pPr>
      <w:r w:rsidRPr="00813605">
        <w:rPr>
          <w:rFonts w:ascii="Georgia" w:eastAsia="Georgia" w:hAnsi="Georgia" w:cs="Georgia"/>
          <w:color w:val="000000"/>
          <w:sz w:val="22"/>
          <w:szCs w:val="22"/>
        </w:rPr>
        <w:t xml:space="preserve">Die Bezeichnung PwC bezieht sich auf das PwC-Netzwerk und/oder eine oder mehrere der rechtlich selbstständigen Netzwerkgesellschaften. Weitere Details unter </w:t>
      </w:r>
      <w:hyperlink r:id="rId14" w:history="1">
        <w:r w:rsidRPr="00813605">
          <w:rPr>
            <w:rStyle w:val="Hyperlink"/>
            <w:rFonts w:eastAsia="Georgia" w:cs="Georgia"/>
            <w:sz w:val="22"/>
            <w:szCs w:val="22"/>
          </w:rPr>
          <w:t>www.pwc.com/structure</w:t>
        </w:r>
      </w:hyperlink>
      <w:r w:rsidRPr="00813605">
        <w:rPr>
          <w:rFonts w:ascii="Georgia" w:eastAsia="Georgia" w:hAnsi="Georgia" w:cs="Georgia"/>
          <w:color w:val="000000"/>
          <w:sz w:val="22"/>
          <w:szCs w:val="22"/>
        </w:rPr>
        <w:t>.</w:t>
      </w:r>
    </w:p>
    <w:p w14:paraId="283A915A" w14:textId="77777777" w:rsidR="00B403BB" w:rsidRDefault="00B403BB" w:rsidP="00AA3626">
      <w:pPr>
        <w:pBdr>
          <w:top w:val="nil"/>
          <w:left w:val="nil"/>
          <w:bottom w:val="nil"/>
          <w:right w:val="nil"/>
          <w:between w:val="nil"/>
        </w:pBdr>
        <w:shd w:val="clear" w:color="auto" w:fill="FFFFFF"/>
        <w:ind w:left="720"/>
        <w:rPr>
          <w:color w:val="000000"/>
        </w:rPr>
      </w:pPr>
    </w:p>
    <w:sectPr w:rsidR="00B403BB">
      <w:headerReference w:type="default" r:id="rId15"/>
      <w:footerReference w:type="even" r:id="rId16"/>
      <w:footerReference w:type="default" r:id="rId17"/>
      <w:pgSz w:w="11906" w:h="16838"/>
      <w:pgMar w:top="2268" w:right="1418" w:bottom="425"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3AD0" w14:textId="77777777" w:rsidR="00931965" w:rsidRPr="00813605" w:rsidRDefault="00931965">
      <w:r w:rsidRPr="00813605">
        <w:separator/>
      </w:r>
    </w:p>
  </w:endnote>
  <w:endnote w:type="continuationSeparator" w:id="0">
    <w:p w14:paraId="539C7EF3" w14:textId="77777777" w:rsidR="00931965" w:rsidRPr="00813605" w:rsidRDefault="00931965">
      <w:r w:rsidRPr="00813605">
        <w:continuationSeparator/>
      </w:r>
    </w:p>
  </w:endnote>
  <w:endnote w:type="continuationNotice" w:id="1">
    <w:p w14:paraId="7FF92FC7" w14:textId="77777777" w:rsidR="00931965" w:rsidRPr="00813605" w:rsidRDefault="0093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2AD0" w14:textId="77777777" w:rsidR="009A4F1D" w:rsidRPr="00813605" w:rsidRDefault="00285CEF">
    <w:pPr>
      <w:pBdr>
        <w:top w:val="nil"/>
        <w:left w:val="nil"/>
        <w:bottom w:val="nil"/>
        <w:right w:val="nil"/>
        <w:between w:val="nil"/>
      </w:pBdr>
      <w:tabs>
        <w:tab w:val="center" w:pos="4703"/>
        <w:tab w:val="right" w:pos="9406"/>
      </w:tabs>
      <w:jc w:val="right"/>
      <w:rPr>
        <w:color w:val="000000"/>
      </w:rPr>
    </w:pPr>
    <w:r w:rsidRPr="00813605">
      <w:rPr>
        <w:rFonts w:ascii="Arial" w:eastAsia="Arial" w:hAnsi="Arial" w:cs="Arial"/>
        <w:color w:val="000000"/>
        <w:sz w:val="22"/>
        <w:szCs w:val="22"/>
      </w:rPr>
      <w:fldChar w:fldCharType="begin"/>
    </w:r>
    <w:r w:rsidRPr="00813605">
      <w:rPr>
        <w:rFonts w:ascii="Arial" w:eastAsia="Arial" w:hAnsi="Arial" w:cs="Arial"/>
        <w:color w:val="000000"/>
        <w:sz w:val="22"/>
        <w:szCs w:val="22"/>
      </w:rPr>
      <w:instrText>PAGE</w:instrText>
    </w:r>
    <w:r w:rsidRPr="00813605">
      <w:rPr>
        <w:rFonts w:ascii="Arial" w:eastAsia="Arial" w:hAnsi="Arial" w:cs="Arial"/>
        <w:color w:val="000000"/>
        <w:sz w:val="22"/>
        <w:szCs w:val="22"/>
      </w:rPr>
      <w:fldChar w:fldCharType="separate"/>
    </w:r>
    <w:r w:rsidRPr="00813605">
      <w:rPr>
        <w:rFonts w:ascii="Arial" w:eastAsia="Arial" w:hAnsi="Arial" w:cs="Arial"/>
        <w:color w:val="000000"/>
        <w:sz w:val="22"/>
        <w:szCs w:val="22"/>
      </w:rPr>
      <w:fldChar w:fldCharType="end"/>
    </w:r>
  </w:p>
  <w:p w14:paraId="6D612AD1" w14:textId="77777777" w:rsidR="009A4F1D" w:rsidRPr="00813605" w:rsidRDefault="009A4F1D">
    <w:pPr>
      <w:pBdr>
        <w:top w:val="nil"/>
        <w:left w:val="nil"/>
        <w:bottom w:val="nil"/>
        <w:right w:val="nil"/>
        <w:between w:val="nil"/>
      </w:pBdr>
      <w:tabs>
        <w:tab w:val="center" w:pos="4703"/>
        <w:tab w:val="right" w:pos="9406"/>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2AD2" w14:textId="7BC3D04B" w:rsidR="009A4F1D" w:rsidRPr="00813605" w:rsidRDefault="00285CEF">
    <w:pPr>
      <w:pBdr>
        <w:top w:val="nil"/>
        <w:left w:val="nil"/>
        <w:bottom w:val="nil"/>
        <w:right w:val="nil"/>
        <w:between w:val="nil"/>
      </w:pBdr>
      <w:tabs>
        <w:tab w:val="center" w:pos="4703"/>
        <w:tab w:val="right" w:pos="9406"/>
      </w:tabs>
      <w:jc w:val="right"/>
      <w:rPr>
        <w:color w:val="000000"/>
      </w:rPr>
    </w:pPr>
    <w:r w:rsidRPr="00813605">
      <w:rPr>
        <w:rFonts w:ascii="Georgia" w:eastAsia="Georgia" w:hAnsi="Georgia" w:cs="Georgia"/>
        <w:color w:val="000000"/>
        <w:sz w:val="22"/>
        <w:szCs w:val="22"/>
      </w:rPr>
      <w:t xml:space="preserve">- </w:t>
    </w:r>
    <w:r w:rsidRPr="00813605">
      <w:rPr>
        <w:rFonts w:ascii="Georgia" w:eastAsia="Georgia" w:hAnsi="Georgia" w:cs="Georgia"/>
        <w:color w:val="000000"/>
        <w:sz w:val="22"/>
        <w:szCs w:val="22"/>
      </w:rPr>
      <w:fldChar w:fldCharType="begin"/>
    </w:r>
    <w:r w:rsidRPr="00813605">
      <w:rPr>
        <w:rFonts w:ascii="Georgia" w:eastAsia="Georgia" w:hAnsi="Georgia" w:cs="Georgia"/>
        <w:color w:val="000000"/>
        <w:sz w:val="22"/>
        <w:szCs w:val="22"/>
      </w:rPr>
      <w:instrText>PAGE</w:instrText>
    </w:r>
    <w:r w:rsidRPr="00813605">
      <w:rPr>
        <w:rFonts w:ascii="Georgia" w:eastAsia="Georgia" w:hAnsi="Georgia" w:cs="Georgia"/>
        <w:color w:val="000000"/>
        <w:sz w:val="22"/>
        <w:szCs w:val="22"/>
      </w:rPr>
      <w:fldChar w:fldCharType="separate"/>
    </w:r>
    <w:r w:rsidR="000A68E6" w:rsidRPr="00813605">
      <w:rPr>
        <w:rFonts w:ascii="Georgia" w:eastAsia="Georgia" w:hAnsi="Georgia" w:cs="Georgia"/>
        <w:color w:val="000000"/>
        <w:sz w:val="22"/>
        <w:szCs w:val="22"/>
      </w:rPr>
      <w:t>1</w:t>
    </w:r>
    <w:r w:rsidRPr="00813605">
      <w:rPr>
        <w:rFonts w:ascii="Georgia" w:eastAsia="Georgia" w:hAnsi="Georgia" w:cs="Georgia"/>
        <w:color w:val="000000"/>
        <w:sz w:val="22"/>
        <w:szCs w:val="22"/>
      </w:rPr>
      <w:fldChar w:fldCharType="end"/>
    </w:r>
    <w:r w:rsidRPr="00813605">
      <w:rPr>
        <w:rFonts w:ascii="Georgia" w:eastAsia="Georgia" w:hAnsi="Georgia" w:cs="Georgia"/>
        <w:color w:val="000000"/>
        <w:sz w:val="22"/>
        <w:szCs w:val="22"/>
      </w:rPr>
      <w:t xml:space="preserve"> -</w:t>
    </w:r>
  </w:p>
  <w:p w14:paraId="6D612AD3" w14:textId="77777777" w:rsidR="009A4F1D" w:rsidRPr="00813605" w:rsidRDefault="009A4F1D">
    <w:pPr>
      <w:pBdr>
        <w:top w:val="nil"/>
        <w:left w:val="nil"/>
        <w:bottom w:val="nil"/>
        <w:right w:val="nil"/>
        <w:between w:val="nil"/>
      </w:pBdr>
      <w:tabs>
        <w:tab w:val="center" w:pos="4702"/>
      </w:tabs>
      <w:ind w:right="360"/>
      <w:rPr>
        <w:rFonts w:ascii="Arial" w:eastAsia="Arial" w:hAnsi="Arial" w:cs="Arial"/>
        <w:color w:val="000000"/>
        <w:sz w:val="22"/>
        <w:szCs w:val="22"/>
      </w:rPr>
    </w:pPr>
  </w:p>
  <w:p w14:paraId="6D612AD4" w14:textId="77777777" w:rsidR="009A4F1D" w:rsidRPr="00813605" w:rsidRDefault="009A4F1D">
    <w:pPr>
      <w:ind w:right="360"/>
      <w:jc w:val="center"/>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CF21" w14:textId="77777777" w:rsidR="00931965" w:rsidRPr="00813605" w:rsidRDefault="00931965">
      <w:r w:rsidRPr="00813605">
        <w:separator/>
      </w:r>
    </w:p>
  </w:footnote>
  <w:footnote w:type="continuationSeparator" w:id="0">
    <w:p w14:paraId="08D737E8" w14:textId="77777777" w:rsidR="00931965" w:rsidRPr="00813605" w:rsidRDefault="00931965">
      <w:r w:rsidRPr="00813605">
        <w:continuationSeparator/>
      </w:r>
    </w:p>
  </w:footnote>
  <w:footnote w:type="continuationNotice" w:id="1">
    <w:p w14:paraId="64BB6D3E" w14:textId="77777777" w:rsidR="00931965" w:rsidRPr="00813605" w:rsidRDefault="00931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2ACF" w14:textId="3D4AE1E1" w:rsidR="009A4F1D" w:rsidRPr="00813605" w:rsidRDefault="226996B8" w:rsidP="226996B8">
    <w:pPr>
      <w:pBdr>
        <w:top w:val="nil"/>
        <w:left w:val="nil"/>
        <w:bottom w:val="nil"/>
        <w:right w:val="nil"/>
        <w:between w:val="nil"/>
      </w:pBdr>
      <w:tabs>
        <w:tab w:val="center" w:pos="4703"/>
        <w:tab w:val="right" w:pos="9406"/>
      </w:tabs>
      <w:ind w:left="680"/>
    </w:pPr>
    <w:r>
      <w:rPr>
        <w:noProof/>
      </w:rPr>
      <w:drawing>
        <wp:anchor distT="0" distB="0" distL="114300" distR="114300" simplePos="0" relativeHeight="251658240" behindDoc="0" locked="0" layoutInCell="1" allowOverlap="1" wp14:anchorId="7550F80E" wp14:editId="6FFA94DA">
          <wp:simplePos x="0" y="0"/>
          <wp:positionH relativeFrom="column">
            <wp:align>left</wp:align>
          </wp:positionH>
          <wp:positionV relativeFrom="paragraph">
            <wp:posOffset>0</wp:posOffset>
          </wp:positionV>
          <wp:extent cx="1495425" cy="962025"/>
          <wp:effectExtent l="0" t="0" r="0" b="0"/>
          <wp:wrapNone/>
          <wp:docPr id="1211837813" name="drawing" descr="Graphic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37813" name=""/>
                  <pic:cNvPicPr/>
                </pic:nvPicPr>
                <pic:blipFill>
                  <a:blip r:embed="rId1">
                    <a:extLst>
                      <a:ext uri="{28A0092B-C50C-407E-A947-70E740481C1C}">
                        <a14:useLocalDpi xmlns:a14="http://schemas.microsoft.com/office/drawing/2010/main" val="0"/>
                      </a:ext>
                    </a:extLst>
                  </a:blip>
                  <a:stretch>
                    <a:fillRect/>
                  </a:stretch>
                </pic:blipFill>
                <pic:spPr>
                  <a:xfrm>
                    <a:off x="0" y="0"/>
                    <a:ext cx="1495425" cy="962025"/>
                  </a:xfrm>
                  <a:prstGeom prst="rect">
                    <a:avLst/>
                  </a:prstGeom>
                </pic:spPr>
              </pic:pic>
            </a:graphicData>
          </a:graphic>
          <wp14:sizeRelH relativeFrom="page">
            <wp14:pctWidth>0</wp14:pctWidth>
          </wp14:sizeRelH>
          <wp14:sizeRelV relativeFrom="page">
            <wp14:pctHeight>0</wp14:pctHeight>
          </wp14:sizeRelV>
        </wp:anchor>
      </w:drawing>
    </w:r>
    <w:r w:rsidR="00285CE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F4FF7"/>
    <w:multiLevelType w:val="multilevel"/>
    <w:tmpl w:val="0EDA0B9E"/>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909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1D"/>
    <w:rsid w:val="00007FD7"/>
    <w:rsid w:val="00010B3B"/>
    <w:rsid w:val="0001180A"/>
    <w:rsid w:val="00015F0E"/>
    <w:rsid w:val="000251EF"/>
    <w:rsid w:val="000330C0"/>
    <w:rsid w:val="0004164E"/>
    <w:rsid w:val="0004545A"/>
    <w:rsid w:val="00057A15"/>
    <w:rsid w:val="00062BF4"/>
    <w:rsid w:val="00065EA5"/>
    <w:rsid w:val="00073130"/>
    <w:rsid w:val="00084A3E"/>
    <w:rsid w:val="00097D42"/>
    <w:rsid w:val="000A3EB7"/>
    <w:rsid w:val="000A68E6"/>
    <w:rsid w:val="000B1317"/>
    <w:rsid w:val="000B2270"/>
    <w:rsid w:val="000D50AD"/>
    <w:rsid w:val="000D71E7"/>
    <w:rsid w:val="000E461E"/>
    <w:rsid w:val="000F1AEC"/>
    <w:rsid w:val="000F4075"/>
    <w:rsid w:val="001143F3"/>
    <w:rsid w:val="00122C5C"/>
    <w:rsid w:val="001264A5"/>
    <w:rsid w:val="0013003E"/>
    <w:rsid w:val="00140B80"/>
    <w:rsid w:val="00156E93"/>
    <w:rsid w:val="001579DD"/>
    <w:rsid w:val="0017048E"/>
    <w:rsid w:val="001726D5"/>
    <w:rsid w:val="001750F5"/>
    <w:rsid w:val="00177790"/>
    <w:rsid w:val="00187ADA"/>
    <w:rsid w:val="00196553"/>
    <w:rsid w:val="001A71B8"/>
    <w:rsid w:val="001B4E33"/>
    <w:rsid w:val="001B7A18"/>
    <w:rsid w:val="001C1F2E"/>
    <w:rsid w:val="001C256A"/>
    <w:rsid w:val="001E3F81"/>
    <w:rsid w:val="001E4C6B"/>
    <w:rsid w:val="002122DF"/>
    <w:rsid w:val="00216DBE"/>
    <w:rsid w:val="002202A7"/>
    <w:rsid w:val="00245BC8"/>
    <w:rsid w:val="00250815"/>
    <w:rsid w:val="00253396"/>
    <w:rsid w:val="00254460"/>
    <w:rsid w:val="00255338"/>
    <w:rsid w:val="0025686A"/>
    <w:rsid w:val="00273A92"/>
    <w:rsid w:val="00276AA6"/>
    <w:rsid w:val="00280F2B"/>
    <w:rsid w:val="00281180"/>
    <w:rsid w:val="00285CEF"/>
    <w:rsid w:val="00294A13"/>
    <w:rsid w:val="002A2ECF"/>
    <w:rsid w:val="002A78DB"/>
    <w:rsid w:val="002B146C"/>
    <w:rsid w:val="002B4E6C"/>
    <w:rsid w:val="002B6AE8"/>
    <w:rsid w:val="002C0C50"/>
    <w:rsid w:val="002D177A"/>
    <w:rsid w:val="002D5C98"/>
    <w:rsid w:val="002E0E26"/>
    <w:rsid w:val="002E358C"/>
    <w:rsid w:val="002E4172"/>
    <w:rsid w:val="002E58E3"/>
    <w:rsid w:val="002F0166"/>
    <w:rsid w:val="002F2B12"/>
    <w:rsid w:val="002F5658"/>
    <w:rsid w:val="00312411"/>
    <w:rsid w:val="003155A5"/>
    <w:rsid w:val="0031716C"/>
    <w:rsid w:val="003238D8"/>
    <w:rsid w:val="00326A61"/>
    <w:rsid w:val="0035415B"/>
    <w:rsid w:val="00357CA5"/>
    <w:rsid w:val="00362AD5"/>
    <w:rsid w:val="00380B67"/>
    <w:rsid w:val="003831AA"/>
    <w:rsid w:val="00390BB5"/>
    <w:rsid w:val="00391A7A"/>
    <w:rsid w:val="003941BF"/>
    <w:rsid w:val="003A3004"/>
    <w:rsid w:val="003B5F0C"/>
    <w:rsid w:val="003C1EEB"/>
    <w:rsid w:val="003C5945"/>
    <w:rsid w:val="003D0902"/>
    <w:rsid w:val="003E53A4"/>
    <w:rsid w:val="003F09DD"/>
    <w:rsid w:val="00411587"/>
    <w:rsid w:val="00412E2B"/>
    <w:rsid w:val="00413A27"/>
    <w:rsid w:val="004210B2"/>
    <w:rsid w:val="004257DB"/>
    <w:rsid w:val="00440BA8"/>
    <w:rsid w:val="00444E9D"/>
    <w:rsid w:val="004554B8"/>
    <w:rsid w:val="00455C18"/>
    <w:rsid w:val="0045660B"/>
    <w:rsid w:val="00457116"/>
    <w:rsid w:val="004676D4"/>
    <w:rsid w:val="00467C49"/>
    <w:rsid w:val="00482E5F"/>
    <w:rsid w:val="00497822"/>
    <w:rsid w:val="004A78A3"/>
    <w:rsid w:val="004C04BA"/>
    <w:rsid w:val="004C3E88"/>
    <w:rsid w:val="004C583A"/>
    <w:rsid w:val="004D1578"/>
    <w:rsid w:val="004D6A84"/>
    <w:rsid w:val="004F0D4F"/>
    <w:rsid w:val="004F2379"/>
    <w:rsid w:val="004F634F"/>
    <w:rsid w:val="004F6A94"/>
    <w:rsid w:val="00513E35"/>
    <w:rsid w:val="0051435A"/>
    <w:rsid w:val="00525BF0"/>
    <w:rsid w:val="00530EC5"/>
    <w:rsid w:val="00542BD1"/>
    <w:rsid w:val="00544F6E"/>
    <w:rsid w:val="00556626"/>
    <w:rsid w:val="00573698"/>
    <w:rsid w:val="005742C8"/>
    <w:rsid w:val="00594125"/>
    <w:rsid w:val="0059E4DA"/>
    <w:rsid w:val="005A17FA"/>
    <w:rsid w:val="005A2BA2"/>
    <w:rsid w:val="005A2C81"/>
    <w:rsid w:val="005B3CA3"/>
    <w:rsid w:val="005B7FBF"/>
    <w:rsid w:val="005C15ED"/>
    <w:rsid w:val="005D4A47"/>
    <w:rsid w:val="005D6DE4"/>
    <w:rsid w:val="005F1156"/>
    <w:rsid w:val="005F1DFC"/>
    <w:rsid w:val="00603484"/>
    <w:rsid w:val="00605BD7"/>
    <w:rsid w:val="006104EE"/>
    <w:rsid w:val="006106BF"/>
    <w:rsid w:val="006228DA"/>
    <w:rsid w:val="006301FF"/>
    <w:rsid w:val="00634DC2"/>
    <w:rsid w:val="00640E29"/>
    <w:rsid w:val="00642892"/>
    <w:rsid w:val="00642D8A"/>
    <w:rsid w:val="006431DB"/>
    <w:rsid w:val="00645450"/>
    <w:rsid w:val="00651EFE"/>
    <w:rsid w:val="006579DE"/>
    <w:rsid w:val="006747F9"/>
    <w:rsid w:val="006948EC"/>
    <w:rsid w:val="006953CC"/>
    <w:rsid w:val="006B204E"/>
    <w:rsid w:val="006C315A"/>
    <w:rsid w:val="006D067C"/>
    <w:rsid w:val="006E3BAB"/>
    <w:rsid w:val="006E3D94"/>
    <w:rsid w:val="006E629C"/>
    <w:rsid w:val="006F34E9"/>
    <w:rsid w:val="006F66BE"/>
    <w:rsid w:val="00703C9E"/>
    <w:rsid w:val="00705E98"/>
    <w:rsid w:val="00720AE5"/>
    <w:rsid w:val="007256E8"/>
    <w:rsid w:val="00727EDA"/>
    <w:rsid w:val="00744B5E"/>
    <w:rsid w:val="00755CE0"/>
    <w:rsid w:val="00761CC7"/>
    <w:rsid w:val="00763791"/>
    <w:rsid w:val="007771D3"/>
    <w:rsid w:val="0078172F"/>
    <w:rsid w:val="00781E05"/>
    <w:rsid w:val="007909A7"/>
    <w:rsid w:val="007931FE"/>
    <w:rsid w:val="00795E13"/>
    <w:rsid w:val="00796503"/>
    <w:rsid w:val="007C6844"/>
    <w:rsid w:val="007C7497"/>
    <w:rsid w:val="007D0BC5"/>
    <w:rsid w:val="007E0E68"/>
    <w:rsid w:val="007E1FAA"/>
    <w:rsid w:val="007E6620"/>
    <w:rsid w:val="007F4FAB"/>
    <w:rsid w:val="00803EB5"/>
    <w:rsid w:val="008047C5"/>
    <w:rsid w:val="00811D9A"/>
    <w:rsid w:val="00813605"/>
    <w:rsid w:val="00814B70"/>
    <w:rsid w:val="00815F21"/>
    <w:rsid w:val="008236A9"/>
    <w:rsid w:val="00825DB5"/>
    <w:rsid w:val="00833817"/>
    <w:rsid w:val="00850CD6"/>
    <w:rsid w:val="00860393"/>
    <w:rsid w:val="0086063A"/>
    <w:rsid w:val="00873B18"/>
    <w:rsid w:val="008747D9"/>
    <w:rsid w:val="008831BD"/>
    <w:rsid w:val="00885F0B"/>
    <w:rsid w:val="00887780"/>
    <w:rsid w:val="00891AB8"/>
    <w:rsid w:val="008B6846"/>
    <w:rsid w:val="008C37BB"/>
    <w:rsid w:val="008D03EA"/>
    <w:rsid w:val="008D74C0"/>
    <w:rsid w:val="008F701D"/>
    <w:rsid w:val="008F701F"/>
    <w:rsid w:val="00905802"/>
    <w:rsid w:val="00907FFA"/>
    <w:rsid w:val="00917B1F"/>
    <w:rsid w:val="00921453"/>
    <w:rsid w:val="0092451A"/>
    <w:rsid w:val="00931965"/>
    <w:rsid w:val="00932905"/>
    <w:rsid w:val="00947114"/>
    <w:rsid w:val="0095596A"/>
    <w:rsid w:val="0096264E"/>
    <w:rsid w:val="00974541"/>
    <w:rsid w:val="009757DD"/>
    <w:rsid w:val="00982FBE"/>
    <w:rsid w:val="009A4F1D"/>
    <w:rsid w:val="009B4FD9"/>
    <w:rsid w:val="009B6E77"/>
    <w:rsid w:val="009C1AB4"/>
    <w:rsid w:val="009C3823"/>
    <w:rsid w:val="009C71D8"/>
    <w:rsid w:val="009F1AF6"/>
    <w:rsid w:val="00A02CDD"/>
    <w:rsid w:val="00A249FF"/>
    <w:rsid w:val="00A577EC"/>
    <w:rsid w:val="00A62691"/>
    <w:rsid w:val="00A62DFE"/>
    <w:rsid w:val="00A70B43"/>
    <w:rsid w:val="00A84803"/>
    <w:rsid w:val="00A8682C"/>
    <w:rsid w:val="00A86EDE"/>
    <w:rsid w:val="00A934BC"/>
    <w:rsid w:val="00A960C9"/>
    <w:rsid w:val="00A96CFC"/>
    <w:rsid w:val="00AA1F44"/>
    <w:rsid w:val="00AA3626"/>
    <w:rsid w:val="00AA5951"/>
    <w:rsid w:val="00AB19C0"/>
    <w:rsid w:val="00AB623B"/>
    <w:rsid w:val="00AB79B5"/>
    <w:rsid w:val="00AC5B85"/>
    <w:rsid w:val="00AC6687"/>
    <w:rsid w:val="00AC73DE"/>
    <w:rsid w:val="00AD0EB4"/>
    <w:rsid w:val="00AD1B2F"/>
    <w:rsid w:val="00AD5F9F"/>
    <w:rsid w:val="00AE28CA"/>
    <w:rsid w:val="00AE45F3"/>
    <w:rsid w:val="00AE63E4"/>
    <w:rsid w:val="00AF4A1F"/>
    <w:rsid w:val="00AF6FB9"/>
    <w:rsid w:val="00B0142D"/>
    <w:rsid w:val="00B12BB9"/>
    <w:rsid w:val="00B23458"/>
    <w:rsid w:val="00B23881"/>
    <w:rsid w:val="00B24755"/>
    <w:rsid w:val="00B27622"/>
    <w:rsid w:val="00B31E3A"/>
    <w:rsid w:val="00B331E7"/>
    <w:rsid w:val="00B403BB"/>
    <w:rsid w:val="00B63FF5"/>
    <w:rsid w:val="00B6742C"/>
    <w:rsid w:val="00B7477D"/>
    <w:rsid w:val="00B8708A"/>
    <w:rsid w:val="00B90980"/>
    <w:rsid w:val="00B92C0A"/>
    <w:rsid w:val="00B94E1F"/>
    <w:rsid w:val="00B971C1"/>
    <w:rsid w:val="00BA5725"/>
    <w:rsid w:val="00BB04A3"/>
    <w:rsid w:val="00BB06EA"/>
    <w:rsid w:val="00BB2F92"/>
    <w:rsid w:val="00BC3F3E"/>
    <w:rsid w:val="00BD8E9D"/>
    <w:rsid w:val="00BE22B1"/>
    <w:rsid w:val="00BE46BD"/>
    <w:rsid w:val="00BE6BB6"/>
    <w:rsid w:val="00BF0F86"/>
    <w:rsid w:val="00BF1D9D"/>
    <w:rsid w:val="00C208D4"/>
    <w:rsid w:val="00C26980"/>
    <w:rsid w:val="00C2725D"/>
    <w:rsid w:val="00C37631"/>
    <w:rsid w:val="00C37879"/>
    <w:rsid w:val="00C37C0F"/>
    <w:rsid w:val="00C37F49"/>
    <w:rsid w:val="00C41901"/>
    <w:rsid w:val="00C42F5F"/>
    <w:rsid w:val="00C47AB2"/>
    <w:rsid w:val="00C5416A"/>
    <w:rsid w:val="00C54E16"/>
    <w:rsid w:val="00C557EA"/>
    <w:rsid w:val="00C5790A"/>
    <w:rsid w:val="00C70264"/>
    <w:rsid w:val="00C70FA5"/>
    <w:rsid w:val="00C877F1"/>
    <w:rsid w:val="00C93D5F"/>
    <w:rsid w:val="00C961F6"/>
    <w:rsid w:val="00CA38FF"/>
    <w:rsid w:val="00CB283F"/>
    <w:rsid w:val="00CB618D"/>
    <w:rsid w:val="00CB705F"/>
    <w:rsid w:val="00CC1231"/>
    <w:rsid w:val="00CD3814"/>
    <w:rsid w:val="00CD3998"/>
    <w:rsid w:val="00CE6130"/>
    <w:rsid w:val="00CF063C"/>
    <w:rsid w:val="00CF0704"/>
    <w:rsid w:val="00CF67E3"/>
    <w:rsid w:val="00CF739D"/>
    <w:rsid w:val="00D0035F"/>
    <w:rsid w:val="00D03D99"/>
    <w:rsid w:val="00D114D6"/>
    <w:rsid w:val="00D1695A"/>
    <w:rsid w:val="00D23A1F"/>
    <w:rsid w:val="00D36B4F"/>
    <w:rsid w:val="00D36FE2"/>
    <w:rsid w:val="00D37A24"/>
    <w:rsid w:val="00D45777"/>
    <w:rsid w:val="00D45F39"/>
    <w:rsid w:val="00D56BFA"/>
    <w:rsid w:val="00D657C6"/>
    <w:rsid w:val="00D72ED3"/>
    <w:rsid w:val="00D83D72"/>
    <w:rsid w:val="00D9010B"/>
    <w:rsid w:val="00D94FF6"/>
    <w:rsid w:val="00DA4227"/>
    <w:rsid w:val="00DB131E"/>
    <w:rsid w:val="00DB6BAA"/>
    <w:rsid w:val="00DC37ED"/>
    <w:rsid w:val="00DD68EE"/>
    <w:rsid w:val="00DF631D"/>
    <w:rsid w:val="00DF7824"/>
    <w:rsid w:val="00E01533"/>
    <w:rsid w:val="00E1148A"/>
    <w:rsid w:val="00E17ED7"/>
    <w:rsid w:val="00E26CA0"/>
    <w:rsid w:val="00E2747F"/>
    <w:rsid w:val="00E33ACA"/>
    <w:rsid w:val="00E430A1"/>
    <w:rsid w:val="00E467FD"/>
    <w:rsid w:val="00E501B1"/>
    <w:rsid w:val="00E63BDC"/>
    <w:rsid w:val="00E6586A"/>
    <w:rsid w:val="00E739BC"/>
    <w:rsid w:val="00E76987"/>
    <w:rsid w:val="00E843CC"/>
    <w:rsid w:val="00E9457D"/>
    <w:rsid w:val="00EA4E81"/>
    <w:rsid w:val="00EB28F5"/>
    <w:rsid w:val="00EB6C44"/>
    <w:rsid w:val="00EB753F"/>
    <w:rsid w:val="00EC233B"/>
    <w:rsid w:val="00EC5913"/>
    <w:rsid w:val="00ED149D"/>
    <w:rsid w:val="00ED3B31"/>
    <w:rsid w:val="00ED550E"/>
    <w:rsid w:val="00EE4215"/>
    <w:rsid w:val="00EE4BFB"/>
    <w:rsid w:val="00EF13B3"/>
    <w:rsid w:val="00F06FCA"/>
    <w:rsid w:val="00F12014"/>
    <w:rsid w:val="00F14167"/>
    <w:rsid w:val="00F245EA"/>
    <w:rsid w:val="00F308F9"/>
    <w:rsid w:val="00F35923"/>
    <w:rsid w:val="00F47CB2"/>
    <w:rsid w:val="00F65BB2"/>
    <w:rsid w:val="00F8125F"/>
    <w:rsid w:val="00F86C6E"/>
    <w:rsid w:val="00F9748A"/>
    <w:rsid w:val="00FA0CC0"/>
    <w:rsid w:val="00FA2E3A"/>
    <w:rsid w:val="00FB0267"/>
    <w:rsid w:val="00FB09B9"/>
    <w:rsid w:val="00FB1D52"/>
    <w:rsid w:val="00FB2173"/>
    <w:rsid w:val="00FB2B21"/>
    <w:rsid w:val="00FB58A7"/>
    <w:rsid w:val="00FD4EC1"/>
    <w:rsid w:val="00FE4E49"/>
    <w:rsid w:val="01A6C454"/>
    <w:rsid w:val="01F45724"/>
    <w:rsid w:val="02E03471"/>
    <w:rsid w:val="02E4D481"/>
    <w:rsid w:val="032ADCF3"/>
    <w:rsid w:val="037745DF"/>
    <w:rsid w:val="04AEDB08"/>
    <w:rsid w:val="04FE263F"/>
    <w:rsid w:val="056823A0"/>
    <w:rsid w:val="0611A821"/>
    <w:rsid w:val="067D6192"/>
    <w:rsid w:val="068EF3DB"/>
    <w:rsid w:val="0A858611"/>
    <w:rsid w:val="0BE6DC9D"/>
    <w:rsid w:val="0C15EC10"/>
    <w:rsid w:val="0DBF201F"/>
    <w:rsid w:val="11355C41"/>
    <w:rsid w:val="12918DE7"/>
    <w:rsid w:val="13306718"/>
    <w:rsid w:val="1415CCCD"/>
    <w:rsid w:val="145E0F9C"/>
    <w:rsid w:val="147D4CE3"/>
    <w:rsid w:val="157EB64D"/>
    <w:rsid w:val="16EEF536"/>
    <w:rsid w:val="17A1DF1C"/>
    <w:rsid w:val="17DCC076"/>
    <w:rsid w:val="197D9F08"/>
    <w:rsid w:val="1A0DA71E"/>
    <w:rsid w:val="1A9D8CDE"/>
    <w:rsid w:val="1ABF0C90"/>
    <w:rsid w:val="1AC96990"/>
    <w:rsid w:val="1B85638E"/>
    <w:rsid w:val="1D46997D"/>
    <w:rsid w:val="1D77B3C8"/>
    <w:rsid w:val="1F53EE5E"/>
    <w:rsid w:val="205DF6A6"/>
    <w:rsid w:val="21C70038"/>
    <w:rsid w:val="226996B8"/>
    <w:rsid w:val="226A140A"/>
    <w:rsid w:val="22B244FB"/>
    <w:rsid w:val="23589679"/>
    <w:rsid w:val="23F923AA"/>
    <w:rsid w:val="24554EF1"/>
    <w:rsid w:val="25DCBB3C"/>
    <w:rsid w:val="27DFCC9F"/>
    <w:rsid w:val="27F4A4FA"/>
    <w:rsid w:val="28BD5C14"/>
    <w:rsid w:val="29D8A0CB"/>
    <w:rsid w:val="2A3BB5F5"/>
    <w:rsid w:val="2C6A8334"/>
    <w:rsid w:val="3004F495"/>
    <w:rsid w:val="3025A468"/>
    <w:rsid w:val="30DD1BE1"/>
    <w:rsid w:val="314468A4"/>
    <w:rsid w:val="324B78A9"/>
    <w:rsid w:val="32C3FFF6"/>
    <w:rsid w:val="33428D2C"/>
    <w:rsid w:val="33997933"/>
    <w:rsid w:val="33BB7EA4"/>
    <w:rsid w:val="34575DE7"/>
    <w:rsid w:val="3472DD0C"/>
    <w:rsid w:val="3826ABE8"/>
    <w:rsid w:val="389E3A54"/>
    <w:rsid w:val="38B97EBF"/>
    <w:rsid w:val="39A2E7E4"/>
    <w:rsid w:val="3A30DA8B"/>
    <w:rsid w:val="3A4052D0"/>
    <w:rsid w:val="3B05B10B"/>
    <w:rsid w:val="3BA0C066"/>
    <w:rsid w:val="3D3DD4F1"/>
    <w:rsid w:val="3F199855"/>
    <w:rsid w:val="3F33FAA2"/>
    <w:rsid w:val="3F47F493"/>
    <w:rsid w:val="408C3077"/>
    <w:rsid w:val="4165F782"/>
    <w:rsid w:val="41868611"/>
    <w:rsid w:val="419BDD24"/>
    <w:rsid w:val="4442202C"/>
    <w:rsid w:val="4455FB6F"/>
    <w:rsid w:val="44FEB9F9"/>
    <w:rsid w:val="455CB8DA"/>
    <w:rsid w:val="4632002C"/>
    <w:rsid w:val="495064FC"/>
    <w:rsid w:val="4C2DE455"/>
    <w:rsid w:val="4CD45259"/>
    <w:rsid w:val="4D0B181F"/>
    <w:rsid w:val="50133604"/>
    <w:rsid w:val="50361D4D"/>
    <w:rsid w:val="507160A8"/>
    <w:rsid w:val="511CC6D3"/>
    <w:rsid w:val="51836DED"/>
    <w:rsid w:val="534887FF"/>
    <w:rsid w:val="542927AC"/>
    <w:rsid w:val="56AE8E0B"/>
    <w:rsid w:val="579A03E1"/>
    <w:rsid w:val="5C3A6AC9"/>
    <w:rsid w:val="5DD8FDF9"/>
    <w:rsid w:val="610EB5C3"/>
    <w:rsid w:val="61431413"/>
    <w:rsid w:val="61D6697A"/>
    <w:rsid w:val="62D9979C"/>
    <w:rsid w:val="63593203"/>
    <w:rsid w:val="6469B504"/>
    <w:rsid w:val="64ADF612"/>
    <w:rsid w:val="65BC58ED"/>
    <w:rsid w:val="66809AFC"/>
    <w:rsid w:val="669A54D7"/>
    <w:rsid w:val="672B077E"/>
    <w:rsid w:val="67ABA13C"/>
    <w:rsid w:val="68D4B54A"/>
    <w:rsid w:val="691A2AF0"/>
    <w:rsid w:val="6944D3B5"/>
    <w:rsid w:val="69CAB86E"/>
    <w:rsid w:val="6C59EA6C"/>
    <w:rsid w:val="6CDFAA03"/>
    <w:rsid w:val="6D694DBE"/>
    <w:rsid w:val="6FCEDEF4"/>
    <w:rsid w:val="7116FEFF"/>
    <w:rsid w:val="7151890E"/>
    <w:rsid w:val="7181776A"/>
    <w:rsid w:val="71C9CC16"/>
    <w:rsid w:val="7325A21F"/>
    <w:rsid w:val="75610413"/>
    <w:rsid w:val="76070E89"/>
    <w:rsid w:val="76AFC898"/>
    <w:rsid w:val="779E0F81"/>
    <w:rsid w:val="784D222B"/>
    <w:rsid w:val="78C45D15"/>
    <w:rsid w:val="78D232C8"/>
    <w:rsid w:val="794F1060"/>
    <w:rsid w:val="796A7F20"/>
    <w:rsid w:val="7985AF8D"/>
    <w:rsid w:val="7AE3E33A"/>
    <w:rsid w:val="7C995B3D"/>
    <w:rsid w:val="7CBAAB8B"/>
    <w:rsid w:val="7DF573BC"/>
    <w:rsid w:val="7DFB0AB8"/>
    <w:rsid w:val="7E9CD1AB"/>
    <w:rsid w:val="7FB25ADE"/>
    <w:rsid w:val="7FB986B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2AB2"/>
  <w15:docId w15:val="{A695B329-A4DF-463E-9B94-40BB5BE3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0172C2"/>
    <w:pPr>
      <w:keepNext/>
      <w:ind w:left="708" w:right="1134"/>
      <w:outlineLvl w:val="4"/>
    </w:pPr>
    <w:rPr>
      <w:rFonts w:ascii="Arial" w:hAnsi="Arial"/>
      <w:b/>
      <w:sz w:val="36"/>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3">
    <w:name w:val="Table Normal3"/>
    <w:rsid w:val="00AC73DE"/>
    <w:tblPr>
      <w:tblCellMar>
        <w:top w:w="0" w:type="dxa"/>
        <w:left w:w="0" w:type="dxa"/>
        <w:bottom w:w="0" w:type="dxa"/>
        <w:right w:w="0" w:type="dxa"/>
      </w:tblCellMar>
    </w:tblPr>
  </w:style>
  <w:style w:type="character" w:customStyle="1" w:styleId="Heading5Char">
    <w:name w:val="Heading 5 Char"/>
    <w:basedOn w:val="DefaultParagraphFont"/>
    <w:link w:val="Heading5"/>
    <w:rsid w:val="000172C2"/>
    <w:rPr>
      <w:rFonts w:ascii="Arial" w:eastAsia="Times New Roman" w:hAnsi="Arial" w:cs="Times New Roman"/>
      <w:b/>
      <w:sz w:val="36"/>
      <w:szCs w:val="24"/>
      <w:lang w:val="en-US" w:eastAsia="de-DE"/>
    </w:rPr>
  </w:style>
  <w:style w:type="paragraph" w:styleId="Header">
    <w:name w:val="header"/>
    <w:basedOn w:val="Normal"/>
    <w:link w:val="HeaderChar"/>
    <w:rsid w:val="000172C2"/>
    <w:pPr>
      <w:tabs>
        <w:tab w:val="center" w:pos="4703"/>
        <w:tab w:val="right" w:pos="9406"/>
      </w:tabs>
    </w:pPr>
    <w:rPr>
      <w:rFonts w:ascii="Arial" w:hAnsi="Arial"/>
      <w:sz w:val="22"/>
      <w:lang w:val="en-US"/>
    </w:rPr>
  </w:style>
  <w:style w:type="character" w:customStyle="1" w:styleId="HeaderChar">
    <w:name w:val="Header Char"/>
    <w:basedOn w:val="DefaultParagraphFont"/>
    <w:link w:val="Header"/>
    <w:rsid w:val="000172C2"/>
    <w:rPr>
      <w:rFonts w:ascii="Arial" w:eastAsia="Times New Roman" w:hAnsi="Arial" w:cs="Times New Roman"/>
      <w:szCs w:val="24"/>
      <w:lang w:val="en-US" w:eastAsia="de-DE"/>
    </w:rPr>
  </w:style>
  <w:style w:type="paragraph" w:styleId="BodyTextIndent2">
    <w:name w:val="Body Text Indent 2"/>
    <w:basedOn w:val="Normal"/>
    <w:link w:val="BodyTextIndent2Char"/>
    <w:rsid w:val="000172C2"/>
    <w:pPr>
      <w:spacing w:line="360" w:lineRule="auto"/>
      <w:ind w:left="708"/>
      <w:jc w:val="both"/>
    </w:pPr>
    <w:rPr>
      <w:rFonts w:ascii="Arial" w:hAnsi="Arial"/>
      <w:color w:val="000000"/>
      <w:sz w:val="22"/>
    </w:rPr>
  </w:style>
  <w:style w:type="character" w:customStyle="1" w:styleId="BodyTextIndent2Char">
    <w:name w:val="Body Text Indent 2 Char"/>
    <w:basedOn w:val="DefaultParagraphFont"/>
    <w:link w:val="BodyTextIndent2"/>
    <w:rsid w:val="000172C2"/>
    <w:rPr>
      <w:rFonts w:ascii="Arial" w:eastAsia="Times New Roman" w:hAnsi="Arial" w:cs="Times New Roman"/>
      <w:color w:val="000000"/>
      <w:szCs w:val="24"/>
      <w:lang w:eastAsia="de-DE"/>
    </w:rPr>
  </w:style>
  <w:style w:type="character" w:styleId="PageNumber">
    <w:name w:val="page number"/>
    <w:basedOn w:val="DefaultParagraphFont"/>
    <w:rsid w:val="000172C2"/>
  </w:style>
  <w:style w:type="paragraph" w:styleId="Footer">
    <w:name w:val="footer"/>
    <w:basedOn w:val="Normal"/>
    <w:link w:val="FooterChar"/>
    <w:rsid w:val="000172C2"/>
    <w:pPr>
      <w:tabs>
        <w:tab w:val="center" w:pos="4703"/>
        <w:tab w:val="right" w:pos="9406"/>
      </w:tabs>
    </w:pPr>
    <w:rPr>
      <w:rFonts w:ascii="Arial" w:hAnsi="Arial"/>
      <w:sz w:val="22"/>
      <w:lang w:val="en-US"/>
    </w:rPr>
  </w:style>
  <w:style w:type="character" w:customStyle="1" w:styleId="FooterChar">
    <w:name w:val="Footer Char"/>
    <w:basedOn w:val="DefaultParagraphFont"/>
    <w:link w:val="Footer"/>
    <w:rsid w:val="000172C2"/>
    <w:rPr>
      <w:rFonts w:ascii="Arial" w:eastAsia="Times New Roman" w:hAnsi="Arial" w:cs="Times New Roman"/>
      <w:szCs w:val="24"/>
      <w:lang w:val="en-US" w:eastAsia="de-DE"/>
    </w:rPr>
  </w:style>
  <w:style w:type="paragraph" w:styleId="NormalWeb">
    <w:name w:val="Normal (Web)"/>
    <w:basedOn w:val="Normal"/>
    <w:uiPriority w:val="99"/>
    <w:rsid w:val="000172C2"/>
  </w:style>
  <w:style w:type="character" w:styleId="Strong">
    <w:name w:val="Strong"/>
    <w:basedOn w:val="DefaultParagraphFont"/>
    <w:uiPriority w:val="22"/>
    <w:qFormat/>
    <w:rsid w:val="00D15475"/>
    <w:rPr>
      <w:b/>
      <w:bCs/>
    </w:rPr>
  </w:style>
  <w:style w:type="character" w:styleId="Emphasis">
    <w:name w:val="Emphasis"/>
    <w:basedOn w:val="DefaultParagraphFont"/>
    <w:uiPriority w:val="20"/>
    <w:qFormat/>
    <w:rsid w:val="00D15475"/>
    <w:rPr>
      <w:i/>
      <w:iCs/>
    </w:rPr>
  </w:style>
  <w:style w:type="character" w:styleId="CommentReference">
    <w:name w:val="annotation reference"/>
    <w:basedOn w:val="DefaultParagraphFont"/>
    <w:uiPriority w:val="99"/>
    <w:semiHidden/>
    <w:unhideWhenUsed/>
    <w:rsid w:val="008F1CD1"/>
    <w:rPr>
      <w:sz w:val="16"/>
      <w:szCs w:val="16"/>
    </w:rPr>
  </w:style>
  <w:style w:type="paragraph" w:styleId="CommentText">
    <w:name w:val="annotation text"/>
    <w:basedOn w:val="Normal"/>
    <w:link w:val="CommentTextChar"/>
    <w:uiPriority w:val="99"/>
    <w:unhideWhenUsed/>
    <w:rsid w:val="008F1CD1"/>
    <w:rPr>
      <w:sz w:val="20"/>
      <w:szCs w:val="20"/>
    </w:rPr>
  </w:style>
  <w:style w:type="character" w:customStyle="1" w:styleId="CommentTextChar">
    <w:name w:val="Comment Text Char"/>
    <w:basedOn w:val="DefaultParagraphFont"/>
    <w:link w:val="CommentText"/>
    <w:uiPriority w:val="99"/>
    <w:rsid w:val="008F1CD1"/>
    <w:rPr>
      <w:rFonts w:ascii="Times New Roman" w:eastAsia="Times New Roman" w:hAnsi="Times New Roman" w:cs="Times New Roman"/>
      <w:sz w:val="20"/>
      <w:szCs w:val="20"/>
      <w:lang w:eastAsia="de-DE"/>
    </w:rPr>
  </w:style>
  <w:style w:type="paragraph" w:styleId="BalloonText">
    <w:name w:val="Balloon Text"/>
    <w:basedOn w:val="Normal"/>
    <w:link w:val="BalloonTextChar"/>
    <w:uiPriority w:val="99"/>
    <w:semiHidden/>
    <w:unhideWhenUsed/>
    <w:rsid w:val="008F1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CD1"/>
    <w:rPr>
      <w:rFonts w:ascii="Segoe UI" w:eastAsia="Times New Roman" w:hAnsi="Segoe UI" w:cs="Segoe UI"/>
      <w:sz w:val="18"/>
      <w:szCs w:val="18"/>
      <w:lang w:eastAsia="de-DE"/>
    </w:rPr>
  </w:style>
  <w:style w:type="paragraph" w:styleId="CommentSubject">
    <w:name w:val="annotation subject"/>
    <w:basedOn w:val="CommentText"/>
    <w:next w:val="CommentText"/>
    <w:link w:val="CommentSubjectChar"/>
    <w:uiPriority w:val="99"/>
    <w:semiHidden/>
    <w:unhideWhenUsed/>
    <w:rsid w:val="00753F5E"/>
    <w:rPr>
      <w:b/>
      <w:bCs/>
    </w:rPr>
  </w:style>
  <w:style w:type="character" w:customStyle="1" w:styleId="CommentSubjectChar">
    <w:name w:val="Comment Subject Char"/>
    <w:basedOn w:val="CommentTextChar"/>
    <w:link w:val="CommentSubject"/>
    <w:uiPriority w:val="99"/>
    <w:semiHidden/>
    <w:rsid w:val="00753F5E"/>
    <w:rPr>
      <w:rFonts w:ascii="Times New Roman" w:eastAsia="Times New Roman" w:hAnsi="Times New Roman" w:cs="Times New Roman"/>
      <w:b/>
      <w:bCs/>
      <w:sz w:val="20"/>
      <w:szCs w:val="20"/>
      <w:lang w:eastAsia="de-DE"/>
    </w:rPr>
  </w:style>
  <w:style w:type="character" w:styleId="Hyperlink">
    <w:name w:val="Hyperlink"/>
    <w:basedOn w:val="DefaultParagraphFont"/>
    <w:uiPriority w:val="99"/>
    <w:unhideWhenUsed/>
    <w:rsid w:val="00EF13B3"/>
    <w:rPr>
      <w:rFonts w:ascii="Georgia" w:hAnsi="Georgia"/>
      <w:color w:val="D04A02"/>
      <w:sz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B45B0"/>
    <w:rPr>
      <w:color w:val="605E5C"/>
      <w:shd w:val="clear" w:color="auto" w:fill="E1DFDD"/>
    </w:rPr>
  </w:style>
  <w:style w:type="character" w:customStyle="1" w:styleId="Formatvorlage1">
    <w:name w:val="Formatvorlage1"/>
    <w:basedOn w:val="Hyperlink"/>
    <w:uiPriority w:val="1"/>
    <w:qFormat/>
    <w:rsid w:val="002C0C50"/>
    <w:rPr>
      <w:rFonts w:ascii="Georgia" w:hAnsi="Georgia"/>
      <w:color w:val="D04A02"/>
      <w:sz w:val="24"/>
      <w:u w:val="single"/>
    </w:rPr>
  </w:style>
  <w:style w:type="paragraph" w:styleId="Revision">
    <w:name w:val="Revision"/>
    <w:hidden/>
    <w:uiPriority w:val="99"/>
    <w:semiHidden/>
    <w:rsid w:val="008047C5"/>
  </w:style>
  <w:style w:type="table" w:customStyle="1" w:styleId="TableNormal1">
    <w:name w:val="Table Normal1"/>
    <w:rsid w:val="004F6A94"/>
    <w:tblPr>
      <w:tblCellMar>
        <w:top w:w="0" w:type="dxa"/>
        <w:left w:w="0" w:type="dxa"/>
        <w:bottom w:w="0" w:type="dxa"/>
        <w:right w:w="0" w:type="dxa"/>
      </w:tblCellMar>
    </w:tblPr>
  </w:style>
  <w:style w:type="table" w:customStyle="1" w:styleId="TableNormal2">
    <w:name w:val="Table Normal2"/>
    <w:rsid w:val="004F6A94"/>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96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3813">
      <w:bodyDiv w:val="1"/>
      <w:marLeft w:val="0"/>
      <w:marRight w:val="0"/>
      <w:marTop w:val="0"/>
      <w:marBottom w:val="0"/>
      <w:divBdr>
        <w:top w:val="none" w:sz="0" w:space="0" w:color="auto"/>
        <w:left w:val="none" w:sz="0" w:space="0" w:color="auto"/>
        <w:bottom w:val="none" w:sz="0" w:space="0" w:color="auto"/>
        <w:right w:val="none" w:sz="0" w:space="0" w:color="auto"/>
      </w:divBdr>
    </w:div>
    <w:div w:id="662661805">
      <w:bodyDiv w:val="1"/>
      <w:marLeft w:val="0"/>
      <w:marRight w:val="0"/>
      <w:marTop w:val="0"/>
      <w:marBottom w:val="0"/>
      <w:divBdr>
        <w:top w:val="none" w:sz="0" w:space="0" w:color="auto"/>
        <w:left w:val="none" w:sz="0" w:space="0" w:color="auto"/>
        <w:bottom w:val="none" w:sz="0" w:space="0" w:color="auto"/>
        <w:right w:val="none" w:sz="0" w:space="0" w:color="auto"/>
      </w:divBdr>
    </w:div>
    <w:div w:id="1357660376">
      <w:bodyDiv w:val="1"/>
      <w:marLeft w:val="0"/>
      <w:marRight w:val="0"/>
      <w:marTop w:val="0"/>
      <w:marBottom w:val="0"/>
      <w:divBdr>
        <w:top w:val="none" w:sz="0" w:space="0" w:color="auto"/>
        <w:left w:val="none" w:sz="0" w:space="0" w:color="auto"/>
        <w:bottom w:val="none" w:sz="0" w:space="0" w:color="auto"/>
        <w:right w:val="none" w:sz="0" w:space="0" w:color="auto"/>
      </w:divBdr>
      <w:divsChild>
        <w:div w:id="390664162">
          <w:marLeft w:val="0"/>
          <w:marRight w:val="0"/>
          <w:marTop w:val="0"/>
          <w:marBottom w:val="0"/>
          <w:divBdr>
            <w:top w:val="none" w:sz="0" w:space="0" w:color="auto"/>
            <w:left w:val="none" w:sz="0" w:space="0" w:color="auto"/>
            <w:bottom w:val="none" w:sz="0" w:space="0" w:color="auto"/>
            <w:right w:val="none" w:sz="0" w:space="0" w:color="auto"/>
          </w:divBdr>
          <w:divsChild>
            <w:div w:id="724914874">
              <w:marLeft w:val="0"/>
              <w:marRight w:val="0"/>
              <w:marTop w:val="0"/>
              <w:marBottom w:val="0"/>
              <w:divBdr>
                <w:top w:val="none" w:sz="0" w:space="0" w:color="auto"/>
                <w:left w:val="none" w:sz="0" w:space="0" w:color="auto"/>
                <w:bottom w:val="none" w:sz="0" w:space="0" w:color="auto"/>
                <w:right w:val="none" w:sz="0" w:space="0" w:color="auto"/>
              </w:divBdr>
            </w:div>
            <w:div w:id="948510157">
              <w:marLeft w:val="0"/>
              <w:marRight w:val="0"/>
              <w:marTop w:val="0"/>
              <w:marBottom w:val="0"/>
              <w:divBdr>
                <w:top w:val="none" w:sz="0" w:space="0" w:color="auto"/>
                <w:left w:val="none" w:sz="0" w:space="0" w:color="auto"/>
                <w:bottom w:val="none" w:sz="0" w:space="0" w:color="auto"/>
                <w:right w:val="none" w:sz="0" w:space="0" w:color="auto"/>
              </w:divBdr>
            </w:div>
            <w:div w:id="11620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979">
      <w:bodyDiv w:val="1"/>
      <w:marLeft w:val="0"/>
      <w:marRight w:val="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sChild>
            <w:div w:id="863031">
              <w:marLeft w:val="0"/>
              <w:marRight w:val="0"/>
              <w:marTop w:val="0"/>
              <w:marBottom w:val="0"/>
              <w:divBdr>
                <w:top w:val="none" w:sz="0" w:space="0" w:color="auto"/>
                <w:left w:val="none" w:sz="0" w:space="0" w:color="auto"/>
                <w:bottom w:val="none" w:sz="0" w:space="0" w:color="auto"/>
                <w:right w:val="none" w:sz="0" w:space="0" w:color="auto"/>
              </w:divBdr>
            </w:div>
            <w:div w:id="36903262">
              <w:marLeft w:val="0"/>
              <w:marRight w:val="0"/>
              <w:marTop w:val="0"/>
              <w:marBottom w:val="0"/>
              <w:divBdr>
                <w:top w:val="none" w:sz="0" w:space="0" w:color="auto"/>
                <w:left w:val="none" w:sz="0" w:space="0" w:color="auto"/>
                <w:bottom w:val="none" w:sz="0" w:space="0" w:color="auto"/>
                <w:right w:val="none" w:sz="0" w:space="0" w:color="auto"/>
              </w:divBdr>
            </w:div>
            <w:div w:id="357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krause@pw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wc.de/IA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wc.com/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WDCM9hqEGTEks7wtwdQ39NqoA==">AMUW2mV5daDDPPJOg6OqVvfAiQDT9+G2Dk2UZjSHhDfTlbefxkvnzqaYhUKJxUUtUUWUl9Bcox0T64W3D8Fpia2EQI3iOAO5WlKV+BMIH54I1VvOiNar2fjONF+8WBei78dRsypLHHG+AtFKH/mxXtdXcCLp2TumfjSk1T/z5cgdO5fDa5Zz/2Zj0uxOR3UDV80/4RCfgVg3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94D83D5A7A2F45AEB6E476D71ACC56" ma:contentTypeVersion="12" ma:contentTypeDescription="Create a new document." ma:contentTypeScope="" ma:versionID="ad3ae01fa91759ef04433f2c3520637a">
  <xsd:schema xmlns:xsd="http://www.w3.org/2001/XMLSchema" xmlns:xs="http://www.w3.org/2001/XMLSchema" xmlns:p="http://schemas.microsoft.com/office/2006/metadata/properties" xmlns:ns2="dc33d6c9-f6da-4af0-934e-8d823f89dc3c" xmlns:ns3="120208e1-2e30-4127-bba5-7c87a88c5428" targetNamespace="http://schemas.microsoft.com/office/2006/metadata/properties" ma:root="true" ma:fieldsID="b8965ffc166e8c8f99c6ab095b4ae02e" ns2:_="" ns3:_="">
    <xsd:import namespace="dc33d6c9-f6da-4af0-934e-8d823f89dc3c"/>
    <xsd:import namespace="120208e1-2e30-4127-bba5-7c87a88c54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3d6c9-f6da-4af0-934e-8d823f89d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208e1-2e30-4127-bba5-7c87a88c5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348f1a-522f-4e4c-994c-2334f981d7e4}" ma:internalName="TaxCatchAll" ma:showField="CatchAllData" ma:web="120208e1-2e30-4127-bba5-7c87a88c5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20208e1-2e30-4127-bba5-7c87a88c5428" xsi:nil="true"/>
    <lcf76f155ced4ddcb4097134ff3c332f xmlns="dc33d6c9-f6da-4af0-934e-8d823f89d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E02443-40CE-4D3F-AF35-ABD6133E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3d6c9-f6da-4af0-934e-8d823f89dc3c"/>
    <ds:schemaRef ds:uri="120208e1-2e30-4127-bba5-7c87a88c5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497C6-E969-48D8-A5D6-43E8673D3262}">
  <ds:schemaRefs>
    <ds:schemaRef ds:uri="http://schemas.openxmlformats.org/officeDocument/2006/bibliography"/>
  </ds:schemaRefs>
</ds:datastoreItem>
</file>

<file path=customXml/itemProps4.xml><?xml version="1.0" encoding="utf-8"?>
<ds:datastoreItem xmlns:ds="http://schemas.openxmlformats.org/officeDocument/2006/customXml" ds:itemID="{996A7CE9-7DCE-4838-9CDB-64E4DB3D39C3}">
  <ds:schemaRefs>
    <ds:schemaRef ds:uri="http://schemas.microsoft.com/office/2006/metadata/properties"/>
    <ds:schemaRef ds:uri="http://schemas.microsoft.com/office/infopath/2007/PartnerControls"/>
    <ds:schemaRef ds:uri="120208e1-2e30-4127-bba5-7c87a88c5428"/>
    <ds:schemaRef ds:uri="dc33d6c9-f6da-4af0-934e-8d823f89dc3c"/>
  </ds:schemaRefs>
</ds:datastoreItem>
</file>

<file path=customXml/itemProps5.xml><?xml version="1.0" encoding="utf-8"?>
<ds:datastoreItem xmlns:ds="http://schemas.openxmlformats.org/officeDocument/2006/customXml" ds:itemID="{ABAB27FE-A7E5-4881-8600-6471481D8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3503</Characters>
  <Application>Microsoft Office Word</Application>
  <DocSecurity>4</DocSecurity>
  <Lines>29</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Ostermeyer, Andrea</dc:creator>
  <cp:keywords/>
  <cp:lastModifiedBy>Martin Krause (DE)</cp:lastModifiedBy>
  <cp:revision>18</cp:revision>
  <dcterms:created xsi:type="dcterms:W3CDTF">2025-06-30T13:43:00Z</dcterms:created>
  <dcterms:modified xsi:type="dcterms:W3CDTF">2025-07-09T07:03:00Z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0x0101006F94D83D5A7A2F45AEB6E476D71ACC56</vt:lpwstr>
  </property>
  <property fmtid="{D5CDD505-2E9C-101B-9397-08002B2CF9AE}" pid="3" name="MediaServiceImageTags">
    <vt:lpwstr/>
  </property>
</Properties>
</file>