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E728" w14:textId="52250D2D" w:rsidR="00CA79D7" w:rsidRPr="004C322C" w:rsidRDefault="00161817" w:rsidP="00CA79D7">
      <w:pPr>
        <w:pStyle w:val="EinfAbs"/>
        <w:tabs>
          <w:tab w:val="left" w:pos="200"/>
        </w:tabs>
        <w:rPr>
          <w:rFonts w:ascii="Source Sans Pro" w:hAnsi="Source Sans Pro" w:cs="Source Sans Pro"/>
          <w:caps/>
          <w:color w:val="0086A8"/>
          <w:sz w:val="22"/>
          <w:szCs w:val="22"/>
        </w:rPr>
      </w:pPr>
      <w:r w:rsidRPr="004C322C">
        <w:rPr>
          <w:rFonts w:ascii="Source Sans Pro" w:hAnsi="Source Sans Pro" w:cs="Source Sans Pro"/>
          <w:caps/>
          <w:color w:val="0086A8"/>
          <w:sz w:val="22"/>
          <w:szCs w:val="22"/>
        </w:rPr>
        <w:t>top-7-investment</w:t>
      </w:r>
      <w:r w:rsidR="000021F4" w:rsidRPr="004C322C">
        <w:rPr>
          <w:rFonts w:ascii="Source Sans Pro" w:hAnsi="Source Sans Pro" w:cs="Source Sans Pro"/>
          <w:caps/>
          <w:color w:val="0086A8"/>
          <w:sz w:val="22"/>
          <w:szCs w:val="22"/>
        </w:rPr>
        <w:t>märkte Q</w:t>
      </w:r>
      <w:r w:rsidR="00F40B12" w:rsidRPr="004C322C">
        <w:rPr>
          <w:rFonts w:ascii="Source Sans Pro" w:hAnsi="Source Sans Pro" w:cs="Source Sans Pro"/>
          <w:caps/>
          <w:color w:val="0086A8"/>
          <w:sz w:val="22"/>
          <w:szCs w:val="22"/>
        </w:rPr>
        <w:t>1</w:t>
      </w:r>
      <w:r w:rsidR="00E24CBD">
        <w:rPr>
          <w:rFonts w:ascii="Source Sans Pro" w:hAnsi="Source Sans Pro" w:cs="Source Sans Pro"/>
          <w:caps/>
          <w:color w:val="0086A8"/>
          <w:sz w:val="22"/>
          <w:szCs w:val="22"/>
        </w:rPr>
        <w:t>-2</w:t>
      </w:r>
      <w:r w:rsidR="001550FE" w:rsidRPr="004C322C">
        <w:rPr>
          <w:rFonts w:ascii="Source Sans Pro" w:hAnsi="Source Sans Pro" w:cs="Source Sans Pro"/>
          <w:caps/>
          <w:color w:val="0086A8"/>
          <w:sz w:val="22"/>
          <w:szCs w:val="22"/>
        </w:rPr>
        <w:t>/202</w:t>
      </w:r>
      <w:r w:rsidR="00070ABB">
        <w:rPr>
          <w:rFonts w:ascii="Source Sans Pro" w:hAnsi="Source Sans Pro" w:cs="Source Sans Pro"/>
          <w:caps/>
          <w:color w:val="0086A8"/>
          <w:sz w:val="22"/>
          <w:szCs w:val="22"/>
        </w:rPr>
        <w:t>6</w:t>
      </w:r>
    </w:p>
    <w:p w14:paraId="743073FD" w14:textId="5B278C84" w:rsidR="003152C9" w:rsidRPr="004C322C" w:rsidRDefault="00BF1309" w:rsidP="003152C9">
      <w:pPr>
        <w:pStyle w:val="EinfAbs"/>
        <w:tabs>
          <w:tab w:val="left" w:pos="200"/>
        </w:tabs>
        <w:spacing w:line="440" w:lineRule="exact"/>
        <w:rPr>
          <w:rFonts w:ascii="Source Sans Pro" w:hAnsi="Source Sans Pro" w:cs="Source Sans Pro"/>
          <w:sz w:val="36"/>
          <w:szCs w:val="36"/>
        </w:rPr>
      </w:pPr>
      <w:r w:rsidRPr="00BF1309">
        <w:rPr>
          <w:rFonts w:ascii="Source Sans Pro" w:hAnsi="Source Sans Pro" w:cs="Source Sans Pro"/>
          <w:sz w:val="36"/>
          <w:szCs w:val="36"/>
        </w:rPr>
        <w:t>Transaktionsvolumen legt im ersten Halbjahr um 7 % zu</w:t>
      </w:r>
      <w:r w:rsidR="00E24CBD">
        <w:rPr>
          <w:rFonts w:ascii="Source Sans Pro" w:hAnsi="Source Sans Pro" w:cs="Source Sans Pro"/>
          <w:sz w:val="36"/>
          <w:szCs w:val="36"/>
        </w:rPr>
        <w:br/>
      </w:r>
    </w:p>
    <w:p w14:paraId="14EADD5C" w14:textId="2346B3FA" w:rsidR="004F09D7" w:rsidRPr="00E822DD" w:rsidRDefault="00E77629" w:rsidP="004F09D7">
      <w:pPr>
        <w:pStyle w:val="EinfAbs"/>
        <w:tabs>
          <w:tab w:val="left" w:pos="200"/>
        </w:tabs>
        <w:rPr>
          <w:rFonts w:ascii="Source Sans Pro" w:hAnsi="Source Sans Pro" w:cs="Source Sans Pro"/>
          <w:color w:val="0086A8"/>
          <w:sz w:val="22"/>
          <w:szCs w:val="22"/>
          <w:lang w:val="en-GB"/>
        </w:rPr>
      </w:pPr>
      <w:r>
        <w:rPr>
          <w:noProof/>
        </w:rPr>
        <w:drawing>
          <wp:inline distT="0" distB="0" distL="0" distR="0" wp14:anchorId="54750E64" wp14:editId="432CEB82">
            <wp:extent cx="5230069" cy="2785017"/>
            <wp:effectExtent l="19050" t="19050" r="8890" b="15875"/>
            <wp:docPr id="2477853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8660" cy="2794917"/>
                    </a:xfrm>
                    <a:prstGeom prst="rect">
                      <a:avLst/>
                    </a:prstGeom>
                    <a:noFill/>
                    <a:ln w="3175">
                      <a:solidFill>
                        <a:schemeClr val="tx1"/>
                      </a:solidFill>
                    </a:ln>
                  </pic:spPr>
                </pic:pic>
              </a:graphicData>
            </a:graphic>
          </wp:inline>
        </w:drawing>
      </w:r>
      <w:r w:rsidR="002E5673" w:rsidRPr="00E822DD">
        <w:rPr>
          <w:rFonts w:ascii="Source Sans Pro" w:hAnsi="Source Sans Pro" w:cs="Source Sans Pro"/>
          <w:color w:val="0086A8"/>
          <w:sz w:val="22"/>
          <w:szCs w:val="22"/>
          <w:lang w:val="en-GB"/>
        </w:rPr>
        <w:br w:type="textWrapping" w:clear="all"/>
      </w:r>
    </w:p>
    <w:p w14:paraId="42E21F85" w14:textId="197FF573" w:rsidR="00BF0ACB" w:rsidRDefault="00D92AC2" w:rsidP="00D8027E">
      <w:pPr>
        <w:jc w:val="both"/>
        <w:rPr>
          <w:rFonts w:ascii="Source Sans Pro" w:hAnsi="Source Sans Pro" w:cs="Source Sans Pro"/>
          <w:sz w:val="22"/>
          <w:szCs w:val="22"/>
        </w:rPr>
      </w:pPr>
      <w:r>
        <w:rPr>
          <w:rFonts w:ascii="Source Sans Pro" w:hAnsi="Source Sans Pro" w:cs="Source Sans Pro"/>
          <w:color w:val="0086A8"/>
          <w:sz w:val="22"/>
          <w:szCs w:val="22"/>
        </w:rPr>
        <w:t>2</w:t>
      </w:r>
      <w:r w:rsidR="007D5A52" w:rsidRPr="008B1BA3">
        <w:rPr>
          <w:rFonts w:ascii="Source Sans Pro" w:hAnsi="Source Sans Pro" w:cs="Source Sans Pro"/>
          <w:color w:val="0087A8"/>
          <w:sz w:val="22"/>
          <w:szCs w:val="22"/>
        </w:rPr>
        <w:t>.</w:t>
      </w:r>
      <w:r w:rsidR="00E24CBD">
        <w:rPr>
          <w:rFonts w:ascii="Source Sans Pro" w:hAnsi="Source Sans Pro" w:cs="Source Sans Pro"/>
          <w:color w:val="0087A8"/>
          <w:sz w:val="22"/>
          <w:szCs w:val="22"/>
        </w:rPr>
        <w:t xml:space="preserve"> Juli</w:t>
      </w:r>
      <w:r w:rsidR="000021F4" w:rsidRPr="008B1BA3">
        <w:rPr>
          <w:rFonts w:ascii="Source Sans Pro" w:hAnsi="Source Sans Pro" w:cs="Source Sans Pro"/>
          <w:color w:val="0087A8"/>
          <w:sz w:val="22"/>
          <w:szCs w:val="22"/>
        </w:rPr>
        <w:t xml:space="preserve"> 202</w:t>
      </w:r>
      <w:r w:rsidR="00070ABB">
        <w:rPr>
          <w:rFonts w:ascii="Source Sans Pro" w:hAnsi="Source Sans Pro" w:cs="Source Sans Pro"/>
          <w:color w:val="0087A8"/>
          <w:sz w:val="22"/>
          <w:szCs w:val="22"/>
        </w:rPr>
        <w:t>6</w:t>
      </w:r>
      <w:r w:rsidR="007D5A52" w:rsidRPr="008B1BA3">
        <w:rPr>
          <w:rFonts w:ascii="Source Sans Pro" w:hAnsi="Source Sans Pro" w:cs="Source Sans Pro"/>
          <w:color w:val="0087A8"/>
          <w:sz w:val="22"/>
          <w:szCs w:val="22"/>
        </w:rPr>
        <w:t>, Hamburg.</w:t>
      </w:r>
      <w:r w:rsidR="007D5A52" w:rsidRPr="008B1BA3">
        <w:rPr>
          <w:rFonts w:ascii="Source Sans Pro" w:hAnsi="Source Sans Pro" w:cs="Source Sans Pro"/>
          <w:color w:val="0086A8"/>
          <w:sz w:val="22"/>
          <w:szCs w:val="22"/>
        </w:rPr>
        <w:t xml:space="preserve"> </w:t>
      </w:r>
      <w:r w:rsidR="00A37F85" w:rsidRPr="00A37F85">
        <w:rPr>
          <w:rFonts w:ascii="Source Sans Pro" w:hAnsi="Source Sans Pro" w:cs="Source Sans Pro"/>
          <w:sz w:val="22"/>
          <w:szCs w:val="22"/>
        </w:rPr>
        <w:t xml:space="preserve">Die Top-7-Märkte für gewerbliche Immobilieninvestments erzielten im </w:t>
      </w:r>
      <w:r>
        <w:rPr>
          <w:rFonts w:ascii="Source Sans Pro" w:hAnsi="Source Sans Pro" w:cs="Source Sans Pro"/>
          <w:sz w:val="22"/>
          <w:szCs w:val="22"/>
        </w:rPr>
        <w:t>1. </w:t>
      </w:r>
      <w:r w:rsidR="00A37F85" w:rsidRPr="00A37F85">
        <w:rPr>
          <w:rFonts w:ascii="Source Sans Pro" w:hAnsi="Source Sans Pro" w:cs="Source Sans Pro"/>
          <w:sz w:val="22"/>
          <w:szCs w:val="22"/>
        </w:rPr>
        <w:t>Halbjahr 2026 ein Transaktionsvolumen von rund 4</w:t>
      </w:r>
      <w:r w:rsidR="007A2EB5">
        <w:rPr>
          <w:rFonts w:ascii="Source Sans Pro" w:hAnsi="Source Sans Pro" w:cs="Source Sans Pro"/>
          <w:sz w:val="22"/>
          <w:szCs w:val="22"/>
        </w:rPr>
        <w:t>,1</w:t>
      </w:r>
      <w:r w:rsidR="00D0529C">
        <w:rPr>
          <w:rFonts w:ascii="Source Sans Pro" w:hAnsi="Source Sans Pro" w:cs="Source Sans Pro"/>
          <w:sz w:val="22"/>
          <w:szCs w:val="22"/>
        </w:rPr>
        <w:t xml:space="preserve"> </w:t>
      </w:r>
      <w:r w:rsidR="00A37F85" w:rsidRPr="00A37F85">
        <w:rPr>
          <w:rFonts w:ascii="Source Sans Pro" w:hAnsi="Source Sans Pro" w:cs="Source Sans Pro"/>
          <w:sz w:val="22"/>
          <w:szCs w:val="22"/>
        </w:rPr>
        <w:t>Mrd. € und lagen damit 7 % über dem Vorjahres</w:t>
      </w:r>
      <w:r w:rsidR="00D8027E">
        <w:rPr>
          <w:rFonts w:ascii="Source Sans Pro" w:hAnsi="Source Sans Pro" w:cs="Source Sans Pro"/>
          <w:sz w:val="22"/>
          <w:szCs w:val="22"/>
        </w:rPr>
        <w:t>ergebnis</w:t>
      </w:r>
      <w:r w:rsidR="00A37F85" w:rsidRPr="00A37F85">
        <w:rPr>
          <w:rFonts w:ascii="Source Sans Pro" w:hAnsi="Source Sans Pro" w:cs="Source Sans Pro"/>
          <w:sz w:val="22"/>
          <w:szCs w:val="22"/>
        </w:rPr>
        <w:t xml:space="preserve">. Das Marktgeschehen blieb jedoch insgesamt selektiv: Während einzelne großvolumige Transaktionen das Ergebnis an einigen Standorten maßgeblich prägten, konzentrierte sich die Mehrzahl der Abschlüsse weiterhin auf das kleine </w:t>
      </w:r>
      <w:r w:rsidR="008E6142">
        <w:rPr>
          <w:rFonts w:ascii="Source Sans Pro" w:hAnsi="Source Sans Pro" w:cs="Source Sans Pro"/>
          <w:sz w:val="22"/>
          <w:szCs w:val="22"/>
        </w:rPr>
        <w:t>bis</w:t>
      </w:r>
      <w:r w:rsidR="00A37F85" w:rsidRPr="00A37F85">
        <w:rPr>
          <w:rFonts w:ascii="Source Sans Pro" w:hAnsi="Source Sans Pro" w:cs="Source Sans Pro"/>
          <w:sz w:val="22"/>
          <w:szCs w:val="22"/>
        </w:rPr>
        <w:t xml:space="preserve"> mittlere Preissegment.</w:t>
      </w:r>
    </w:p>
    <w:p w14:paraId="68837C37" w14:textId="77777777" w:rsidR="00A37F85" w:rsidRDefault="00A37F85" w:rsidP="00015236">
      <w:pPr>
        <w:jc w:val="both"/>
      </w:pPr>
    </w:p>
    <w:p w14:paraId="1D0C489B" w14:textId="7D146729" w:rsidR="00A62442" w:rsidRPr="00690558" w:rsidRDefault="00320373" w:rsidP="00D8027E">
      <w:pPr>
        <w:jc w:val="both"/>
        <w:rPr>
          <w:rFonts w:ascii="Source Sans Pro" w:hAnsi="Source Sans Pro" w:cs="Source Sans Pro"/>
          <w:sz w:val="22"/>
          <w:szCs w:val="22"/>
        </w:rPr>
      </w:pPr>
      <w:r w:rsidRPr="00320373">
        <w:rPr>
          <w:rFonts w:ascii="Source Sans Pro" w:hAnsi="Source Sans Pro" w:cs="Source Sans Pro"/>
          <w:i/>
          <w:iCs/>
          <w:sz w:val="22"/>
          <w:szCs w:val="22"/>
        </w:rPr>
        <w:t>„Das Plus beim Transaktionsvolumen ist ein positives Signal. Gleichzeitig zeigt sich, dass Investoren weiterhin sehr selektiv agieren und erfolgreiche Abschlüsse heute deutlich mehr Zeit erfordern. Insbesondere bei großvolumigen Transaktionen bleiben Preisfindung und Finanzierung anspruchsvoll“</w:t>
      </w:r>
      <w:r w:rsidR="00D8027E" w:rsidRPr="00D8027E">
        <w:rPr>
          <w:rFonts w:ascii="Source Sans Pro" w:hAnsi="Source Sans Pro" w:cs="Source Sans Pro"/>
          <w:i/>
          <w:iCs/>
          <w:sz w:val="22"/>
          <w:szCs w:val="22"/>
        </w:rPr>
        <w:t>,</w:t>
      </w:r>
      <w:r w:rsidR="00D8027E">
        <w:rPr>
          <w:rFonts w:ascii="Source Sans Pro" w:hAnsi="Source Sans Pro" w:cs="Source Sans Pro"/>
          <w:i/>
          <w:iCs/>
          <w:sz w:val="22"/>
          <w:szCs w:val="22"/>
        </w:rPr>
        <w:t xml:space="preserve"> </w:t>
      </w:r>
      <w:r w:rsidR="00BF1309" w:rsidRPr="00337AAA">
        <w:rPr>
          <w:rFonts w:ascii="Source Sans Pro" w:hAnsi="Source Sans Pro" w:cs="Source Sans Pro"/>
          <w:sz w:val="22"/>
          <w:szCs w:val="22"/>
        </w:rPr>
        <w:t>so</w:t>
      </w:r>
      <w:r w:rsidR="00D0529C" w:rsidRPr="00337AAA">
        <w:rPr>
          <w:rFonts w:ascii="Source Sans Pro" w:hAnsi="Source Sans Pro" w:cs="Source Sans Pro"/>
          <w:sz w:val="22"/>
          <w:szCs w:val="22"/>
        </w:rPr>
        <w:t xml:space="preserve"> </w:t>
      </w:r>
      <w:r w:rsidR="00D0529C" w:rsidRPr="00337AAA">
        <w:rPr>
          <w:rFonts w:ascii="Source Sans Pro" w:hAnsi="Source Sans Pro" w:cs="Source Sans Pro"/>
          <w:b/>
          <w:bCs/>
          <w:sz w:val="22"/>
          <w:szCs w:val="22"/>
        </w:rPr>
        <w:t>Markus Müller</w:t>
      </w:r>
      <w:r w:rsidR="00A17CEA" w:rsidRPr="00337AAA">
        <w:rPr>
          <w:rFonts w:ascii="Source Sans Pro" w:hAnsi="Source Sans Pro" w:cs="Source Sans Pro"/>
          <w:sz w:val="22"/>
          <w:szCs w:val="22"/>
        </w:rPr>
        <w:t>,</w:t>
      </w:r>
      <w:r w:rsidR="00A17CEA" w:rsidRPr="00A17CEA">
        <w:rPr>
          <w:rFonts w:ascii="Source Sans Pro" w:hAnsi="Source Sans Pro" w:cs="Source Sans Pro"/>
          <w:sz w:val="22"/>
          <w:szCs w:val="22"/>
        </w:rPr>
        <w:t xml:space="preserve"> Sprecher von German Property Partners (GPP).</w:t>
      </w:r>
    </w:p>
    <w:p w14:paraId="1283E95D" w14:textId="77777777" w:rsidR="00A17CEA" w:rsidRDefault="00A17CEA" w:rsidP="00015236">
      <w:pPr>
        <w:jc w:val="both"/>
        <w:rPr>
          <w:rFonts w:ascii="Source Sans Pro" w:hAnsi="Source Sans Pro" w:cs="Source Sans Pro"/>
          <w:sz w:val="22"/>
          <w:szCs w:val="22"/>
        </w:rPr>
      </w:pPr>
    </w:p>
    <w:p w14:paraId="76DC78B1" w14:textId="0587FD57" w:rsidR="009773B5" w:rsidRDefault="009773B5" w:rsidP="00E340D2">
      <w:pPr>
        <w:pStyle w:val="Listenabsatz"/>
        <w:numPr>
          <w:ilvl w:val="0"/>
          <w:numId w:val="15"/>
        </w:numPr>
        <w:jc w:val="both"/>
        <w:rPr>
          <w:rFonts w:ascii="Source Sans Pro" w:hAnsi="Source Sans Pro" w:cs="Source Sans Pro"/>
          <w:sz w:val="22"/>
          <w:szCs w:val="22"/>
        </w:rPr>
      </w:pPr>
      <w:r w:rsidRPr="009773B5">
        <w:rPr>
          <w:rFonts w:ascii="Source Sans Pro" w:hAnsi="Source Sans Pro" w:cs="Source Sans Pro"/>
          <w:sz w:val="22"/>
          <w:szCs w:val="22"/>
        </w:rPr>
        <w:t xml:space="preserve">Die stärkste Dynamik verzeichnete Düsseldorf mit einem Transaktionsvolumen von rund 1 Mrd. € (+308 %), das jedoch maßgeblich von wenigen großvolumigen </w:t>
      </w:r>
      <w:r w:rsidR="008E6142">
        <w:rPr>
          <w:rFonts w:ascii="Source Sans Pro" w:hAnsi="Source Sans Pro" w:cs="Source Sans Pro"/>
          <w:sz w:val="22"/>
          <w:szCs w:val="22"/>
        </w:rPr>
        <w:t>T</w:t>
      </w:r>
      <w:r w:rsidR="00615BD4">
        <w:rPr>
          <w:rFonts w:ascii="Source Sans Pro" w:hAnsi="Source Sans Pro" w:cs="Source Sans Pro"/>
          <w:sz w:val="22"/>
          <w:szCs w:val="22"/>
        </w:rPr>
        <w:t>r</w:t>
      </w:r>
      <w:r w:rsidRPr="009773B5">
        <w:rPr>
          <w:rFonts w:ascii="Source Sans Pro" w:hAnsi="Source Sans Pro" w:cs="Source Sans Pro"/>
          <w:sz w:val="22"/>
          <w:szCs w:val="22"/>
        </w:rPr>
        <w:t xml:space="preserve">ansaktionen geprägt wurde. Ebenfalls auf rund 1 Mrd. € kam Hamburg (+27 %). Berlin erreichte 835 Mio. € (-35 %) und </w:t>
      </w:r>
      <w:r w:rsidR="00595044">
        <w:rPr>
          <w:rFonts w:ascii="Source Sans Pro" w:hAnsi="Source Sans Pro" w:cs="Source Sans Pro"/>
          <w:sz w:val="22"/>
          <w:szCs w:val="22"/>
        </w:rPr>
        <w:t>bleibt</w:t>
      </w:r>
      <w:r w:rsidRPr="009773B5">
        <w:rPr>
          <w:rFonts w:ascii="Source Sans Pro" w:hAnsi="Source Sans Pro" w:cs="Source Sans Pro"/>
          <w:sz w:val="22"/>
          <w:szCs w:val="22"/>
        </w:rPr>
        <w:t xml:space="preserve"> damit trotz einer gestiegenen Zahl an Transaktionen </w:t>
      </w:r>
      <w:r w:rsidR="00595044">
        <w:rPr>
          <w:rFonts w:ascii="Source Sans Pro" w:hAnsi="Source Sans Pro" w:cs="Source Sans Pro"/>
          <w:sz w:val="22"/>
          <w:szCs w:val="22"/>
        </w:rPr>
        <w:t>unter dem Niveau der vergangenen Jahre</w:t>
      </w:r>
      <w:r w:rsidRPr="009773B5">
        <w:rPr>
          <w:rFonts w:ascii="Source Sans Pro" w:hAnsi="Source Sans Pro" w:cs="Source Sans Pro"/>
          <w:sz w:val="22"/>
          <w:szCs w:val="22"/>
        </w:rPr>
        <w:t>. Frankfurt steigerte das Transaktionsvolumen auf 303 Mio. € (+47 %), blieb damit jedoch weiterhin auf einem niedrigen Niveau. Köln (250 Mio. €, -17 %), München (628 Mio. €, -32 %) und Stuttgart (40 Mio. €, -33 %) blieben hinter dem Vorjahresergebnis zurück.</w:t>
      </w:r>
    </w:p>
    <w:p w14:paraId="141D514E" w14:textId="77777777" w:rsidR="00346101" w:rsidRDefault="00346101" w:rsidP="008A5B92">
      <w:pPr>
        <w:pStyle w:val="Listenabsatz"/>
        <w:numPr>
          <w:ilvl w:val="0"/>
          <w:numId w:val="15"/>
        </w:numPr>
        <w:jc w:val="both"/>
        <w:rPr>
          <w:rFonts w:ascii="Source Sans Pro" w:hAnsi="Source Sans Pro" w:cs="Source Sans Pro"/>
          <w:sz w:val="22"/>
          <w:szCs w:val="22"/>
        </w:rPr>
      </w:pPr>
      <w:r w:rsidRPr="00346101">
        <w:rPr>
          <w:rFonts w:ascii="Source Sans Pro" w:hAnsi="Source Sans Pro" w:cs="Source Sans Pro"/>
          <w:sz w:val="22"/>
          <w:szCs w:val="22"/>
        </w:rPr>
        <w:t xml:space="preserve">Mit Blick auf die Assetklassen waren Büroimmobilien erneut die stärkste Assetklasse und bauten ihren Anteil am Transaktionsvolumen auf 42 % aus (Vorjahr: 36 %). Es folgten Logistikimmobilien (14 %) und Einzelhandelsobjekte (12 %). Regional zeigten sich jedoch Unterschiede: Während in Köln Entwicklungsgrundstücke mit 40 % den größten Anteil am Transaktionsvolumen ausmachten – maßgeblich geprägt durch den Verkauf eines Entwicklungsgrundstücks in Köln-Mülheim im 1. Quartal –, entfielen in Düsseldorf jeweils 31 % </w:t>
      </w:r>
      <w:r w:rsidRPr="00346101">
        <w:rPr>
          <w:rFonts w:ascii="Source Sans Pro" w:hAnsi="Source Sans Pro" w:cs="Source Sans Pro"/>
          <w:sz w:val="22"/>
          <w:szCs w:val="22"/>
        </w:rPr>
        <w:lastRenderedPageBreak/>
        <w:t>auf Büro- und Mischnutzungsimmobilien. Letztere erreichten diesen hohen Anteil vor allem durch den Verkauf der „</w:t>
      </w:r>
      <w:proofErr w:type="spellStart"/>
      <w:r w:rsidRPr="00346101">
        <w:rPr>
          <w:rFonts w:ascii="Source Sans Pro" w:hAnsi="Source Sans Pro" w:cs="Source Sans Pro"/>
          <w:sz w:val="22"/>
          <w:szCs w:val="22"/>
        </w:rPr>
        <w:t>Deiker</w:t>
      </w:r>
      <w:proofErr w:type="spellEnd"/>
      <w:r w:rsidRPr="00346101">
        <w:rPr>
          <w:rFonts w:ascii="Source Sans Pro" w:hAnsi="Source Sans Pro" w:cs="Source Sans Pro"/>
          <w:sz w:val="22"/>
          <w:szCs w:val="22"/>
        </w:rPr>
        <w:t xml:space="preserve"> Höfe“.</w:t>
      </w:r>
    </w:p>
    <w:p w14:paraId="6C289B1B" w14:textId="77777777" w:rsidR="00E11A08" w:rsidRDefault="00E11A08" w:rsidP="003E3D87">
      <w:pPr>
        <w:pStyle w:val="Listenabsatz"/>
        <w:numPr>
          <w:ilvl w:val="0"/>
          <w:numId w:val="15"/>
        </w:numPr>
        <w:jc w:val="both"/>
        <w:rPr>
          <w:rFonts w:ascii="Source Sans Pro" w:hAnsi="Source Sans Pro" w:cs="Source Sans Pro"/>
          <w:sz w:val="22"/>
          <w:szCs w:val="22"/>
        </w:rPr>
      </w:pPr>
      <w:r w:rsidRPr="00E11A08">
        <w:rPr>
          <w:rFonts w:ascii="Source Sans Pro" w:hAnsi="Source Sans Pro" w:cs="Source Sans Pro"/>
          <w:sz w:val="22"/>
          <w:szCs w:val="22"/>
        </w:rPr>
        <w:t>Portfolioverkäufe machten im ersten Halbjahr 18 % des Transaktionsvolumens aus (Vorjahr: 22 %). Besonders hoch war ihr Anteil in Köln mit 45 %.</w:t>
      </w:r>
    </w:p>
    <w:p w14:paraId="0528FE15" w14:textId="421889F2" w:rsidR="00D92AC2" w:rsidRDefault="00D92AC2" w:rsidP="003E3D87">
      <w:pPr>
        <w:pStyle w:val="Listenabsatz"/>
        <w:numPr>
          <w:ilvl w:val="0"/>
          <w:numId w:val="15"/>
        </w:numPr>
        <w:jc w:val="both"/>
        <w:rPr>
          <w:rFonts w:ascii="Source Sans Pro" w:hAnsi="Source Sans Pro" w:cs="Source Sans Pro"/>
          <w:sz w:val="22"/>
          <w:szCs w:val="22"/>
        </w:rPr>
      </w:pPr>
      <w:r w:rsidRPr="00D92AC2">
        <w:rPr>
          <w:rFonts w:ascii="Source Sans Pro" w:hAnsi="Source Sans Pro" w:cs="Source Sans Pro"/>
          <w:sz w:val="22"/>
          <w:szCs w:val="22"/>
        </w:rPr>
        <w:t>Der Investmentmarkt wurde weiterhin überwiegend von nationalem Kapital getragen. Auf internationale Investoren entfielen rund 28 % des Transaktionsvolumens (Vorjahr: 27 %). Besonders aktiv zeigten sich vielerorts eigenkapitalstarke Family Offices</w:t>
      </w:r>
      <w:r w:rsidR="00595044">
        <w:rPr>
          <w:rFonts w:ascii="Source Sans Pro" w:hAnsi="Source Sans Pro" w:cs="Source Sans Pro"/>
          <w:sz w:val="22"/>
          <w:szCs w:val="22"/>
        </w:rPr>
        <w:t xml:space="preserve"> und Private Investoren</w:t>
      </w:r>
      <w:r w:rsidRPr="00D92AC2">
        <w:rPr>
          <w:rFonts w:ascii="Source Sans Pro" w:hAnsi="Source Sans Pro" w:cs="Source Sans Pro"/>
          <w:sz w:val="22"/>
          <w:szCs w:val="22"/>
        </w:rPr>
        <w:t>.</w:t>
      </w:r>
    </w:p>
    <w:p w14:paraId="17972C4C" w14:textId="1774B2EE" w:rsidR="009263E6" w:rsidRPr="003E3D87" w:rsidRDefault="003E3D87" w:rsidP="003E3D87">
      <w:pPr>
        <w:pStyle w:val="Listenabsatz"/>
        <w:numPr>
          <w:ilvl w:val="0"/>
          <w:numId w:val="15"/>
        </w:numPr>
        <w:jc w:val="both"/>
        <w:rPr>
          <w:rFonts w:ascii="Source Sans Pro" w:hAnsi="Source Sans Pro" w:cs="Source Sans Pro"/>
          <w:sz w:val="22"/>
          <w:szCs w:val="22"/>
        </w:rPr>
      </w:pPr>
      <w:r w:rsidRPr="003E3D87">
        <w:rPr>
          <w:rFonts w:ascii="Source Sans Pro" w:hAnsi="Source Sans Pro" w:cs="Source Sans Pro"/>
          <w:sz w:val="22"/>
          <w:szCs w:val="22"/>
        </w:rPr>
        <w:t>Die Spitzenrenditen zeigten sich im ersten Halbjahr 2026 weitgehend stabil. Im Top-7-Durchschnitt liegen sie für Büroimmobilien bei 4,50 % (+0,07 %-Punkte gegenüber dem Vorjahr), für Geschäftshäuser bei 4,17 % (±0,00 %-Punkte) und für Logistikimmobilien bei 4,5</w:t>
      </w:r>
      <w:r w:rsidR="0041454E">
        <w:rPr>
          <w:rFonts w:ascii="Source Sans Pro" w:hAnsi="Source Sans Pro" w:cs="Source Sans Pro"/>
          <w:sz w:val="22"/>
          <w:szCs w:val="22"/>
        </w:rPr>
        <w:t>6</w:t>
      </w:r>
      <w:r w:rsidRPr="003E3D87">
        <w:rPr>
          <w:rFonts w:ascii="Source Sans Pro" w:hAnsi="Source Sans Pro" w:cs="Source Sans Pro"/>
          <w:sz w:val="22"/>
          <w:szCs w:val="22"/>
        </w:rPr>
        <w:t xml:space="preserve"> % (+0,0</w:t>
      </w:r>
      <w:r w:rsidR="0041454E">
        <w:rPr>
          <w:rFonts w:ascii="Source Sans Pro" w:hAnsi="Source Sans Pro" w:cs="Source Sans Pro"/>
          <w:sz w:val="22"/>
          <w:szCs w:val="22"/>
        </w:rPr>
        <w:t>7</w:t>
      </w:r>
      <w:r w:rsidRPr="003E3D87">
        <w:rPr>
          <w:rFonts w:ascii="Source Sans Pro" w:hAnsi="Source Sans Pro" w:cs="Source Sans Pro"/>
          <w:sz w:val="22"/>
          <w:szCs w:val="22"/>
        </w:rPr>
        <w:t xml:space="preserve"> %-Punkte).</w:t>
      </w:r>
      <w:r>
        <w:rPr>
          <w:rFonts w:ascii="Source Sans Pro" w:hAnsi="Source Sans Pro" w:cs="Source Sans Pro"/>
          <w:sz w:val="22"/>
          <w:szCs w:val="22"/>
        </w:rPr>
        <w:br/>
      </w:r>
    </w:p>
    <w:p w14:paraId="3E739AC1" w14:textId="00AAA4C8" w:rsidR="00A17CEA" w:rsidRDefault="00320373" w:rsidP="00015236">
      <w:pPr>
        <w:jc w:val="both"/>
        <w:rPr>
          <w:rFonts w:ascii="Source Sans Pro" w:hAnsi="Source Sans Pro" w:cs="Source Sans Pro"/>
          <w:sz w:val="22"/>
          <w:szCs w:val="22"/>
        </w:rPr>
      </w:pPr>
      <w:r w:rsidRPr="00320373">
        <w:rPr>
          <w:rFonts w:ascii="Source Sans Pro" w:hAnsi="Source Sans Pro" w:cs="Source Sans Pro"/>
          <w:i/>
          <w:iCs/>
          <w:sz w:val="22"/>
          <w:szCs w:val="22"/>
        </w:rPr>
        <w:t xml:space="preserve">„Für das zweite Halbjahr sehen wir an vielen Standorten eine gut gefüllte Pipeline. Gelingt es Käufern und Verkäufern, bei den Preisvorstellungen weiter zusammenzufinden, dürfte die Transaktionsdynamik im weiteren Jahresverlauf </w:t>
      </w:r>
      <w:r w:rsidR="00C07793">
        <w:rPr>
          <w:rFonts w:ascii="Source Sans Pro" w:hAnsi="Source Sans Pro" w:cs="Source Sans Pro"/>
          <w:i/>
          <w:iCs/>
          <w:sz w:val="22"/>
          <w:szCs w:val="22"/>
        </w:rPr>
        <w:t xml:space="preserve">deutlich </w:t>
      </w:r>
      <w:r w:rsidRPr="00320373">
        <w:rPr>
          <w:rFonts w:ascii="Source Sans Pro" w:hAnsi="Source Sans Pro" w:cs="Source Sans Pro"/>
          <w:i/>
          <w:iCs/>
          <w:sz w:val="22"/>
          <w:szCs w:val="22"/>
        </w:rPr>
        <w:t>zunehmen. Gleichzeitig bleiben die geopolitischen und konjunkturellen Rahmenbedingungen ein Unsicherheitsfaktor, der die Marktentwicklung beeinfluss</w:t>
      </w:r>
      <w:r w:rsidR="00595044">
        <w:rPr>
          <w:rFonts w:ascii="Source Sans Pro" w:hAnsi="Source Sans Pro" w:cs="Source Sans Pro"/>
          <w:i/>
          <w:iCs/>
          <w:sz w:val="22"/>
          <w:szCs w:val="22"/>
        </w:rPr>
        <w:t>t</w:t>
      </w:r>
      <w:r w:rsidRPr="00320373">
        <w:rPr>
          <w:rFonts w:ascii="Source Sans Pro" w:hAnsi="Source Sans Pro" w:cs="Source Sans Pro"/>
          <w:i/>
          <w:iCs/>
          <w:sz w:val="22"/>
          <w:szCs w:val="22"/>
        </w:rPr>
        <w:t>“,</w:t>
      </w:r>
      <w:r>
        <w:rPr>
          <w:rFonts w:ascii="Source Sans Pro" w:hAnsi="Source Sans Pro" w:cs="Source Sans Pro"/>
          <w:i/>
          <w:iCs/>
          <w:sz w:val="22"/>
          <w:szCs w:val="22"/>
        </w:rPr>
        <w:t xml:space="preserve"> </w:t>
      </w:r>
      <w:r w:rsidR="00D0529C" w:rsidRPr="00D0529C">
        <w:rPr>
          <w:rFonts w:ascii="Source Sans Pro" w:hAnsi="Source Sans Pro" w:cs="Source Sans Pro"/>
          <w:sz w:val="22"/>
          <w:szCs w:val="22"/>
        </w:rPr>
        <w:t xml:space="preserve">sagt </w:t>
      </w:r>
      <w:r w:rsidR="00232200" w:rsidRPr="00232200">
        <w:rPr>
          <w:rFonts w:ascii="Source Sans Pro" w:hAnsi="Source Sans Pro" w:cs="Source Sans Pro"/>
          <w:b/>
          <w:bCs/>
          <w:sz w:val="22"/>
          <w:szCs w:val="22"/>
        </w:rPr>
        <w:t>Müller</w:t>
      </w:r>
      <w:r w:rsidR="00232200" w:rsidRPr="00232200">
        <w:rPr>
          <w:rFonts w:ascii="Source Sans Pro" w:hAnsi="Source Sans Pro" w:cs="Source Sans Pro"/>
          <w:sz w:val="22"/>
          <w:szCs w:val="22"/>
        </w:rPr>
        <w:t>.</w:t>
      </w:r>
    </w:p>
    <w:p w14:paraId="3583B51E" w14:textId="77777777" w:rsidR="00232200" w:rsidRDefault="00232200" w:rsidP="00015236">
      <w:pPr>
        <w:jc w:val="both"/>
        <w:rPr>
          <w:rFonts w:ascii="Source Sans Pro" w:hAnsi="Source Sans Pro" w:cs="Source Sans Pro"/>
          <w:sz w:val="22"/>
          <w:szCs w:val="22"/>
        </w:rPr>
      </w:pPr>
    </w:p>
    <w:p w14:paraId="4F4EA542" w14:textId="4B6E50DB" w:rsidR="00B05185" w:rsidRPr="005B36B5" w:rsidRDefault="00B05185" w:rsidP="00015236">
      <w:pPr>
        <w:jc w:val="both"/>
        <w:rPr>
          <w:rFonts w:ascii="Source Sans Pro" w:hAnsi="Source Sans Pro" w:cs="Source Sans Pro"/>
          <w:sz w:val="22"/>
          <w:szCs w:val="22"/>
        </w:rPr>
      </w:pPr>
      <w:r w:rsidRPr="00F33A67">
        <w:rPr>
          <w:rFonts w:ascii="Source Sans Pro" w:hAnsi="Source Sans Pro" w:cs="Source Sans Pro"/>
          <w:sz w:val="22"/>
          <w:szCs w:val="22"/>
        </w:rPr>
        <w:t xml:space="preserve">Zu German Property Partners (GPP) gehören Grossmann &amp; Berger Immobilien, </w:t>
      </w:r>
      <w:proofErr w:type="spellStart"/>
      <w:r w:rsidRPr="00F33A67">
        <w:rPr>
          <w:rFonts w:ascii="Source Sans Pro" w:hAnsi="Source Sans Pro" w:cs="Source Sans Pro"/>
          <w:sz w:val="22"/>
          <w:szCs w:val="22"/>
        </w:rPr>
        <w:t>Anteon</w:t>
      </w:r>
      <w:proofErr w:type="spellEnd"/>
      <w:r w:rsidRPr="00F33A67">
        <w:rPr>
          <w:rFonts w:ascii="Source Sans Pro" w:hAnsi="Source Sans Pro" w:cs="Source Sans Pro"/>
          <w:sz w:val="22"/>
          <w:szCs w:val="22"/>
        </w:rPr>
        <w:t xml:space="preserve"> Immobilien, GREIF &amp; CONTZEN Immobilien, </w:t>
      </w:r>
      <w:proofErr w:type="spellStart"/>
      <w:r w:rsidRPr="00F33A67">
        <w:rPr>
          <w:rFonts w:ascii="Source Sans Pro" w:hAnsi="Source Sans Pro" w:cs="Source Sans Pro"/>
          <w:sz w:val="22"/>
          <w:szCs w:val="22"/>
        </w:rPr>
        <w:t>blackolive</w:t>
      </w:r>
      <w:proofErr w:type="spellEnd"/>
      <w:r w:rsidRPr="00F33A67">
        <w:rPr>
          <w:rFonts w:ascii="Source Sans Pro" w:hAnsi="Source Sans Pro" w:cs="Source Sans Pro"/>
          <w:sz w:val="22"/>
          <w:szCs w:val="22"/>
        </w:rPr>
        <w:t xml:space="preserve"> und E &amp; G Immobilien.</w:t>
      </w:r>
    </w:p>
    <w:p w14:paraId="1ADAFE53" w14:textId="36F1619B" w:rsidR="00575521" w:rsidRDefault="00575521" w:rsidP="00015236">
      <w:pPr>
        <w:pStyle w:val="EinfAbs"/>
        <w:tabs>
          <w:tab w:val="left" w:pos="200"/>
        </w:tabs>
        <w:snapToGrid w:val="0"/>
        <w:spacing w:line="280" w:lineRule="exact"/>
        <w:jc w:val="both"/>
        <w:rPr>
          <w:rFonts w:ascii="Source Sans Pro" w:hAnsi="Source Sans Pro" w:cs="Arial"/>
          <w:b/>
          <w:sz w:val="20"/>
        </w:rPr>
      </w:pPr>
    </w:p>
    <w:p w14:paraId="1554564B" w14:textId="36062682" w:rsidR="00E822DD" w:rsidRPr="00EF0944" w:rsidRDefault="00E822DD" w:rsidP="00E822DD">
      <w:pPr>
        <w:widowControl w:val="0"/>
        <w:rPr>
          <w:rFonts w:ascii="Source Sans Pro" w:hAnsi="Source Sans Pro" w:cs="Arial"/>
          <w:sz w:val="16"/>
          <w:szCs w:val="16"/>
          <w:lang w:val="en-GB"/>
        </w:rPr>
      </w:pPr>
      <w:r>
        <w:rPr>
          <w:rFonts w:ascii="Source Sans Pro" w:hAnsi="Source Sans Pro" w:cs="Arial"/>
          <w:b/>
          <w:sz w:val="20"/>
          <w:lang w:val="en-GB"/>
        </w:rPr>
        <w:t>Top-7-Standorte | 1.</w:t>
      </w:r>
      <w:r w:rsidR="00E24CBD">
        <w:rPr>
          <w:rFonts w:ascii="Source Sans Pro" w:hAnsi="Source Sans Pro" w:cs="Arial"/>
          <w:b/>
          <w:sz w:val="20"/>
          <w:lang w:val="en-GB"/>
        </w:rPr>
        <w:t>-2.</w:t>
      </w:r>
      <w:r w:rsidRPr="00161817">
        <w:rPr>
          <w:rFonts w:ascii="Source Sans Pro" w:hAnsi="Source Sans Pro" w:cs="Arial"/>
          <w:b/>
          <w:sz w:val="20"/>
          <w:lang w:val="en-GB"/>
        </w:rPr>
        <w:t xml:space="preserve"> </w:t>
      </w:r>
      <w:r w:rsidRPr="00161817">
        <w:rPr>
          <w:rFonts w:ascii="Source Sans Pro" w:hAnsi="Source Sans Pro" w:cs="Arial"/>
          <w:b/>
          <w:sz w:val="20"/>
        </w:rPr>
        <w:t>Quartal 202</w:t>
      </w:r>
      <w:r w:rsidR="00070ABB">
        <w:rPr>
          <w:rFonts w:ascii="Source Sans Pro" w:hAnsi="Source Sans Pro" w:cs="Arial"/>
          <w:b/>
          <w:sz w:val="20"/>
        </w:rPr>
        <w:t>6</w:t>
      </w:r>
    </w:p>
    <w:tbl>
      <w:tblPr>
        <w:tblStyle w:val="TableGrid2"/>
        <w:tblW w:w="0" w:type="auto"/>
        <w:tblLayout w:type="fixed"/>
        <w:tblLook w:val="04A0" w:firstRow="1" w:lastRow="0" w:firstColumn="1" w:lastColumn="0" w:noHBand="0" w:noVBand="1"/>
      </w:tblPr>
      <w:tblGrid>
        <w:gridCol w:w="1555"/>
        <w:gridCol w:w="1275"/>
        <w:gridCol w:w="993"/>
        <w:gridCol w:w="992"/>
        <w:gridCol w:w="992"/>
        <w:gridCol w:w="851"/>
        <w:gridCol w:w="850"/>
        <w:gridCol w:w="712"/>
        <w:gridCol w:w="1062"/>
      </w:tblGrid>
      <w:tr w:rsidR="00910B65" w:rsidRPr="00161817" w14:paraId="2B554485" w14:textId="77777777" w:rsidTr="00935423">
        <w:tc>
          <w:tcPr>
            <w:tcW w:w="1555" w:type="dxa"/>
          </w:tcPr>
          <w:p w14:paraId="5F7F2C19" w14:textId="77777777" w:rsidR="00E822DD" w:rsidRPr="00161817" w:rsidRDefault="00E822DD" w:rsidP="002B1BCA">
            <w:pPr>
              <w:widowControl w:val="0"/>
              <w:jc w:val="both"/>
              <w:rPr>
                <w:rFonts w:ascii="Source Sans Pro" w:hAnsi="Source Sans Pro" w:cs="Arial"/>
                <w:b/>
                <w:sz w:val="16"/>
                <w:szCs w:val="16"/>
              </w:rPr>
            </w:pPr>
          </w:p>
        </w:tc>
        <w:tc>
          <w:tcPr>
            <w:tcW w:w="1275" w:type="dxa"/>
          </w:tcPr>
          <w:p w14:paraId="2CCBA568"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HAM</w:t>
            </w:r>
          </w:p>
        </w:tc>
        <w:tc>
          <w:tcPr>
            <w:tcW w:w="993" w:type="dxa"/>
          </w:tcPr>
          <w:p w14:paraId="1B9556F5"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BER</w:t>
            </w:r>
          </w:p>
        </w:tc>
        <w:tc>
          <w:tcPr>
            <w:tcW w:w="992" w:type="dxa"/>
          </w:tcPr>
          <w:p w14:paraId="4B35B61E"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DUS</w:t>
            </w:r>
          </w:p>
        </w:tc>
        <w:tc>
          <w:tcPr>
            <w:tcW w:w="992" w:type="dxa"/>
          </w:tcPr>
          <w:p w14:paraId="669870D1"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CGN</w:t>
            </w:r>
          </w:p>
        </w:tc>
        <w:tc>
          <w:tcPr>
            <w:tcW w:w="851" w:type="dxa"/>
          </w:tcPr>
          <w:p w14:paraId="012CEC8E"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FFM</w:t>
            </w:r>
          </w:p>
        </w:tc>
        <w:tc>
          <w:tcPr>
            <w:tcW w:w="850" w:type="dxa"/>
          </w:tcPr>
          <w:p w14:paraId="337BA2E8"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STU</w:t>
            </w:r>
          </w:p>
        </w:tc>
        <w:tc>
          <w:tcPr>
            <w:tcW w:w="712" w:type="dxa"/>
          </w:tcPr>
          <w:p w14:paraId="29257547"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MUC</w:t>
            </w:r>
          </w:p>
        </w:tc>
        <w:tc>
          <w:tcPr>
            <w:tcW w:w="1062" w:type="dxa"/>
          </w:tcPr>
          <w:p w14:paraId="1D10DF5A"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TOP-7</w:t>
            </w:r>
          </w:p>
        </w:tc>
      </w:tr>
      <w:tr w:rsidR="00910B65" w:rsidRPr="00161817" w14:paraId="277AF685" w14:textId="77777777" w:rsidTr="00935423">
        <w:tc>
          <w:tcPr>
            <w:tcW w:w="1555" w:type="dxa"/>
          </w:tcPr>
          <w:p w14:paraId="013262B9"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TAV</w:t>
            </w:r>
          </w:p>
          <w:p w14:paraId="0501F81D"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sz w:val="16"/>
                <w:szCs w:val="16"/>
              </w:rPr>
              <w:t>in Mio. €</w:t>
            </w:r>
          </w:p>
        </w:tc>
        <w:tc>
          <w:tcPr>
            <w:tcW w:w="1275" w:type="dxa"/>
            <w:vAlign w:val="center"/>
          </w:tcPr>
          <w:p w14:paraId="37982267" w14:textId="330A5D72" w:rsidR="00E822DD" w:rsidRPr="00D92AC2" w:rsidRDefault="00094C13" w:rsidP="002B1BCA">
            <w:pPr>
              <w:widowControl w:val="0"/>
              <w:jc w:val="center"/>
              <w:rPr>
                <w:rFonts w:ascii="Source Sans Pro" w:hAnsi="Source Sans Pro" w:cs="Arial"/>
                <w:sz w:val="16"/>
                <w:szCs w:val="16"/>
                <w:u w:val="single"/>
              </w:rPr>
            </w:pPr>
            <w:r w:rsidRPr="00D92AC2">
              <w:rPr>
                <w:rFonts w:ascii="Source Sans Pro" w:hAnsi="Source Sans Pro" w:cs="Arial"/>
                <w:sz w:val="16"/>
                <w:szCs w:val="16"/>
                <w:u w:val="single"/>
              </w:rPr>
              <w:t>1.000</w:t>
            </w:r>
          </w:p>
        </w:tc>
        <w:tc>
          <w:tcPr>
            <w:tcW w:w="993" w:type="dxa"/>
            <w:vAlign w:val="center"/>
          </w:tcPr>
          <w:p w14:paraId="626C970A" w14:textId="0D7015D7" w:rsidR="00E822DD" w:rsidRPr="00D92AC2" w:rsidRDefault="00094C13" w:rsidP="002B1BCA">
            <w:pPr>
              <w:widowControl w:val="0"/>
              <w:jc w:val="center"/>
              <w:rPr>
                <w:rFonts w:ascii="Source Sans Pro" w:hAnsi="Source Sans Pro" w:cs="Arial"/>
                <w:sz w:val="16"/>
                <w:szCs w:val="16"/>
              </w:rPr>
            </w:pPr>
            <w:r w:rsidRPr="00D92AC2">
              <w:rPr>
                <w:rFonts w:ascii="Source Sans Pro" w:hAnsi="Source Sans Pro" w:cs="Arial"/>
                <w:sz w:val="16"/>
                <w:szCs w:val="16"/>
              </w:rPr>
              <w:t>835</w:t>
            </w:r>
          </w:p>
        </w:tc>
        <w:tc>
          <w:tcPr>
            <w:tcW w:w="992" w:type="dxa"/>
            <w:vAlign w:val="center"/>
          </w:tcPr>
          <w:p w14:paraId="7AEB33B8" w14:textId="4829BE70" w:rsidR="00E822DD" w:rsidRPr="00D92AC2" w:rsidRDefault="007A2EB5" w:rsidP="002B1BCA">
            <w:pPr>
              <w:widowControl w:val="0"/>
              <w:jc w:val="center"/>
              <w:rPr>
                <w:rFonts w:ascii="Source Sans Pro" w:hAnsi="Source Sans Pro" w:cs="Arial"/>
                <w:sz w:val="16"/>
                <w:szCs w:val="16"/>
                <w:u w:val="single"/>
              </w:rPr>
            </w:pPr>
            <w:r w:rsidRPr="00D92AC2">
              <w:rPr>
                <w:rFonts w:ascii="Source Sans Pro" w:hAnsi="Source Sans Pro" w:cs="Arial"/>
                <w:sz w:val="16"/>
                <w:szCs w:val="16"/>
                <w:u w:val="single"/>
              </w:rPr>
              <w:t>1.000</w:t>
            </w:r>
          </w:p>
        </w:tc>
        <w:tc>
          <w:tcPr>
            <w:tcW w:w="992" w:type="dxa"/>
            <w:vAlign w:val="center"/>
          </w:tcPr>
          <w:p w14:paraId="2C2C18EC" w14:textId="4167DF58" w:rsidR="00E822DD" w:rsidRPr="006061BF" w:rsidRDefault="007A2EB5" w:rsidP="002B1BCA">
            <w:pPr>
              <w:widowControl w:val="0"/>
              <w:jc w:val="center"/>
              <w:rPr>
                <w:rFonts w:ascii="Source Sans Pro" w:hAnsi="Source Sans Pro" w:cs="Arial"/>
                <w:sz w:val="16"/>
                <w:szCs w:val="16"/>
              </w:rPr>
            </w:pPr>
            <w:r>
              <w:rPr>
                <w:rFonts w:ascii="Source Sans Pro" w:hAnsi="Source Sans Pro" w:cs="Arial"/>
                <w:sz w:val="16"/>
                <w:szCs w:val="16"/>
              </w:rPr>
              <w:t>250</w:t>
            </w:r>
          </w:p>
        </w:tc>
        <w:tc>
          <w:tcPr>
            <w:tcW w:w="851" w:type="dxa"/>
            <w:vAlign w:val="center"/>
          </w:tcPr>
          <w:p w14:paraId="32C4F1F9" w14:textId="51DD8C6D" w:rsidR="00E822DD" w:rsidRPr="006061BF" w:rsidRDefault="007A2EB5" w:rsidP="002B1BCA">
            <w:pPr>
              <w:widowControl w:val="0"/>
              <w:jc w:val="center"/>
              <w:rPr>
                <w:rFonts w:ascii="Source Sans Pro" w:hAnsi="Source Sans Pro" w:cs="Arial"/>
                <w:sz w:val="16"/>
                <w:szCs w:val="16"/>
              </w:rPr>
            </w:pPr>
            <w:r>
              <w:rPr>
                <w:rFonts w:ascii="Source Sans Pro" w:hAnsi="Source Sans Pro" w:cs="Arial"/>
                <w:sz w:val="16"/>
                <w:szCs w:val="16"/>
              </w:rPr>
              <w:t>303</w:t>
            </w:r>
          </w:p>
        </w:tc>
        <w:tc>
          <w:tcPr>
            <w:tcW w:w="850" w:type="dxa"/>
            <w:vAlign w:val="center"/>
          </w:tcPr>
          <w:p w14:paraId="4883A7F0" w14:textId="1881EBE4" w:rsidR="00E822DD" w:rsidRPr="006061BF" w:rsidRDefault="007A2EB5" w:rsidP="002B1BCA">
            <w:pPr>
              <w:widowControl w:val="0"/>
              <w:jc w:val="center"/>
              <w:rPr>
                <w:rFonts w:ascii="Source Sans Pro" w:hAnsi="Source Sans Pro" w:cs="Arial"/>
                <w:sz w:val="16"/>
                <w:szCs w:val="16"/>
              </w:rPr>
            </w:pPr>
            <w:r>
              <w:rPr>
                <w:rFonts w:ascii="Source Sans Pro" w:hAnsi="Source Sans Pro" w:cs="Arial"/>
                <w:sz w:val="16"/>
                <w:szCs w:val="16"/>
              </w:rPr>
              <w:t>40</w:t>
            </w:r>
          </w:p>
        </w:tc>
        <w:tc>
          <w:tcPr>
            <w:tcW w:w="712" w:type="dxa"/>
            <w:vAlign w:val="center"/>
          </w:tcPr>
          <w:p w14:paraId="7DCE6ACA" w14:textId="5A5E881B" w:rsidR="00E822DD" w:rsidRPr="00B62A24" w:rsidRDefault="007A2EB5" w:rsidP="004751D8">
            <w:pPr>
              <w:widowControl w:val="0"/>
              <w:jc w:val="center"/>
              <w:rPr>
                <w:rFonts w:ascii="Source Sans Pro" w:hAnsi="Source Sans Pro" w:cs="Arial"/>
                <w:sz w:val="16"/>
                <w:szCs w:val="16"/>
              </w:rPr>
            </w:pPr>
            <w:r>
              <w:rPr>
                <w:rFonts w:ascii="Source Sans Pro" w:hAnsi="Source Sans Pro" w:cs="Arial"/>
                <w:sz w:val="16"/>
                <w:szCs w:val="16"/>
              </w:rPr>
              <w:t>628</w:t>
            </w:r>
          </w:p>
        </w:tc>
        <w:tc>
          <w:tcPr>
            <w:tcW w:w="1062" w:type="dxa"/>
            <w:vAlign w:val="center"/>
          </w:tcPr>
          <w:p w14:paraId="72E3C7F5" w14:textId="350EA55E" w:rsidR="00E822DD" w:rsidRPr="006061BF" w:rsidRDefault="007A2EB5" w:rsidP="00D72472">
            <w:pPr>
              <w:widowControl w:val="0"/>
              <w:jc w:val="center"/>
              <w:rPr>
                <w:rFonts w:ascii="Source Sans Pro" w:hAnsi="Source Sans Pro" w:cs="Arial"/>
                <w:b/>
                <w:sz w:val="16"/>
                <w:szCs w:val="16"/>
              </w:rPr>
            </w:pPr>
            <w:r>
              <w:rPr>
                <w:rFonts w:ascii="Source Sans Pro" w:hAnsi="Source Sans Pro" w:cs="Arial"/>
                <w:b/>
                <w:sz w:val="16"/>
                <w:szCs w:val="16"/>
              </w:rPr>
              <w:t>4.057</w:t>
            </w:r>
          </w:p>
        </w:tc>
      </w:tr>
      <w:tr w:rsidR="00910B65" w:rsidRPr="00161817" w14:paraId="5C518F86" w14:textId="77777777" w:rsidTr="00935423">
        <w:tc>
          <w:tcPr>
            <w:tcW w:w="1555" w:type="dxa"/>
          </w:tcPr>
          <w:p w14:paraId="3350112D"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Veränderung</w:t>
            </w:r>
          </w:p>
          <w:p w14:paraId="21AFC26B" w14:textId="77777777" w:rsidR="00E822DD" w:rsidRPr="00161817" w:rsidRDefault="00E822DD" w:rsidP="002B1BCA">
            <w:pPr>
              <w:widowControl w:val="0"/>
              <w:jc w:val="both"/>
              <w:rPr>
                <w:rFonts w:ascii="Source Sans Pro" w:hAnsi="Source Sans Pro" w:cs="Arial"/>
                <w:b/>
                <w:sz w:val="16"/>
                <w:szCs w:val="16"/>
              </w:rPr>
            </w:pPr>
            <w:proofErr w:type="spellStart"/>
            <w:r w:rsidRPr="00161817">
              <w:rPr>
                <w:rFonts w:ascii="Source Sans Pro" w:hAnsi="Source Sans Pro" w:cs="Arial"/>
                <w:sz w:val="16"/>
                <w:szCs w:val="16"/>
              </w:rPr>
              <w:t>ggü</w:t>
            </w:r>
            <w:proofErr w:type="spellEnd"/>
            <w:r w:rsidRPr="00161817">
              <w:rPr>
                <w:rFonts w:ascii="Source Sans Pro" w:hAnsi="Source Sans Pro" w:cs="Arial"/>
                <w:sz w:val="16"/>
                <w:szCs w:val="16"/>
              </w:rPr>
              <w:t>. Vorjahr</w:t>
            </w:r>
            <w:r w:rsidRPr="00161817">
              <w:rPr>
                <w:rFonts w:ascii="Source Sans Pro" w:hAnsi="Source Sans Pro" w:cs="Arial"/>
                <w:b/>
                <w:sz w:val="16"/>
                <w:szCs w:val="16"/>
              </w:rPr>
              <w:t xml:space="preserve"> </w:t>
            </w:r>
            <w:r w:rsidRPr="00161817">
              <w:rPr>
                <w:rFonts w:ascii="Source Sans Pro" w:hAnsi="Source Sans Pro" w:cs="Arial"/>
                <w:sz w:val="16"/>
                <w:szCs w:val="16"/>
              </w:rPr>
              <w:t>in %</w:t>
            </w:r>
          </w:p>
        </w:tc>
        <w:tc>
          <w:tcPr>
            <w:tcW w:w="1275" w:type="dxa"/>
            <w:vAlign w:val="center"/>
          </w:tcPr>
          <w:p w14:paraId="6EC238E4" w14:textId="00E9620F" w:rsidR="00E822DD" w:rsidRPr="006061BF" w:rsidRDefault="00094C13" w:rsidP="002B1BCA">
            <w:pPr>
              <w:widowControl w:val="0"/>
              <w:jc w:val="center"/>
              <w:rPr>
                <w:rFonts w:ascii="Source Sans Pro" w:hAnsi="Source Sans Pro" w:cs="Arial"/>
                <w:sz w:val="16"/>
                <w:szCs w:val="16"/>
              </w:rPr>
            </w:pPr>
            <w:r>
              <w:rPr>
                <w:rFonts w:ascii="Source Sans Pro" w:hAnsi="Source Sans Pro" w:cs="Arial"/>
                <w:sz w:val="16"/>
                <w:szCs w:val="16"/>
              </w:rPr>
              <w:t>27</w:t>
            </w:r>
          </w:p>
        </w:tc>
        <w:tc>
          <w:tcPr>
            <w:tcW w:w="993" w:type="dxa"/>
            <w:vAlign w:val="center"/>
          </w:tcPr>
          <w:p w14:paraId="2C0D819C" w14:textId="767DE1F3" w:rsidR="00E822DD" w:rsidRPr="006061BF" w:rsidRDefault="007A2EB5" w:rsidP="002B1BCA">
            <w:pPr>
              <w:widowControl w:val="0"/>
              <w:jc w:val="center"/>
              <w:rPr>
                <w:rFonts w:ascii="Source Sans Pro" w:hAnsi="Source Sans Pro" w:cs="Arial"/>
                <w:sz w:val="16"/>
                <w:szCs w:val="16"/>
              </w:rPr>
            </w:pPr>
            <w:r>
              <w:rPr>
                <w:rFonts w:ascii="Source Sans Pro" w:hAnsi="Source Sans Pro" w:cs="Arial"/>
                <w:sz w:val="16"/>
                <w:szCs w:val="16"/>
              </w:rPr>
              <w:t>-35</w:t>
            </w:r>
          </w:p>
        </w:tc>
        <w:tc>
          <w:tcPr>
            <w:tcW w:w="992" w:type="dxa"/>
            <w:vAlign w:val="center"/>
          </w:tcPr>
          <w:p w14:paraId="1D31FE0A" w14:textId="6832ECBC" w:rsidR="00E822DD" w:rsidRPr="00887BD0" w:rsidRDefault="007A2EB5" w:rsidP="002B1BCA">
            <w:pPr>
              <w:widowControl w:val="0"/>
              <w:jc w:val="center"/>
              <w:rPr>
                <w:rFonts w:ascii="Source Sans Pro" w:hAnsi="Source Sans Pro" w:cs="Arial"/>
                <w:sz w:val="16"/>
                <w:szCs w:val="16"/>
                <w:u w:val="single"/>
              </w:rPr>
            </w:pPr>
            <w:r>
              <w:rPr>
                <w:rFonts w:ascii="Source Sans Pro" w:hAnsi="Source Sans Pro" w:cs="Arial"/>
                <w:sz w:val="16"/>
                <w:szCs w:val="16"/>
                <w:u w:val="single"/>
              </w:rPr>
              <w:t>308</w:t>
            </w:r>
          </w:p>
        </w:tc>
        <w:tc>
          <w:tcPr>
            <w:tcW w:w="992" w:type="dxa"/>
            <w:vAlign w:val="center"/>
          </w:tcPr>
          <w:p w14:paraId="21EB7A3C" w14:textId="00F405AF" w:rsidR="00E822DD" w:rsidRPr="00887BD0" w:rsidRDefault="007A2EB5" w:rsidP="002B1BCA">
            <w:pPr>
              <w:widowControl w:val="0"/>
              <w:jc w:val="center"/>
              <w:rPr>
                <w:rFonts w:ascii="Source Sans Pro" w:hAnsi="Source Sans Pro" w:cs="Arial"/>
                <w:sz w:val="16"/>
                <w:szCs w:val="16"/>
              </w:rPr>
            </w:pPr>
            <w:r>
              <w:rPr>
                <w:rFonts w:ascii="Source Sans Pro" w:hAnsi="Source Sans Pro" w:cs="Arial"/>
                <w:sz w:val="16"/>
                <w:szCs w:val="16"/>
              </w:rPr>
              <w:t>-17</w:t>
            </w:r>
          </w:p>
        </w:tc>
        <w:tc>
          <w:tcPr>
            <w:tcW w:w="851" w:type="dxa"/>
            <w:vAlign w:val="center"/>
          </w:tcPr>
          <w:p w14:paraId="61BD16E7" w14:textId="14821F0D" w:rsidR="00E822DD" w:rsidRPr="006061BF" w:rsidRDefault="007A2EB5" w:rsidP="002B1BCA">
            <w:pPr>
              <w:widowControl w:val="0"/>
              <w:jc w:val="center"/>
              <w:rPr>
                <w:rFonts w:ascii="Source Sans Pro" w:hAnsi="Source Sans Pro" w:cs="Arial"/>
                <w:sz w:val="16"/>
                <w:szCs w:val="16"/>
              </w:rPr>
            </w:pPr>
            <w:r>
              <w:rPr>
                <w:rFonts w:ascii="Source Sans Pro" w:hAnsi="Source Sans Pro" w:cs="Arial"/>
                <w:sz w:val="16"/>
                <w:szCs w:val="16"/>
              </w:rPr>
              <w:t>47</w:t>
            </w:r>
          </w:p>
        </w:tc>
        <w:tc>
          <w:tcPr>
            <w:tcW w:w="850" w:type="dxa"/>
            <w:vAlign w:val="center"/>
          </w:tcPr>
          <w:p w14:paraId="2E248438" w14:textId="530E43F2" w:rsidR="00E822DD" w:rsidRPr="006061BF" w:rsidRDefault="007A2EB5" w:rsidP="002B1BCA">
            <w:pPr>
              <w:widowControl w:val="0"/>
              <w:jc w:val="center"/>
              <w:rPr>
                <w:rFonts w:ascii="Source Sans Pro" w:hAnsi="Source Sans Pro" w:cs="Arial"/>
                <w:sz w:val="16"/>
                <w:szCs w:val="16"/>
              </w:rPr>
            </w:pPr>
            <w:r>
              <w:rPr>
                <w:rFonts w:ascii="Source Sans Pro" w:hAnsi="Source Sans Pro" w:cs="Arial"/>
                <w:sz w:val="16"/>
                <w:szCs w:val="16"/>
              </w:rPr>
              <w:t>-33</w:t>
            </w:r>
          </w:p>
        </w:tc>
        <w:tc>
          <w:tcPr>
            <w:tcW w:w="712" w:type="dxa"/>
            <w:vAlign w:val="center"/>
          </w:tcPr>
          <w:p w14:paraId="49F12C30" w14:textId="0809272E" w:rsidR="00E822DD" w:rsidRPr="004E6096" w:rsidRDefault="007A2EB5" w:rsidP="002B1BCA">
            <w:pPr>
              <w:widowControl w:val="0"/>
              <w:jc w:val="center"/>
              <w:rPr>
                <w:rFonts w:ascii="Source Sans Pro" w:hAnsi="Source Sans Pro" w:cs="Arial"/>
                <w:sz w:val="16"/>
                <w:szCs w:val="16"/>
              </w:rPr>
            </w:pPr>
            <w:r>
              <w:rPr>
                <w:rFonts w:ascii="Source Sans Pro" w:hAnsi="Source Sans Pro" w:cs="Arial"/>
                <w:sz w:val="16"/>
                <w:szCs w:val="16"/>
              </w:rPr>
              <w:t>-32</w:t>
            </w:r>
          </w:p>
        </w:tc>
        <w:tc>
          <w:tcPr>
            <w:tcW w:w="1062" w:type="dxa"/>
            <w:vAlign w:val="center"/>
          </w:tcPr>
          <w:p w14:paraId="44391118" w14:textId="0DEAC5DE" w:rsidR="00E822DD" w:rsidRPr="006061BF" w:rsidRDefault="007A2EB5" w:rsidP="00690558">
            <w:pPr>
              <w:widowControl w:val="0"/>
              <w:jc w:val="center"/>
              <w:rPr>
                <w:rFonts w:ascii="Source Sans Pro" w:hAnsi="Source Sans Pro" w:cs="Arial"/>
                <w:b/>
                <w:sz w:val="16"/>
                <w:szCs w:val="16"/>
              </w:rPr>
            </w:pPr>
            <w:r>
              <w:rPr>
                <w:rFonts w:ascii="Source Sans Pro" w:hAnsi="Source Sans Pro" w:cs="Arial"/>
                <w:b/>
                <w:sz w:val="16"/>
                <w:szCs w:val="16"/>
              </w:rPr>
              <w:t>7</w:t>
            </w:r>
          </w:p>
        </w:tc>
      </w:tr>
      <w:tr w:rsidR="00910B65" w:rsidRPr="00161817" w14:paraId="0E2C9494" w14:textId="77777777" w:rsidTr="00935423">
        <w:tc>
          <w:tcPr>
            <w:tcW w:w="1555" w:type="dxa"/>
          </w:tcPr>
          <w:p w14:paraId="3C8BE28D" w14:textId="3F43E0C8" w:rsidR="00E822DD" w:rsidRPr="00161817" w:rsidRDefault="00E822DD" w:rsidP="006061BF">
            <w:pPr>
              <w:widowControl w:val="0"/>
              <w:jc w:val="both"/>
              <w:rPr>
                <w:rFonts w:ascii="Source Sans Pro" w:hAnsi="Source Sans Pro" w:cs="Arial"/>
                <w:b/>
                <w:sz w:val="16"/>
                <w:szCs w:val="16"/>
              </w:rPr>
            </w:pPr>
            <w:r w:rsidRPr="00161817">
              <w:rPr>
                <w:rFonts w:ascii="Source Sans Pro" w:hAnsi="Source Sans Pro" w:cs="Arial"/>
                <w:b/>
                <w:sz w:val="16"/>
                <w:szCs w:val="16"/>
              </w:rPr>
              <w:t>Spitzenrendite* Büro</w:t>
            </w:r>
            <w:r w:rsidR="006061BF">
              <w:rPr>
                <w:rFonts w:ascii="Source Sans Pro" w:hAnsi="Source Sans Pro" w:cs="Arial"/>
                <w:b/>
                <w:sz w:val="16"/>
                <w:szCs w:val="16"/>
              </w:rPr>
              <w:t xml:space="preserve"> </w:t>
            </w:r>
            <w:r w:rsidRPr="00161817">
              <w:rPr>
                <w:rFonts w:ascii="Source Sans Pro" w:hAnsi="Source Sans Pro" w:cs="Arial"/>
                <w:sz w:val="16"/>
                <w:szCs w:val="16"/>
              </w:rPr>
              <w:t>in %</w:t>
            </w:r>
          </w:p>
        </w:tc>
        <w:tc>
          <w:tcPr>
            <w:tcW w:w="1275" w:type="dxa"/>
            <w:vAlign w:val="center"/>
          </w:tcPr>
          <w:p w14:paraId="5D7F0600" w14:textId="429067A9" w:rsidR="00E822DD" w:rsidRPr="006061BF" w:rsidRDefault="00094C13"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993" w:type="dxa"/>
            <w:vAlign w:val="center"/>
          </w:tcPr>
          <w:p w14:paraId="6D16127A" w14:textId="45C2CDA1" w:rsidR="00E822DD" w:rsidRPr="006061BF" w:rsidRDefault="007A2EB5" w:rsidP="002B1BCA">
            <w:pPr>
              <w:widowControl w:val="0"/>
              <w:jc w:val="center"/>
              <w:rPr>
                <w:rFonts w:ascii="Source Sans Pro" w:hAnsi="Source Sans Pro" w:cs="Arial"/>
                <w:sz w:val="16"/>
                <w:szCs w:val="16"/>
              </w:rPr>
            </w:pPr>
            <w:r>
              <w:rPr>
                <w:rFonts w:ascii="Source Sans Pro" w:hAnsi="Source Sans Pro" w:cs="Arial"/>
                <w:sz w:val="16"/>
                <w:szCs w:val="16"/>
              </w:rPr>
              <w:t>4,40</w:t>
            </w:r>
          </w:p>
        </w:tc>
        <w:tc>
          <w:tcPr>
            <w:tcW w:w="992" w:type="dxa"/>
            <w:vAlign w:val="center"/>
          </w:tcPr>
          <w:p w14:paraId="02CFC26B" w14:textId="5A268875" w:rsidR="00E822DD" w:rsidRPr="006061BF" w:rsidRDefault="007A2EB5"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992" w:type="dxa"/>
            <w:vAlign w:val="center"/>
          </w:tcPr>
          <w:p w14:paraId="77622C27" w14:textId="06822FF1" w:rsidR="00E822DD" w:rsidRPr="006061BF" w:rsidRDefault="007A2EB5" w:rsidP="002B1BCA">
            <w:pPr>
              <w:widowControl w:val="0"/>
              <w:jc w:val="center"/>
              <w:rPr>
                <w:rFonts w:ascii="Source Sans Pro" w:hAnsi="Source Sans Pro" w:cs="Arial"/>
                <w:sz w:val="16"/>
                <w:szCs w:val="16"/>
              </w:rPr>
            </w:pPr>
            <w:r>
              <w:rPr>
                <w:rFonts w:ascii="Source Sans Pro" w:hAnsi="Source Sans Pro" w:cs="Arial"/>
                <w:sz w:val="16"/>
                <w:szCs w:val="16"/>
              </w:rPr>
              <w:t>4,40</w:t>
            </w:r>
          </w:p>
        </w:tc>
        <w:tc>
          <w:tcPr>
            <w:tcW w:w="851" w:type="dxa"/>
            <w:vAlign w:val="center"/>
          </w:tcPr>
          <w:p w14:paraId="0C44D799" w14:textId="5F264BE2" w:rsidR="00E822DD" w:rsidRPr="006061BF" w:rsidRDefault="007A2EB5" w:rsidP="002B1BCA">
            <w:pPr>
              <w:widowControl w:val="0"/>
              <w:jc w:val="center"/>
              <w:rPr>
                <w:rFonts w:ascii="Source Sans Pro" w:hAnsi="Source Sans Pro" w:cs="Arial"/>
                <w:sz w:val="16"/>
                <w:szCs w:val="16"/>
                <w:u w:val="single"/>
              </w:rPr>
            </w:pPr>
            <w:r>
              <w:rPr>
                <w:rFonts w:ascii="Source Sans Pro" w:hAnsi="Source Sans Pro" w:cs="Arial"/>
                <w:sz w:val="16"/>
                <w:szCs w:val="16"/>
                <w:u w:val="single"/>
              </w:rPr>
              <w:t>4,80</w:t>
            </w:r>
          </w:p>
        </w:tc>
        <w:tc>
          <w:tcPr>
            <w:tcW w:w="850" w:type="dxa"/>
            <w:vAlign w:val="center"/>
          </w:tcPr>
          <w:p w14:paraId="480FC3B3" w14:textId="20ABC9C0" w:rsidR="00E822DD" w:rsidRPr="0043217C" w:rsidRDefault="007A2EB5" w:rsidP="002B1BCA">
            <w:pPr>
              <w:widowControl w:val="0"/>
              <w:jc w:val="center"/>
              <w:rPr>
                <w:rFonts w:ascii="Source Sans Pro" w:hAnsi="Source Sans Pro" w:cs="Arial"/>
                <w:sz w:val="16"/>
                <w:szCs w:val="16"/>
              </w:rPr>
            </w:pPr>
            <w:r>
              <w:rPr>
                <w:rFonts w:ascii="Source Sans Pro" w:hAnsi="Source Sans Pro" w:cs="Arial"/>
                <w:sz w:val="16"/>
                <w:szCs w:val="16"/>
              </w:rPr>
              <w:t>4,60</w:t>
            </w:r>
          </w:p>
        </w:tc>
        <w:tc>
          <w:tcPr>
            <w:tcW w:w="712" w:type="dxa"/>
            <w:vAlign w:val="center"/>
          </w:tcPr>
          <w:p w14:paraId="1FD38FEF" w14:textId="4B61F0CB" w:rsidR="00E822DD" w:rsidRPr="006061BF" w:rsidRDefault="007A2EB5" w:rsidP="002B1BCA">
            <w:pPr>
              <w:widowControl w:val="0"/>
              <w:jc w:val="center"/>
              <w:rPr>
                <w:rFonts w:ascii="Source Sans Pro" w:hAnsi="Source Sans Pro" w:cs="Arial"/>
                <w:sz w:val="16"/>
                <w:szCs w:val="16"/>
              </w:rPr>
            </w:pPr>
            <w:r>
              <w:rPr>
                <w:rFonts w:ascii="Source Sans Pro" w:hAnsi="Source Sans Pro" w:cs="Arial"/>
                <w:sz w:val="16"/>
                <w:szCs w:val="16"/>
              </w:rPr>
              <w:t>4,30</w:t>
            </w:r>
          </w:p>
        </w:tc>
        <w:tc>
          <w:tcPr>
            <w:tcW w:w="1062" w:type="dxa"/>
            <w:vAlign w:val="center"/>
          </w:tcPr>
          <w:p w14:paraId="12457880" w14:textId="744B53AA" w:rsidR="00E822DD" w:rsidRPr="006061BF" w:rsidRDefault="007A2EB5" w:rsidP="002B1BCA">
            <w:pPr>
              <w:widowControl w:val="0"/>
              <w:jc w:val="center"/>
              <w:rPr>
                <w:rFonts w:ascii="Source Sans Pro" w:hAnsi="Source Sans Pro" w:cs="Arial"/>
                <w:b/>
                <w:sz w:val="16"/>
                <w:szCs w:val="16"/>
              </w:rPr>
            </w:pPr>
            <w:r>
              <w:rPr>
                <w:rFonts w:ascii="Source Sans Pro" w:hAnsi="Source Sans Pro" w:cs="Arial"/>
                <w:b/>
                <w:sz w:val="16"/>
                <w:szCs w:val="16"/>
              </w:rPr>
              <w:t>4,50</w:t>
            </w:r>
          </w:p>
        </w:tc>
      </w:tr>
      <w:tr w:rsidR="00F716E6" w:rsidRPr="00161817" w14:paraId="5B819F04" w14:textId="77777777" w:rsidTr="00935423">
        <w:tc>
          <w:tcPr>
            <w:tcW w:w="1555" w:type="dxa"/>
          </w:tcPr>
          <w:p w14:paraId="345B2B43" w14:textId="77777777" w:rsidR="00F716E6" w:rsidRDefault="00F716E6" w:rsidP="00F716E6">
            <w:pPr>
              <w:widowControl w:val="0"/>
              <w:jc w:val="both"/>
              <w:rPr>
                <w:rFonts w:ascii="Source Sans Pro" w:hAnsi="Source Sans Pro" w:cs="Arial"/>
                <w:b/>
                <w:sz w:val="16"/>
                <w:szCs w:val="16"/>
              </w:rPr>
            </w:pPr>
            <w:proofErr w:type="spellStart"/>
            <w:r w:rsidRPr="00161817">
              <w:rPr>
                <w:rFonts w:ascii="Source Sans Pro" w:hAnsi="Source Sans Pro" w:cs="Arial"/>
                <w:b/>
                <w:sz w:val="16"/>
                <w:szCs w:val="16"/>
              </w:rPr>
              <w:t>ggü</w:t>
            </w:r>
            <w:proofErr w:type="spellEnd"/>
            <w:r w:rsidRPr="00161817">
              <w:rPr>
                <w:rFonts w:ascii="Source Sans Pro" w:hAnsi="Source Sans Pro" w:cs="Arial"/>
                <w:b/>
                <w:sz w:val="16"/>
                <w:szCs w:val="16"/>
              </w:rPr>
              <w:t>. Vorjahr</w:t>
            </w:r>
          </w:p>
          <w:p w14:paraId="5F4CAF94" w14:textId="4A9AEBF6" w:rsidR="00F716E6" w:rsidRPr="00161817" w:rsidRDefault="00F716E6" w:rsidP="00F716E6">
            <w:pPr>
              <w:widowControl w:val="0"/>
              <w:jc w:val="both"/>
              <w:rPr>
                <w:rFonts w:ascii="Source Sans Pro" w:hAnsi="Source Sans Pro" w:cs="Arial"/>
                <w:b/>
                <w:sz w:val="16"/>
                <w:szCs w:val="16"/>
              </w:rPr>
            </w:pPr>
            <w:r w:rsidRPr="00161817">
              <w:rPr>
                <w:rFonts w:ascii="Source Sans Pro" w:hAnsi="Source Sans Pro" w:cs="Arial"/>
                <w:sz w:val="16"/>
                <w:szCs w:val="16"/>
              </w:rPr>
              <w:t>in %-Pkt.</w:t>
            </w:r>
          </w:p>
        </w:tc>
        <w:tc>
          <w:tcPr>
            <w:tcW w:w="1275" w:type="dxa"/>
            <w:vAlign w:val="center"/>
          </w:tcPr>
          <w:p w14:paraId="1BF8BB5A" w14:textId="48234075" w:rsidR="00F716E6" w:rsidRPr="0043217C" w:rsidRDefault="00094C13" w:rsidP="00F716E6">
            <w:pPr>
              <w:widowControl w:val="0"/>
              <w:jc w:val="center"/>
              <w:rPr>
                <w:rFonts w:ascii="Source Sans Pro" w:hAnsi="Source Sans Pro" w:cs="Arial"/>
                <w:sz w:val="16"/>
                <w:szCs w:val="16"/>
              </w:rPr>
            </w:pPr>
            <w:r>
              <w:rPr>
                <w:rFonts w:ascii="Source Sans Pro" w:hAnsi="Source Sans Pro" w:cs="Arial"/>
                <w:sz w:val="16"/>
                <w:szCs w:val="16"/>
              </w:rPr>
              <w:t>0,00</w:t>
            </w:r>
          </w:p>
        </w:tc>
        <w:tc>
          <w:tcPr>
            <w:tcW w:w="993" w:type="dxa"/>
            <w:vAlign w:val="center"/>
          </w:tcPr>
          <w:p w14:paraId="30382577" w14:textId="27647F28" w:rsidR="00F716E6" w:rsidRPr="006061BF" w:rsidRDefault="007A2EB5" w:rsidP="00F716E6">
            <w:pPr>
              <w:widowControl w:val="0"/>
              <w:jc w:val="center"/>
              <w:rPr>
                <w:rFonts w:ascii="Source Sans Pro" w:hAnsi="Source Sans Pro" w:cs="Arial"/>
                <w:sz w:val="16"/>
                <w:szCs w:val="16"/>
              </w:rPr>
            </w:pPr>
            <w:r>
              <w:rPr>
                <w:rFonts w:ascii="Source Sans Pro" w:hAnsi="Source Sans Pro" w:cs="Arial"/>
                <w:sz w:val="16"/>
                <w:szCs w:val="16"/>
              </w:rPr>
              <w:t>0,10</w:t>
            </w:r>
          </w:p>
        </w:tc>
        <w:tc>
          <w:tcPr>
            <w:tcW w:w="992" w:type="dxa"/>
            <w:vAlign w:val="center"/>
          </w:tcPr>
          <w:p w14:paraId="750221CA" w14:textId="71956748" w:rsidR="00F716E6" w:rsidRPr="006061BF" w:rsidRDefault="007A2EB5" w:rsidP="00F716E6">
            <w:pPr>
              <w:widowControl w:val="0"/>
              <w:jc w:val="center"/>
              <w:rPr>
                <w:rFonts w:ascii="Source Sans Pro" w:hAnsi="Source Sans Pro" w:cs="Arial"/>
                <w:sz w:val="16"/>
                <w:szCs w:val="16"/>
              </w:rPr>
            </w:pPr>
            <w:r>
              <w:rPr>
                <w:rFonts w:ascii="Source Sans Pro" w:hAnsi="Source Sans Pro" w:cs="Arial"/>
                <w:sz w:val="16"/>
                <w:szCs w:val="16"/>
              </w:rPr>
              <w:t>0,00</w:t>
            </w:r>
          </w:p>
        </w:tc>
        <w:tc>
          <w:tcPr>
            <w:tcW w:w="992" w:type="dxa"/>
            <w:vAlign w:val="center"/>
          </w:tcPr>
          <w:p w14:paraId="6DD7413C" w14:textId="0BBDED6B" w:rsidR="00F716E6" w:rsidRPr="006061BF" w:rsidRDefault="007A2EB5" w:rsidP="00F716E6">
            <w:pPr>
              <w:widowControl w:val="0"/>
              <w:jc w:val="center"/>
              <w:rPr>
                <w:rFonts w:ascii="Source Sans Pro" w:hAnsi="Source Sans Pro" w:cs="Arial"/>
                <w:sz w:val="16"/>
                <w:szCs w:val="16"/>
              </w:rPr>
            </w:pPr>
            <w:r>
              <w:rPr>
                <w:rFonts w:ascii="Source Sans Pro" w:hAnsi="Source Sans Pro" w:cs="Arial"/>
                <w:sz w:val="16"/>
                <w:szCs w:val="16"/>
              </w:rPr>
              <w:t>0,00</w:t>
            </w:r>
          </w:p>
        </w:tc>
        <w:tc>
          <w:tcPr>
            <w:tcW w:w="851" w:type="dxa"/>
            <w:vAlign w:val="center"/>
          </w:tcPr>
          <w:p w14:paraId="75EE8890" w14:textId="29F51CD1" w:rsidR="00F716E6" w:rsidRPr="006061BF" w:rsidRDefault="007A2EB5" w:rsidP="00F716E6">
            <w:pPr>
              <w:widowControl w:val="0"/>
              <w:jc w:val="center"/>
              <w:rPr>
                <w:rFonts w:ascii="Source Sans Pro" w:hAnsi="Source Sans Pro" w:cs="Arial"/>
                <w:sz w:val="16"/>
                <w:szCs w:val="16"/>
              </w:rPr>
            </w:pPr>
            <w:r>
              <w:rPr>
                <w:rFonts w:ascii="Source Sans Pro" w:hAnsi="Source Sans Pro" w:cs="Arial"/>
                <w:sz w:val="16"/>
                <w:szCs w:val="16"/>
              </w:rPr>
              <w:t>0,20</w:t>
            </w:r>
          </w:p>
        </w:tc>
        <w:tc>
          <w:tcPr>
            <w:tcW w:w="850" w:type="dxa"/>
            <w:vAlign w:val="center"/>
          </w:tcPr>
          <w:p w14:paraId="5AFA008F" w14:textId="39912814" w:rsidR="00F716E6" w:rsidRPr="004751D8" w:rsidRDefault="007A2EB5" w:rsidP="00F716E6">
            <w:pPr>
              <w:widowControl w:val="0"/>
              <w:jc w:val="center"/>
              <w:rPr>
                <w:rFonts w:ascii="Source Sans Pro" w:hAnsi="Source Sans Pro" w:cs="Arial"/>
                <w:sz w:val="16"/>
                <w:szCs w:val="16"/>
              </w:rPr>
            </w:pPr>
            <w:r>
              <w:rPr>
                <w:rFonts w:ascii="Source Sans Pro" w:hAnsi="Source Sans Pro" w:cs="Arial"/>
                <w:sz w:val="16"/>
                <w:szCs w:val="16"/>
              </w:rPr>
              <w:t>0,10</w:t>
            </w:r>
          </w:p>
        </w:tc>
        <w:tc>
          <w:tcPr>
            <w:tcW w:w="712" w:type="dxa"/>
            <w:vAlign w:val="center"/>
          </w:tcPr>
          <w:p w14:paraId="43F45EB7" w14:textId="267161BF" w:rsidR="00F716E6" w:rsidRPr="004751D8" w:rsidRDefault="007A2EB5" w:rsidP="00F716E6">
            <w:pPr>
              <w:widowControl w:val="0"/>
              <w:jc w:val="center"/>
              <w:rPr>
                <w:rFonts w:ascii="Source Sans Pro" w:hAnsi="Source Sans Pro" w:cs="Arial"/>
                <w:sz w:val="16"/>
                <w:szCs w:val="16"/>
              </w:rPr>
            </w:pPr>
            <w:r>
              <w:rPr>
                <w:rFonts w:ascii="Source Sans Pro" w:hAnsi="Source Sans Pro" w:cs="Arial"/>
                <w:sz w:val="16"/>
                <w:szCs w:val="16"/>
              </w:rPr>
              <w:t>0,10</w:t>
            </w:r>
          </w:p>
        </w:tc>
        <w:tc>
          <w:tcPr>
            <w:tcW w:w="1062" w:type="dxa"/>
            <w:vAlign w:val="center"/>
          </w:tcPr>
          <w:p w14:paraId="10E27A7C" w14:textId="5347BFE6" w:rsidR="00F716E6" w:rsidRPr="006061BF" w:rsidRDefault="007A2EB5" w:rsidP="00F716E6">
            <w:pPr>
              <w:widowControl w:val="0"/>
              <w:jc w:val="center"/>
              <w:rPr>
                <w:rFonts w:ascii="Source Sans Pro" w:hAnsi="Source Sans Pro" w:cs="Arial"/>
                <w:b/>
                <w:sz w:val="16"/>
                <w:szCs w:val="16"/>
              </w:rPr>
            </w:pPr>
            <w:r>
              <w:rPr>
                <w:rFonts w:ascii="Source Sans Pro" w:hAnsi="Source Sans Pro" w:cs="Arial"/>
                <w:b/>
                <w:sz w:val="16"/>
                <w:szCs w:val="16"/>
              </w:rPr>
              <w:t>0,07</w:t>
            </w:r>
          </w:p>
        </w:tc>
      </w:tr>
      <w:tr w:rsidR="00F716E6" w:rsidRPr="00161817" w14:paraId="2411BA51" w14:textId="77777777" w:rsidTr="00935423">
        <w:tc>
          <w:tcPr>
            <w:tcW w:w="1555" w:type="dxa"/>
          </w:tcPr>
          <w:p w14:paraId="16BE5098" w14:textId="77777777" w:rsidR="00F716E6" w:rsidRPr="00E340D2" w:rsidRDefault="00F716E6" w:rsidP="00F716E6">
            <w:pPr>
              <w:widowControl w:val="0"/>
              <w:jc w:val="both"/>
              <w:rPr>
                <w:rFonts w:ascii="Source Sans Pro" w:hAnsi="Source Sans Pro" w:cs="Arial"/>
                <w:b/>
                <w:sz w:val="16"/>
                <w:szCs w:val="16"/>
              </w:rPr>
            </w:pPr>
            <w:r w:rsidRPr="00E340D2">
              <w:rPr>
                <w:rFonts w:ascii="Source Sans Pro" w:hAnsi="Source Sans Pro" w:cs="Arial"/>
                <w:b/>
                <w:sz w:val="16"/>
                <w:szCs w:val="16"/>
              </w:rPr>
              <w:t xml:space="preserve">Spitzenrendite* Logistik </w:t>
            </w:r>
            <w:r w:rsidRPr="00E340D2">
              <w:rPr>
                <w:rFonts w:ascii="Source Sans Pro" w:hAnsi="Source Sans Pro" w:cs="Arial"/>
                <w:sz w:val="16"/>
                <w:szCs w:val="16"/>
              </w:rPr>
              <w:t>in %</w:t>
            </w:r>
          </w:p>
        </w:tc>
        <w:tc>
          <w:tcPr>
            <w:tcW w:w="1275" w:type="dxa"/>
            <w:vAlign w:val="center"/>
          </w:tcPr>
          <w:p w14:paraId="1E269F87" w14:textId="72F3E82A" w:rsidR="00F716E6" w:rsidRPr="00F65150" w:rsidRDefault="00094C13" w:rsidP="00F716E6">
            <w:pPr>
              <w:widowControl w:val="0"/>
              <w:jc w:val="center"/>
              <w:rPr>
                <w:rFonts w:ascii="Source Sans Pro" w:hAnsi="Source Sans Pro" w:cs="Arial"/>
                <w:sz w:val="16"/>
                <w:szCs w:val="16"/>
                <w:u w:val="single"/>
              </w:rPr>
            </w:pPr>
            <w:r w:rsidRPr="00F65150">
              <w:rPr>
                <w:rFonts w:ascii="Source Sans Pro" w:hAnsi="Source Sans Pro" w:cs="Arial"/>
                <w:sz w:val="16"/>
                <w:szCs w:val="16"/>
                <w:u w:val="single"/>
              </w:rPr>
              <w:t>4,70</w:t>
            </w:r>
          </w:p>
        </w:tc>
        <w:tc>
          <w:tcPr>
            <w:tcW w:w="993" w:type="dxa"/>
            <w:vAlign w:val="center"/>
          </w:tcPr>
          <w:p w14:paraId="4AC2BC62" w14:textId="3E2FDB97" w:rsidR="00F716E6" w:rsidRPr="00E340D2" w:rsidRDefault="007A2EB5" w:rsidP="00F716E6">
            <w:pPr>
              <w:widowControl w:val="0"/>
              <w:jc w:val="center"/>
              <w:rPr>
                <w:rFonts w:ascii="Source Sans Pro" w:hAnsi="Source Sans Pro" w:cs="Arial"/>
                <w:sz w:val="16"/>
                <w:szCs w:val="16"/>
              </w:rPr>
            </w:pPr>
            <w:r>
              <w:rPr>
                <w:rFonts w:ascii="Source Sans Pro" w:hAnsi="Source Sans Pro" w:cs="Arial"/>
                <w:sz w:val="16"/>
                <w:szCs w:val="16"/>
              </w:rPr>
              <w:t>4,50</w:t>
            </w:r>
          </w:p>
        </w:tc>
        <w:tc>
          <w:tcPr>
            <w:tcW w:w="992" w:type="dxa"/>
            <w:vAlign w:val="center"/>
          </w:tcPr>
          <w:p w14:paraId="2BC1DA3D" w14:textId="0FEFC74C" w:rsidR="00F716E6" w:rsidRPr="00E340D2" w:rsidRDefault="007A2EB5" w:rsidP="00F716E6">
            <w:pPr>
              <w:widowControl w:val="0"/>
              <w:jc w:val="center"/>
              <w:rPr>
                <w:rFonts w:ascii="Source Sans Pro" w:hAnsi="Source Sans Pro" w:cs="Arial"/>
                <w:sz w:val="16"/>
                <w:szCs w:val="16"/>
              </w:rPr>
            </w:pPr>
            <w:r>
              <w:rPr>
                <w:rFonts w:ascii="Source Sans Pro" w:hAnsi="Source Sans Pro" w:cs="Arial"/>
                <w:sz w:val="16"/>
                <w:szCs w:val="16"/>
              </w:rPr>
              <w:t>4,40</w:t>
            </w:r>
          </w:p>
        </w:tc>
        <w:tc>
          <w:tcPr>
            <w:tcW w:w="992" w:type="dxa"/>
            <w:vAlign w:val="center"/>
          </w:tcPr>
          <w:p w14:paraId="46DE1972" w14:textId="4430F4E7" w:rsidR="00F716E6" w:rsidRPr="00E340D2" w:rsidRDefault="007A2EB5" w:rsidP="00F716E6">
            <w:pPr>
              <w:widowControl w:val="0"/>
              <w:jc w:val="center"/>
              <w:rPr>
                <w:rFonts w:ascii="Source Sans Pro" w:hAnsi="Source Sans Pro" w:cs="Arial"/>
                <w:sz w:val="16"/>
                <w:szCs w:val="16"/>
              </w:rPr>
            </w:pPr>
            <w:r>
              <w:rPr>
                <w:rFonts w:ascii="Source Sans Pro" w:hAnsi="Source Sans Pro" w:cs="Arial"/>
                <w:sz w:val="16"/>
                <w:szCs w:val="16"/>
              </w:rPr>
              <w:t>4,60</w:t>
            </w:r>
          </w:p>
        </w:tc>
        <w:tc>
          <w:tcPr>
            <w:tcW w:w="851" w:type="dxa"/>
            <w:vAlign w:val="center"/>
          </w:tcPr>
          <w:p w14:paraId="51830899" w14:textId="5631C8A4" w:rsidR="00F716E6" w:rsidRPr="00E340D2" w:rsidRDefault="007A2EB5" w:rsidP="00F716E6">
            <w:pPr>
              <w:widowControl w:val="0"/>
              <w:jc w:val="center"/>
              <w:rPr>
                <w:rFonts w:ascii="Source Sans Pro" w:hAnsi="Source Sans Pro" w:cs="Arial"/>
                <w:sz w:val="16"/>
                <w:szCs w:val="16"/>
              </w:rPr>
            </w:pPr>
            <w:r>
              <w:rPr>
                <w:rFonts w:ascii="Source Sans Pro" w:hAnsi="Source Sans Pro" w:cs="Arial"/>
                <w:sz w:val="16"/>
                <w:szCs w:val="16"/>
              </w:rPr>
              <w:t>4,50</w:t>
            </w:r>
          </w:p>
        </w:tc>
        <w:tc>
          <w:tcPr>
            <w:tcW w:w="850" w:type="dxa"/>
            <w:vAlign w:val="center"/>
          </w:tcPr>
          <w:p w14:paraId="2AEDBBC9" w14:textId="74A51976" w:rsidR="00F716E6" w:rsidRPr="005A6C65" w:rsidRDefault="007A2EB5" w:rsidP="00F716E6">
            <w:pPr>
              <w:widowControl w:val="0"/>
              <w:jc w:val="center"/>
              <w:rPr>
                <w:rFonts w:ascii="Source Sans Pro" w:hAnsi="Source Sans Pro" w:cs="Arial"/>
                <w:sz w:val="16"/>
                <w:szCs w:val="16"/>
                <w:u w:val="single"/>
              </w:rPr>
            </w:pPr>
            <w:r w:rsidRPr="005A6C65">
              <w:rPr>
                <w:rFonts w:ascii="Source Sans Pro" w:hAnsi="Source Sans Pro" w:cs="Arial"/>
                <w:sz w:val="16"/>
                <w:szCs w:val="16"/>
                <w:u w:val="single"/>
              </w:rPr>
              <w:t>4,</w:t>
            </w:r>
            <w:r w:rsidR="005A6C65" w:rsidRPr="005A6C65">
              <w:rPr>
                <w:rFonts w:ascii="Source Sans Pro" w:hAnsi="Source Sans Pro" w:cs="Arial"/>
                <w:sz w:val="16"/>
                <w:szCs w:val="16"/>
                <w:u w:val="single"/>
              </w:rPr>
              <w:t>7</w:t>
            </w:r>
            <w:r w:rsidRPr="005A6C65">
              <w:rPr>
                <w:rFonts w:ascii="Source Sans Pro" w:hAnsi="Source Sans Pro" w:cs="Arial"/>
                <w:sz w:val="16"/>
                <w:szCs w:val="16"/>
                <w:u w:val="single"/>
              </w:rPr>
              <w:t>0</w:t>
            </w:r>
          </w:p>
        </w:tc>
        <w:tc>
          <w:tcPr>
            <w:tcW w:w="712" w:type="dxa"/>
            <w:vAlign w:val="center"/>
          </w:tcPr>
          <w:p w14:paraId="7D49DE90" w14:textId="6ABEBA3B" w:rsidR="00F716E6" w:rsidRPr="00E340D2" w:rsidRDefault="007A2EB5" w:rsidP="00F716E6">
            <w:pPr>
              <w:widowControl w:val="0"/>
              <w:jc w:val="center"/>
              <w:rPr>
                <w:rFonts w:ascii="Source Sans Pro" w:hAnsi="Source Sans Pro" w:cs="Arial"/>
                <w:sz w:val="16"/>
                <w:szCs w:val="16"/>
              </w:rPr>
            </w:pPr>
            <w:r>
              <w:rPr>
                <w:rFonts w:ascii="Source Sans Pro" w:hAnsi="Source Sans Pro" w:cs="Arial"/>
                <w:sz w:val="16"/>
                <w:szCs w:val="16"/>
              </w:rPr>
              <w:t>4,50</w:t>
            </w:r>
          </w:p>
        </w:tc>
        <w:tc>
          <w:tcPr>
            <w:tcW w:w="1062" w:type="dxa"/>
            <w:vAlign w:val="center"/>
          </w:tcPr>
          <w:p w14:paraId="15EC44A2" w14:textId="0DC89E3B" w:rsidR="00F716E6" w:rsidRPr="00E340D2" w:rsidRDefault="007A2EB5" w:rsidP="00F716E6">
            <w:pPr>
              <w:widowControl w:val="0"/>
              <w:jc w:val="center"/>
              <w:rPr>
                <w:rFonts w:ascii="Source Sans Pro" w:hAnsi="Source Sans Pro" w:cs="Arial"/>
                <w:b/>
                <w:sz w:val="16"/>
                <w:szCs w:val="16"/>
              </w:rPr>
            </w:pPr>
            <w:r>
              <w:rPr>
                <w:rFonts w:ascii="Source Sans Pro" w:hAnsi="Source Sans Pro" w:cs="Arial"/>
                <w:b/>
                <w:sz w:val="16"/>
                <w:szCs w:val="16"/>
              </w:rPr>
              <w:t>4,5</w:t>
            </w:r>
            <w:r w:rsidR="0041454E">
              <w:rPr>
                <w:rFonts w:ascii="Source Sans Pro" w:hAnsi="Source Sans Pro" w:cs="Arial"/>
                <w:b/>
                <w:sz w:val="16"/>
                <w:szCs w:val="16"/>
              </w:rPr>
              <w:t>6</w:t>
            </w:r>
          </w:p>
        </w:tc>
      </w:tr>
      <w:tr w:rsidR="00F716E6" w:rsidRPr="00161817" w14:paraId="7E552845" w14:textId="77777777" w:rsidTr="00935423">
        <w:tc>
          <w:tcPr>
            <w:tcW w:w="1555" w:type="dxa"/>
          </w:tcPr>
          <w:p w14:paraId="6DC11B9C" w14:textId="77777777" w:rsidR="00F716E6" w:rsidRDefault="00F716E6" w:rsidP="00F716E6">
            <w:pPr>
              <w:widowControl w:val="0"/>
              <w:jc w:val="both"/>
              <w:rPr>
                <w:rFonts w:ascii="Source Sans Pro" w:hAnsi="Source Sans Pro" w:cs="Arial"/>
                <w:b/>
                <w:sz w:val="16"/>
                <w:szCs w:val="16"/>
              </w:rPr>
            </w:pPr>
            <w:proofErr w:type="spellStart"/>
            <w:r w:rsidRPr="00161817">
              <w:rPr>
                <w:rFonts w:ascii="Source Sans Pro" w:hAnsi="Source Sans Pro" w:cs="Arial"/>
                <w:b/>
                <w:sz w:val="16"/>
                <w:szCs w:val="16"/>
              </w:rPr>
              <w:t>ggü</w:t>
            </w:r>
            <w:proofErr w:type="spellEnd"/>
            <w:r w:rsidRPr="00161817">
              <w:rPr>
                <w:rFonts w:ascii="Source Sans Pro" w:hAnsi="Source Sans Pro" w:cs="Arial"/>
                <w:b/>
                <w:sz w:val="16"/>
                <w:szCs w:val="16"/>
              </w:rPr>
              <w:t>. Vorjahr</w:t>
            </w:r>
          </w:p>
          <w:p w14:paraId="5725897F" w14:textId="569358C3" w:rsidR="00F716E6" w:rsidRPr="00161817" w:rsidRDefault="00F716E6" w:rsidP="00F716E6">
            <w:pPr>
              <w:widowControl w:val="0"/>
              <w:jc w:val="both"/>
              <w:rPr>
                <w:rFonts w:ascii="Source Sans Pro" w:hAnsi="Source Sans Pro" w:cs="Arial"/>
                <w:b/>
                <w:sz w:val="16"/>
                <w:szCs w:val="16"/>
              </w:rPr>
            </w:pPr>
            <w:r w:rsidRPr="00161817">
              <w:rPr>
                <w:rFonts w:ascii="Source Sans Pro" w:hAnsi="Source Sans Pro" w:cs="Arial"/>
                <w:sz w:val="16"/>
                <w:szCs w:val="16"/>
              </w:rPr>
              <w:t>in %-Pkt.</w:t>
            </w:r>
          </w:p>
        </w:tc>
        <w:tc>
          <w:tcPr>
            <w:tcW w:w="1275" w:type="dxa"/>
            <w:vAlign w:val="center"/>
          </w:tcPr>
          <w:p w14:paraId="56189F55" w14:textId="02247E10" w:rsidR="00F716E6" w:rsidRPr="004751D8" w:rsidRDefault="00094C13" w:rsidP="00F716E6">
            <w:pPr>
              <w:widowControl w:val="0"/>
              <w:jc w:val="center"/>
              <w:rPr>
                <w:rFonts w:ascii="Source Sans Pro" w:hAnsi="Source Sans Pro" w:cs="Arial"/>
                <w:sz w:val="16"/>
                <w:szCs w:val="16"/>
              </w:rPr>
            </w:pPr>
            <w:r>
              <w:rPr>
                <w:rFonts w:ascii="Source Sans Pro" w:hAnsi="Source Sans Pro" w:cs="Arial"/>
                <w:sz w:val="16"/>
                <w:szCs w:val="16"/>
              </w:rPr>
              <w:t>0,20</w:t>
            </w:r>
          </w:p>
        </w:tc>
        <w:tc>
          <w:tcPr>
            <w:tcW w:w="993" w:type="dxa"/>
            <w:vAlign w:val="center"/>
          </w:tcPr>
          <w:p w14:paraId="09A563B0" w14:textId="5BA7A2EF" w:rsidR="00F716E6" w:rsidRPr="004751D8" w:rsidRDefault="007A2EB5" w:rsidP="00F716E6">
            <w:pPr>
              <w:widowControl w:val="0"/>
              <w:jc w:val="center"/>
              <w:rPr>
                <w:rFonts w:ascii="Source Sans Pro" w:hAnsi="Source Sans Pro" w:cs="Arial"/>
                <w:sz w:val="16"/>
                <w:szCs w:val="16"/>
              </w:rPr>
            </w:pPr>
            <w:r>
              <w:rPr>
                <w:rFonts w:ascii="Source Sans Pro" w:hAnsi="Source Sans Pro" w:cs="Arial"/>
                <w:sz w:val="16"/>
                <w:szCs w:val="16"/>
              </w:rPr>
              <w:t>0,10</w:t>
            </w:r>
          </w:p>
        </w:tc>
        <w:tc>
          <w:tcPr>
            <w:tcW w:w="992" w:type="dxa"/>
            <w:vAlign w:val="center"/>
          </w:tcPr>
          <w:p w14:paraId="28EE0851" w14:textId="5788E2E1" w:rsidR="00F716E6" w:rsidRPr="005B36B5" w:rsidRDefault="007A2EB5" w:rsidP="00F716E6">
            <w:pPr>
              <w:widowControl w:val="0"/>
              <w:jc w:val="center"/>
              <w:rPr>
                <w:rFonts w:ascii="Source Sans Pro" w:hAnsi="Source Sans Pro" w:cs="Arial"/>
                <w:sz w:val="16"/>
                <w:szCs w:val="16"/>
              </w:rPr>
            </w:pPr>
            <w:r>
              <w:rPr>
                <w:rFonts w:ascii="Source Sans Pro" w:hAnsi="Source Sans Pro" w:cs="Arial"/>
                <w:sz w:val="16"/>
                <w:szCs w:val="16"/>
              </w:rPr>
              <w:t>-0,20</w:t>
            </w:r>
          </w:p>
        </w:tc>
        <w:tc>
          <w:tcPr>
            <w:tcW w:w="992" w:type="dxa"/>
            <w:vAlign w:val="center"/>
          </w:tcPr>
          <w:p w14:paraId="4EC1D9CD" w14:textId="4EEB999D" w:rsidR="00F716E6" w:rsidRPr="004751D8" w:rsidRDefault="007A2EB5" w:rsidP="00F716E6">
            <w:pPr>
              <w:widowControl w:val="0"/>
              <w:jc w:val="center"/>
              <w:rPr>
                <w:rFonts w:ascii="Source Sans Pro" w:hAnsi="Source Sans Pro" w:cs="Arial"/>
                <w:sz w:val="16"/>
                <w:szCs w:val="16"/>
              </w:rPr>
            </w:pPr>
            <w:r>
              <w:rPr>
                <w:rFonts w:ascii="Source Sans Pro" w:hAnsi="Source Sans Pro" w:cs="Arial"/>
                <w:sz w:val="16"/>
                <w:szCs w:val="16"/>
              </w:rPr>
              <w:t>0,20</w:t>
            </w:r>
          </w:p>
        </w:tc>
        <w:tc>
          <w:tcPr>
            <w:tcW w:w="851" w:type="dxa"/>
            <w:vAlign w:val="center"/>
          </w:tcPr>
          <w:p w14:paraId="7DCD6729" w14:textId="5A645966" w:rsidR="00F716E6" w:rsidRPr="004751D8" w:rsidRDefault="007A2EB5" w:rsidP="00F716E6">
            <w:pPr>
              <w:widowControl w:val="0"/>
              <w:jc w:val="center"/>
              <w:rPr>
                <w:rFonts w:ascii="Source Sans Pro" w:hAnsi="Source Sans Pro" w:cs="Arial"/>
                <w:sz w:val="16"/>
                <w:szCs w:val="16"/>
              </w:rPr>
            </w:pPr>
            <w:r>
              <w:rPr>
                <w:rFonts w:ascii="Source Sans Pro" w:hAnsi="Source Sans Pro" w:cs="Arial"/>
                <w:sz w:val="16"/>
                <w:szCs w:val="16"/>
              </w:rPr>
              <w:t>0,00</w:t>
            </w:r>
          </w:p>
        </w:tc>
        <w:tc>
          <w:tcPr>
            <w:tcW w:w="850" w:type="dxa"/>
            <w:vAlign w:val="center"/>
          </w:tcPr>
          <w:p w14:paraId="4BFB79FE" w14:textId="0767A50C" w:rsidR="00F716E6" w:rsidRPr="002704CD" w:rsidRDefault="007A2EB5" w:rsidP="00F716E6">
            <w:pPr>
              <w:widowControl w:val="0"/>
              <w:jc w:val="center"/>
              <w:rPr>
                <w:rFonts w:ascii="Source Sans Pro" w:hAnsi="Source Sans Pro" w:cs="Arial"/>
                <w:sz w:val="16"/>
                <w:szCs w:val="16"/>
              </w:rPr>
            </w:pPr>
            <w:r>
              <w:rPr>
                <w:rFonts w:ascii="Source Sans Pro" w:hAnsi="Source Sans Pro" w:cs="Arial"/>
                <w:sz w:val="16"/>
                <w:szCs w:val="16"/>
              </w:rPr>
              <w:t>0,00</w:t>
            </w:r>
          </w:p>
        </w:tc>
        <w:tc>
          <w:tcPr>
            <w:tcW w:w="712" w:type="dxa"/>
            <w:vAlign w:val="center"/>
          </w:tcPr>
          <w:p w14:paraId="0983E6E9" w14:textId="7096DBB0" w:rsidR="00F716E6" w:rsidRPr="002704CD" w:rsidRDefault="007A2EB5" w:rsidP="00F716E6">
            <w:pPr>
              <w:widowControl w:val="0"/>
              <w:jc w:val="center"/>
              <w:rPr>
                <w:rFonts w:ascii="Source Sans Pro" w:hAnsi="Source Sans Pro" w:cs="Arial"/>
                <w:sz w:val="16"/>
                <w:szCs w:val="16"/>
              </w:rPr>
            </w:pPr>
            <w:r>
              <w:rPr>
                <w:rFonts w:ascii="Source Sans Pro" w:hAnsi="Source Sans Pro" w:cs="Arial"/>
                <w:sz w:val="16"/>
                <w:szCs w:val="16"/>
              </w:rPr>
              <w:t>0,00</w:t>
            </w:r>
          </w:p>
        </w:tc>
        <w:tc>
          <w:tcPr>
            <w:tcW w:w="1062" w:type="dxa"/>
            <w:vAlign w:val="center"/>
          </w:tcPr>
          <w:p w14:paraId="243E1FC2" w14:textId="75838DFF" w:rsidR="00F716E6" w:rsidRPr="002704CD" w:rsidRDefault="007A2EB5" w:rsidP="00F716E6">
            <w:pPr>
              <w:widowControl w:val="0"/>
              <w:jc w:val="center"/>
              <w:rPr>
                <w:rFonts w:ascii="Source Sans Pro" w:hAnsi="Source Sans Pro" w:cs="Arial"/>
                <w:b/>
                <w:sz w:val="16"/>
                <w:szCs w:val="16"/>
              </w:rPr>
            </w:pPr>
            <w:r>
              <w:rPr>
                <w:rFonts w:ascii="Source Sans Pro" w:hAnsi="Source Sans Pro" w:cs="Arial"/>
                <w:b/>
                <w:sz w:val="16"/>
                <w:szCs w:val="16"/>
              </w:rPr>
              <w:t>0,0</w:t>
            </w:r>
            <w:r w:rsidR="0041454E">
              <w:rPr>
                <w:rFonts w:ascii="Source Sans Pro" w:hAnsi="Source Sans Pro" w:cs="Arial"/>
                <w:b/>
                <w:sz w:val="16"/>
                <w:szCs w:val="16"/>
              </w:rPr>
              <w:t>7</w:t>
            </w:r>
          </w:p>
        </w:tc>
      </w:tr>
    </w:tbl>
    <w:p w14:paraId="1E22B4BB" w14:textId="48256A3C" w:rsidR="00E822DD" w:rsidRPr="00161817" w:rsidRDefault="00E822DD" w:rsidP="00E822DD">
      <w:pPr>
        <w:pStyle w:val="EinfAbs"/>
        <w:tabs>
          <w:tab w:val="left" w:pos="200"/>
        </w:tabs>
        <w:jc w:val="both"/>
        <w:rPr>
          <w:rFonts w:ascii="Source Sans Pro" w:hAnsi="Source Sans Pro" w:cs="Arial"/>
          <w:sz w:val="16"/>
          <w:szCs w:val="16"/>
        </w:rPr>
      </w:pPr>
      <w:r w:rsidRPr="00161817">
        <w:rPr>
          <w:rFonts w:ascii="Source Sans Pro" w:hAnsi="Source Sans Pro" w:cs="Arial"/>
          <w:sz w:val="16"/>
          <w:szCs w:val="16"/>
        </w:rPr>
        <w:t>* Nettoanfangsrendite</w:t>
      </w:r>
      <w:r w:rsidR="002704CD">
        <w:rPr>
          <w:rFonts w:ascii="Source Sans Pro" w:hAnsi="Source Sans Pro" w:cs="Arial"/>
          <w:sz w:val="16"/>
          <w:szCs w:val="16"/>
        </w:rPr>
        <w:t>.</w:t>
      </w:r>
      <w:r w:rsidRPr="00161817">
        <w:rPr>
          <w:rFonts w:ascii="Source Sans Pro" w:hAnsi="Source Sans Pro" w:cs="Arial"/>
          <w:sz w:val="16"/>
          <w:szCs w:val="16"/>
        </w:rPr>
        <w:t xml:space="preserve"> Quelle: German Property Partners (GPP)</w:t>
      </w:r>
    </w:p>
    <w:p w14:paraId="347C3636" w14:textId="77777777" w:rsidR="00E822DD" w:rsidRDefault="00E822DD" w:rsidP="00E822DD">
      <w:pPr>
        <w:pStyle w:val="EinfAbs"/>
        <w:tabs>
          <w:tab w:val="left" w:pos="200"/>
        </w:tabs>
        <w:jc w:val="both"/>
        <w:rPr>
          <w:rFonts w:ascii="Source Sans Pro" w:hAnsi="Source Sans Pro" w:cs="Source Sans Pro"/>
          <w:sz w:val="22"/>
          <w:szCs w:val="22"/>
        </w:rPr>
      </w:pPr>
    </w:p>
    <w:p w14:paraId="5CED34B8" w14:textId="53E599E1" w:rsidR="00161817" w:rsidRPr="00161817" w:rsidRDefault="00367F4F" w:rsidP="00EF0944">
      <w:pPr>
        <w:overflowPunct/>
        <w:autoSpaceDE/>
        <w:autoSpaceDN/>
        <w:adjustRightInd/>
        <w:textAlignment w:val="auto"/>
        <w:rPr>
          <w:rFonts w:ascii="Source Sans Pro" w:hAnsi="Source Sans Pro" w:cs="Arial"/>
          <w:b/>
          <w:sz w:val="20"/>
        </w:rPr>
      </w:pPr>
      <w:r>
        <w:rPr>
          <w:rFonts w:ascii="Source Sans Pro" w:hAnsi="Source Sans Pro" w:cs="Arial"/>
          <w:b/>
          <w:sz w:val="20"/>
        </w:rPr>
        <w:t>Größte</w:t>
      </w:r>
      <w:r w:rsidR="00161817" w:rsidRPr="00161817">
        <w:rPr>
          <w:rFonts w:ascii="Source Sans Pro" w:hAnsi="Source Sans Pro" w:cs="Arial"/>
          <w:b/>
          <w:sz w:val="20"/>
        </w:rPr>
        <w:t xml:space="preserve"> bekannte Abschlüsse | Top-7-Standorte | 1.</w:t>
      </w:r>
      <w:r w:rsidR="00E24CBD">
        <w:rPr>
          <w:rFonts w:ascii="Source Sans Pro" w:hAnsi="Source Sans Pro" w:cs="Arial"/>
          <w:b/>
          <w:sz w:val="20"/>
        </w:rPr>
        <w:t>-2.</w:t>
      </w:r>
      <w:r w:rsidR="00161817" w:rsidRPr="00161817">
        <w:rPr>
          <w:rFonts w:ascii="Source Sans Pro" w:hAnsi="Source Sans Pro" w:cs="Arial"/>
          <w:b/>
          <w:sz w:val="20"/>
        </w:rPr>
        <w:t xml:space="preserve"> Quartal 202</w:t>
      </w:r>
      <w:r w:rsidR="00070ABB">
        <w:rPr>
          <w:rFonts w:ascii="Source Sans Pro" w:hAnsi="Source Sans Pro" w:cs="Arial"/>
          <w:b/>
          <w:sz w:val="20"/>
        </w:rPr>
        <w:t>6</w:t>
      </w:r>
    </w:p>
    <w:tbl>
      <w:tblPr>
        <w:tblStyle w:val="TableGrid1"/>
        <w:tblW w:w="9231" w:type="dxa"/>
        <w:tblLayout w:type="fixed"/>
        <w:tblLook w:val="04A0" w:firstRow="1" w:lastRow="0" w:firstColumn="1" w:lastColumn="0" w:noHBand="0" w:noVBand="1"/>
      </w:tblPr>
      <w:tblGrid>
        <w:gridCol w:w="687"/>
        <w:gridCol w:w="2682"/>
        <w:gridCol w:w="2658"/>
        <w:gridCol w:w="2190"/>
        <w:gridCol w:w="1014"/>
      </w:tblGrid>
      <w:tr w:rsidR="00161817" w:rsidRPr="00161817" w14:paraId="113FCC50" w14:textId="77777777" w:rsidTr="009E6C40">
        <w:trPr>
          <w:trHeight w:val="552"/>
        </w:trPr>
        <w:tc>
          <w:tcPr>
            <w:tcW w:w="687" w:type="dxa"/>
            <w:vAlign w:val="center"/>
          </w:tcPr>
          <w:p w14:paraId="130C696A"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b/>
                <w:sz w:val="16"/>
                <w:szCs w:val="16"/>
              </w:rPr>
              <w:t>Stadt</w:t>
            </w:r>
          </w:p>
        </w:tc>
        <w:tc>
          <w:tcPr>
            <w:tcW w:w="2682" w:type="dxa"/>
            <w:vAlign w:val="center"/>
          </w:tcPr>
          <w:p w14:paraId="5E34B091"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b/>
                <w:sz w:val="16"/>
                <w:szCs w:val="16"/>
              </w:rPr>
              <w:t>Projekt/Objekt</w:t>
            </w:r>
          </w:p>
        </w:tc>
        <w:tc>
          <w:tcPr>
            <w:tcW w:w="2658" w:type="dxa"/>
            <w:vAlign w:val="center"/>
          </w:tcPr>
          <w:p w14:paraId="26669932"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b/>
                <w:sz w:val="16"/>
                <w:szCs w:val="16"/>
              </w:rPr>
              <w:t>Käufer</w:t>
            </w:r>
          </w:p>
        </w:tc>
        <w:tc>
          <w:tcPr>
            <w:tcW w:w="2190" w:type="dxa"/>
            <w:vAlign w:val="center"/>
          </w:tcPr>
          <w:p w14:paraId="490FE9EE"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b/>
                <w:sz w:val="16"/>
                <w:szCs w:val="16"/>
              </w:rPr>
              <w:t>Verkäufer</w:t>
            </w:r>
          </w:p>
        </w:tc>
        <w:tc>
          <w:tcPr>
            <w:tcW w:w="1014" w:type="dxa"/>
            <w:vAlign w:val="center"/>
          </w:tcPr>
          <w:p w14:paraId="028E3657"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b/>
                <w:sz w:val="16"/>
                <w:szCs w:val="16"/>
              </w:rPr>
              <w:t>KP*</w:t>
            </w:r>
          </w:p>
          <w:p w14:paraId="24C76A25"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sz w:val="16"/>
                <w:szCs w:val="16"/>
              </w:rPr>
              <w:t>(ca. Mio. €)</w:t>
            </w:r>
          </w:p>
        </w:tc>
      </w:tr>
      <w:tr w:rsidR="00CA2A25" w:rsidRPr="00161817" w14:paraId="2D925591" w14:textId="77777777" w:rsidTr="00F40B12">
        <w:trPr>
          <w:trHeight w:val="552"/>
        </w:trPr>
        <w:tc>
          <w:tcPr>
            <w:tcW w:w="687" w:type="dxa"/>
            <w:vAlign w:val="center"/>
          </w:tcPr>
          <w:p w14:paraId="4CBCEE2B" w14:textId="6CF3A617" w:rsidR="00CA2A25" w:rsidRPr="00CA2A25" w:rsidRDefault="00CA2A25" w:rsidP="007E59AB">
            <w:pPr>
              <w:widowControl w:val="0"/>
              <w:jc w:val="center"/>
              <w:rPr>
                <w:rFonts w:ascii="Source Sans Pro" w:hAnsi="Source Sans Pro" w:cs="Arial"/>
                <w:sz w:val="16"/>
                <w:szCs w:val="16"/>
                <w:highlight w:val="yellow"/>
              </w:rPr>
            </w:pPr>
            <w:r w:rsidRPr="00CA2A25">
              <w:rPr>
                <w:rFonts w:ascii="Source Sans Pro" w:hAnsi="Source Sans Pro" w:cs="Arial"/>
                <w:sz w:val="16"/>
                <w:szCs w:val="16"/>
              </w:rPr>
              <w:t>DUS</w:t>
            </w:r>
          </w:p>
        </w:tc>
        <w:tc>
          <w:tcPr>
            <w:tcW w:w="2682" w:type="dxa"/>
            <w:vAlign w:val="center"/>
          </w:tcPr>
          <w:p w14:paraId="0709D6E5" w14:textId="26E04B56" w:rsidR="00CA2A25" w:rsidRPr="00CA2A25" w:rsidRDefault="00CA2A25" w:rsidP="007E59AB">
            <w:pPr>
              <w:widowControl w:val="0"/>
              <w:jc w:val="center"/>
              <w:rPr>
                <w:rFonts w:ascii="Source Sans Pro" w:hAnsi="Source Sans Pro" w:cs="Arial"/>
                <w:sz w:val="16"/>
                <w:szCs w:val="16"/>
                <w:highlight w:val="yellow"/>
              </w:rPr>
            </w:pPr>
            <w:r w:rsidRPr="00CA2A25">
              <w:rPr>
                <w:rFonts w:ascii="Source Sans Pro" w:hAnsi="Source Sans Pro" w:cs="Arial"/>
                <w:sz w:val="16"/>
                <w:szCs w:val="16"/>
              </w:rPr>
              <w:t>"</w:t>
            </w:r>
            <w:proofErr w:type="spellStart"/>
            <w:r w:rsidRPr="00CA2A25">
              <w:rPr>
                <w:rFonts w:ascii="Source Sans Pro" w:hAnsi="Source Sans Pro" w:cs="Arial"/>
                <w:sz w:val="16"/>
                <w:szCs w:val="16"/>
              </w:rPr>
              <w:t>Deiker</w:t>
            </w:r>
            <w:proofErr w:type="spellEnd"/>
            <w:r w:rsidRPr="00CA2A25">
              <w:rPr>
                <w:rFonts w:ascii="Source Sans Pro" w:hAnsi="Source Sans Pro" w:cs="Arial"/>
                <w:sz w:val="16"/>
                <w:szCs w:val="16"/>
              </w:rPr>
              <w:t xml:space="preserve"> Höfe", Danziger Straße 109-111, Herma-Körding-Str. 2, 2e, 4-5</w:t>
            </w:r>
          </w:p>
        </w:tc>
        <w:tc>
          <w:tcPr>
            <w:tcW w:w="2658" w:type="dxa"/>
            <w:vAlign w:val="center"/>
          </w:tcPr>
          <w:p w14:paraId="1F85B88E" w14:textId="2672A570" w:rsidR="00CA2A25" w:rsidRPr="00CA2A25" w:rsidRDefault="00CA2A25" w:rsidP="007E59AB">
            <w:pPr>
              <w:widowControl w:val="0"/>
              <w:jc w:val="center"/>
              <w:rPr>
                <w:rFonts w:ascii="Source Sans Pro" w:hAnsi="Source Sans Pro" w:cs="Arial"/>
                <w:sz w:val="16"/>
                <w:szCs w:val="16"/>
                <w:highlight w:val="yellow"/>
              </w:rPr>
            </w:pPr>
            <w:r w:rsidRPr="00CA2A25">
              <w:rPr>
                <w:rFonts w:ascii="Source Sans Pro" w:hAnsi="Source Sans Pro" w:cs="Arial"/>
                <w:sz w:val="16"/>
                <w:szCs w:val="16"/>
              </w:rPr>
              <w:t xml:space="preserve">HIH </w:t>
            </w:r>
            <w:proofErr w:type="spellStart"/>
            <w:r w:rsidRPr="00CA2A25">
              <w:rPr>
                <w:rFonts w:ascii="Source Sans Pro" w:hAnsi="Source Sans Pro" w:cs="Arial"/>
                <w:sz w:val="16"/>
                <w:szCs w:val="16"/>
              </w:rPr>
              <w:t>Invest</w:t>
            </w:r>
            <w:proofErr w:type="spellEnd"/>
          </w:p>
        </w:tc>
        <w:tc>
          <w:tcPr>
            <w:tcW w:w="2190" w:type="dxa"/>
            <w:vAlign w:val="center"/>
          </w:tcPr>
          <w:p w14:paraId="6805DD40" w14:textId="3B010F36" w:rsidR="00CA2A25" w:rsidRPr="00CA2A25" w:rsidRDefault="00CA2A25" w:rsidP="007E59AB">
            <w:pPr>
              <w:widowControl w:val="0"/>
              <w:jc w:val="center"/>
              <w:rPr>
                <w:rFonts w:ascii="Source Sans Pro" w:hAnsi="Source Sans Pro" w:cs="Arial"/>
                <w:sz w:val="16"/>
                <w:szCs w:val="16"/>
                <w:highlight w:val="yellow"/>
              </w:rPr>
            </w:pPr>
            <w:r w:rsidRPr="00CA2A25">
              <w:rPr>
                <w:rFonts w:ascii="Source Sans Pro" w:hAnsi="Source Sans Pro" w:cs="Arial"/>
                <w:sz w:val="16"/>
                <w:szCs w:val="16"/>
              </w:rPr>
              <w:t>Black Horse Properties</w:t>
            </w:r>
          </w:p>
        </w:tc>
        <w:tc>
          <w:tcPr>
            <w:tcW w:w="1014" w:type="dxa"/>
            <w:vAlign w:val="center"/>
          </w:tcPr>
          <w:p w14:paraId="4405CCE5" w14:textId="32FF846A" w:rsidR="00CA2A25" w:rsidRPr="00CA2A25" w:rsidRDefault="00CA2A25" w:rsidP="007E59AB">
            <w:pPr>
              <w:widowControl w:val="0"/>
              <w:jc w:val="center"/>
              <w:rPr>
                <w:rFonts w:ascii="Source Sans Pro" w:hAnsi="Source Sans Pro" w:cs="Arial"/>
                <w:sz w:val="16"/>
                <w:szCs w:val="16"/>
                <w:highlight w:val="yellow"/>
              </w:rPr>
            </w:pPr>
            <w:r w:rsidRPr="00CA2A25">
              <w:rPr>
                <w:rFonts w:ascii="Source Sans Pro" w:hAnsi="Source Sans Pro" w:cs="Arial"/>
                <w:sz w:val="16"/>
                <w:szCs w:val="16"/>
              </w:rPr>
              <w:t>250</w:t>
            </w:r>
          </w:p>
        </w:tc>
      </w:tr>
      <w:tr w:rsidR="00241995" w:rsidRPr="00161817" w14:paraId="43253B1D" w14:textId="77777777" w:rsidTr="00241995">
        <w:trPr>
          <w:trHeight w:val="552"/>
        </w:trPr>
        <w:tc>
          <w:tcPr>
            <w:tcW w:w="687" w:type="dxa"/>
            <w:shd w:val="clear" w:color="auto" w:fill="E7E6E6" w:themeFill="background2"/>
            <w:vAlign w:val="center"/>
          </w:tcPr>
          <w:p w14:paraId="3A37CAAA" w14:textId="04D2C3C1"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HH</w:t>
            </w:r>
          </w:p>
        </w:tc>
        <w:tc>
          <w:tcPr>
            <w:tcW w:w="2682" w:type="dxa"/>
            <w:shd w:val="clear" w:color="auto" w:fill="E7E6E6" w:themeFill="background2"/>
            <w:vAlign w:val="center"/>
          </w:tcPr>
          <w:p w14:paraId="0966A232" w14:textId="24AC8919"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 xml:space="preserve">"Alsterhaus", </w:t>
            </w:r>
            <w:proofErr w:type="spellStart"/>
            <w:r w:rsidRPr="00F91B25">
              <w:rPr>
                <w:rFonts w:ascii="Source Sans Pro" w:hAnsi="Source Sans Pro" w:cs="Arial"/>
                <w:sz w:val="16"/>
                <w:szCs w:val="16"/>
              </w:rPr>
              <w:t>Jungferntieg</w:t>
            </w:r>
            <w:proofErr w:type="spellEnd"/>
            <w:r w:rsidRPr="00F91B25">
              <w:rPr>
                <w:rFonts w:ascii="Source Sans Pro" w:hAnsi="Source Sans Pro" w:cs="Arial"/>
                <w:sz w:val="16"/>
                <w:szCs w:val="16"/>
              </w:rPr>
              <w:t xml:space="preserve"> 16</w:t>
            </w:r>
          </w:p>
        </w:tc>
        <w:tc>
          <w:tcPr>
            <w:tcW w:w="2658" w:type="dxa"/>
            <w:shd w:val="clear" w:color="auto" w:fill="E7E6E6" w:themeFill="background2"/>
            <w:vAlign w:val="center"/>
          </w:tcPr>
          <w:p w14:paraId="416901C0" w14:textId="0A145096"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Schoeller Group/Versorgungskasse</w:t>
            </w:r>
          </w:p>
        </w:tc>
        <w:tc>
          <w:tcPr>
            <w:tcW w:w="2190" w:type="dxa"/>
            <w:shd w:val="clear" w:color="auto" w:fill="E7E6E6" w:themeFill="background2"/>
            <w:vAlign w:val="center"/>
          </w:tcPr>
          <w:p w14:paraId="7474F551" w14:textId="48644F6D" w:rsidR="00241995" w:rsidRPr="005A4BF4" w:rsidRDefault="00241995" w:rsidP="00241995">
            <w:pPr>
              <w:widowControl w:val="0"/>
              <w:jc w:val="center"/>
              <w:rPr>
                <w:rFonts w:ascii="Source Sans Pro" w:hAnsi="Source Sans Pro" w:cs="Arial"/>
                <w:sz w:val="16"/>
                <w:szCs w:val="16"/>
              </w:rPr>
            </w:pPr>
            <w:r w:rsidRPr="00595044">
              <w:rPr>
                <w:rFonts w:ascii="Source Sans Pro" w:hAnsi="Source Sans Pro" w:cs="Arial"/>
                <w:sz w:val="16"/>
                <w:szCs w:val="16"/>
              </w:rPr>
              <w:t>Signa Gruppe (Insolvenzverwalter)</w:t>
            </w:r>
          </w:p>
        </w:tc>
        <w:tc>
          <w:tcPr>
            <w:tcW w:w="1014" w:type="dxa"/>
            <w:shd w:val="clear" w:color="auto" w:fill="E7E6E6" w:themeFill="background2"/>
            <w:vAlign w:val="center"/>
          </w:tcPr>
          <w:p w14:paraId="45F42B12" w14:textId="4B47E6A2" w:rsidR="00241995" w:rsidRPr="005A4BF4" w:rsidRDefault="00241995" w:rsidP="00241995">
            <w:pPr>
              <w:widowControl w:val="0"/>
              <w:jc w:val="center"/>
              <w:rPr>
                <w:rFonts w:ascii="Source Sans Pro" w:hAnsi="Source Sans Pro" w:cs="Arial"/>
                <w:sz w:val="16"/>
                <w:szCs w:val="16"/>
              </w:rPr>
            </w:pPr>
            <w:r w:rsidRPr="00595044">
              <w:rPr>
                <w:rFonts w:ascii="Source Sans Pro" w:hAnsi="Source Sans Pro" w:cs="Arial"/>
                <w:sz w:val="16"/>
                <w:szCs w:val="16"/>
              </w:rPr>
              <w:t>&gt; 150</w:t>
            </w:r>
          </w:p>
        </w:tc>
      </w:tr>
      <w:tr w:rsidR="00241995" w:rsidRPr="00161817" w14:paraId="7722CF19" w14:textId="77777777" w:rsidTr="00F40B12">
        <w:trPr>
          <w:trHeight w:val="552"/>
        </w:trPr>
        <w:tc>
          <w:tcPr>
            <w:tcW w:w="687" w:type="dxa"/>
            <w:vAlign w:val="center"/>
          </w:tcPr>
          <w:p w14:paraId="45564CC2" w14:textId="1F0E4045"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FFM</w:t>
            </w:r>
          </w:p>
        </w:tc>
        <w:tc>
          <w:tcPr>
            <w:tcW w:w="2682" w:type="dxa"/>
            <w:vAlign w:val="center"/>
          </w:tcPr>
          <w:p w14:paraId="1ACB979B" w14:textId="00C459E8"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w:t>
            </w:r>
            <w:proofErr w:type="spellStart"/>
            <w:r w:rsidRPr="005A4BF4">
              <w:rPr>
                <w:rFonts w:ascii="Source Sans Pro" w:hAnsi="Source Sans Pro" w:cs="Arial"/>
                <w:sz w:val="16"/>
                <w:szCs w:val="16"/>
              </w:rPr>
              <w:t>Overture</w:t>
            </w:r>
            <w:proofErr w:type="spellEnd"/>
            <w:r w:rsidRPr="005A4BF4">
              <w:rPr>
                <w:rFonts w:ascii="Source Sans Pro" w:hAnsi="Source Sans Pro" w:cs="Arial"/>
                <w:sz w:val="16"/>
                <w:szCs w:val="16"/>
              </w:rPr>
              <w:t>", Junghofstraße 13-15</w:t>
            </w:r>
          </w:p>
        </w:tc>
        <w:tc>
          <w:tcPr>
            <w:tcW w:w="2658" w:type="dxa"/>
            <w:vAlign w:val="center"/>
          </w:tcPr>
          <w:p w14:paraId="0F83C2B8" w14:textId="07B9CDA9"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Versicherungskammer Bayern</w:t>
            </w:r>
          </w:p>
        </w:tc>
        <w:tc>
          <w:tcPr>
            <w:tcW w:w="2190" w:type="dxa"/>
            <w:vAlign w:val="center"/>
          </w:tcPr>
          <w:p w14:paraId="4CD1C32B" w14:textId="7E137E98"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Shaftesbury Real Estate Partners 1</w:t>
            </w:r>
          </w:p>
        </w:tc>
        <w:tc>
          <w:tcPr>
            <w:tcW w:w="1014" w:type="dxa"/>
            <w:vAlign w:val="center"/>
          </w:tcPr>
          <w:p w14:paraId="2639168C" w14:textId="4CEC8D62"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70</w:t>
            </w:r>
          </w:p>
        </w:tc>
      </w:tr>
      <w:tr w:rsidR="00241995" w:rsidRPr="00161817" w14:paraId="09C00062" w14:textId="77777777" w:rsidTr="007E59AB">
        <w:trPr>
          <w:trHeight w:val="82"/>
        </w:trPr>
        <w:tc>
          <w:tcPr>
            <w:tcW w:w="687" w:type="dxa"/>
            <w:shd w:val="clear" w:color="auto" w:fill="7F7F7F" w:themeFill="text1" w:themeFillTint="80"/>
            <w:vAlign w:val="center"/>
          </w:tcPr>
          <w:p w14:paraId="1C573CA9" w14:textId="77777777" w:rsidR="00241995" w:rsidRPr="00CA2A25" w:rsidRDefault="00241995" w:rsidP="00241995">
            <w:pPr>
              <w:widowControl w:val="0"/>
              <w:jc w:val="center"/>
              <w:rPr>
                <w:rFonts w:ascii="Source Sans Pro" w:hAnsi="Source Sans Pro" w:cs="Arial"/>
                <w:sz w:val="16"/>
                <w:szCs w:val="16"/>
                <w:highlight w:val="yellow"/>
              </w:rPr>
            </w:pPr>
          </w:p>
        </w:tc>
        <w:tc>
          <w:tcPr>
            <w:tcW w:w="2682" w:type="dxa"/>
            <w:shd w:val="clear" w:color="auto" w:fill="7F7F7F" w:themeFill="text1" w:themeFillTint="80"/>
            <w:vAlign w:val="center"/>
          </w:tcPr>
          <w:p w14:paraId="59BEED65" w14:textId="77777777" w:rsidR="00241995" w:rsidRPr="00CA2A25" w:rsidRDefault="00241995" w:rsidP="00241995">
            <w:pPr>
              <w:widowControl w:val="0"/>
              <w:jc w:val="center"/>
              <w:rPr>
                <w:rFonts w:ascii="Source Sans Pro" w:hAnsi="Source Sans Pro" w:cs="Arial"/>
                <w:sz w:val="16"/>
                <w:szCs w:val="16"/>
                <w:highlight w:val="yellow"/>
              </w:rPr>
            </w:pPr>
          </w:p>
        </w:tc>
        <w:tc>
          <w:tcPr>
            <w:tcW w:w="2658" w:type="dxa"/>
            <w:shd w:val="clear" w:color="auto" w:fill="7F7F7F" w:themeFill="text1" w:themeFillTint="80"/>
            <w:vAlign w:val="center"/>
          </w:tcPr>
          <w:p w14:paraId="0CA618E8" w14:textId="77777777" w:rsidR="00241995" w:rsidRPr="00CA2A25" w:rsidRDefault="00241995" w:rsidP="00241995">
            <w:pPr>
              <w:widowControl w:val="0"/>
              <w:jc w:val="center"/>
              <w:rPr>
                <w:rFonts w:ascii="Source Sans Pro" w:hAnsi="Source Sans Pro" w:cs="Arial"/>
                <w:sz w:val="16"/>
                <w:szCs w:val="16"/>
                <w:highlight w:val="yellow"/>
              </w:rPr>
            </w:pPr>
          </w:p>
        </w:tc>
        <w:tc>
          <w:tcPr>
            <w:tcW w:w="2190" w:type="dxa"/>
            <w:shd w:val="clear" w:color="auto" w:fill="7F7F7F" w:themeFill="text1" w:themeFillTint="80"/>
            <w:vAlign w:val="center"/>
          </w:tcPr>
          <w:p w14:paraId="5B162E42" w14:textId="77777777" w:rsidR="00241995" w:rsidRPr="00CA2A25" w:rsidRDefault="00241995" w:rsidP="00241995">
            <w:pPr>
              <w:widowControl w:val="0"/>
              <w:jc w:val="center"/>
              <w:rPr>
                <w:rFonts w:ascii="Source Sans Pro" w:hAnsi="Source Sans Pro" w:cs="Arial"/>
                <w:sz w:val="16"/>
                <w:szCs w:val="16"/>
                <w:highlight w:val="yellow"/>
              </w:rPr>
            </w:pPr>
          </w:p>
        </w:tc>
        <w:tc>
          <w:tcPr>
            <w:tcW w:w="1014" w:type="dxa"/>
            <w:shd w:val="clear" w:color="auto" w:fill="7F7F7F" w:themeFill="text1" w:themeFillTint="80"/>
            <w:vAlign w:val="center"/>
          </w:tcPr>
          <w:p w14:paraId="7CF979BB" w14:textId="77777777" w:rsidR="00241995" w:rsidRPr="00CA2A25" w:rsidRDefault="00241995" w:rsidP="00241995">
            <w:pPr>
              <w:widowControl w:val="0"/>
              <w:jc w:val="center"/>
              <w:rPr>
                <w:rFonts w:ascii="Source Sans Pro" w:hAnsi="Source Sans Pro" w:cs="Arial"/>
                <w:sz w:val="16"/>
                <w:szCs w:val="16"/>
                <w:highlight w:val="yellow"/>
              </w:rPr>
            </w:pPr>
          </w:p>
        </w:tc>
      </w:tr>
      <w:tr w:rsidR="00241995" w:rsidRPr="00161817" w14:paraId="4A4A97B4" w14:textId="77777777" w:rsidTr="00F91B25">
        <w:trPr>
          <w:trHeight w:val="552"/>
        </w:trPr>
        <w:tc>
          <w:tcPr>
            <w:tcW w:w="687" w:type="dxa"/>
            <w:shd w:val="clear" w:color="auto" w:fill="E7E6E6" w:themeFill="background2"/>
            <w:vAlign w:val="center"/>
          </w:tcPr>
          <w:p w14:paraId="04C5BB8D" w14:textId="5211D467"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lastRenderedPageBreak/>
              <w:t>DUS</w:t>
            </w:r>
          </w:p>
        </w:tc>
        <w:tc>
          <w:tcPr>
            <w:tcW w:w="2682" w:type="dxa"/>
            <w:shd w:val="clear" w:color="auto" w:fill="E7E6E6" w:themeFill="background2"/>
            <w:vAlign w:val="center"/>
          </w:tcPr>
          <w:p w14:paraId="30B8D4EF" w14:textId="1C2DF7BC"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"The Tube", Reisholzer Bahnstraße 39</w:t>
            </w:r>
          </w:p>
        </w:tc>
        <w:tc>
          <w:tcPr>
            <w:tcW w:w="2658" w:type="dxa"/>
            <w:shd w:val="clear" w:color="auto" w:fill="E7E6E6" w:themeFill="background2"/>
            <w:vAlign w:val="center"/>
          </w:tcPr>
          <w:p w14:paraId="3DCD9DF4" w14:textId="61EC33E6"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 xml:space="preserve">Frasers </w:t>
            </w:r>
            <w:proofErr w:type="spellStart"/>
            <w:r w:rsidRPr="00F91B25">
              <w:rPr>
                <w:rFonts w:ascii="Source Sans Pro" w:hAnsi="Source Sans Pro" w:cs="Arial"/>
                <w:sz w:val="16"/>
                <w:szCs w:val="16"/>
              </w:rPr>
              <w:t>Logistics</w:t>
            </w:r>
            <w:proofErr w:type="spellEnd"/>
            <w:r w:rsidRPr="00F91B25">
              <w:rPr>
                <w:rFonts w:ascii="Source Sans Pro" w:hAnsi="Source Sans Pro" w:cs="Arial"/>
                <w:sz w:val="16"/>
                <w:szCs w:val="16"/>
              </w:rPr>
              <w:t xml:space="preserve"> &amp; Commercial Trust (FLCT)</w:t>
            </w:r>
          </w:p>
        </w:tc>
        <w:tc>
          <w:tcPr>
            <w:tcW w:w="2190" w:type="dxa"/>
            <w:shd w:val="clear" w:color="auto" w:fill="E7E6E6" w:themeFill="background2"/>
            <w:vAlign w:val="center"/>
          </w:tcPr>
          <w:p w14:paraId="14317E46" w14:textId="50F4DA11"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Frasers Property Limited (FPL)</w:t>
            </w:r>
          </w:p>
        </w:tc>
        <w:tc>
          <w:tcPr>
            <w:tcW w:w="1014" w:type="dxa"/>
            <w:shd w:val="clear" w:color="auto" w:fill="E7E6E6" w:themeFill="background2"/>
            <w:vAlign w:val="center"/>
          </w:tcPr>
          <w:p w14:paraId="49C5F4BB" w14:textId="11DDEEBB"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vertraulich</w:t>
            </w:r>
          </w:p>
        </w:tc>
      </w:tr>
      <w:tr w:rsidR="00241995" w:rsidRPr="00161817" w14:paraId="5426EE1E" w14:textId="77777777" w:rsidTr="00BE3BBC">
        <w:trPr>
          <w:trHeight w:val="552"/>
        </w:trPr>
        <w:tc>
          <w:tcPr>
            <w:tcW w:w="687" w:type="dxa"/>
            <w:shd w:val="clear" w:color="auto" w:fill="E7E6E6" w:themeFill="background2"/>
            <w:vAlign w:val="center"/>
          </w:tcPr>
          <w:p w14:paraId="2B8EB94E" w14:textId="79CC9CB3"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BER</w:t>
            </w:r>
          </w:p>
        </w:tc>
        <w:tc>
          <w:tcPr>
            <w:tcW w:w="2682" w:type="dxa"/>
            <w:shd w:val="clear" w:color="auto" w:fill="E7E6E6" w:themeFill="background2"/>
            <w:vAlign w:val="center"/>
          </w:tcPr>
          <w:p w14:paraId="1D67AA33" w14:textId="2E6CB109"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w:t>
            </w:r>
            <w:r w:rsidRPr="00BE3BBC">
              <w:rPr>
                <w:rFonts w:ascii="Source Sans Pro" w:hAnsi="Source Sans Pro" w:cs="Arial"/>
                <w:sz w:val="16"/>
                <w:szCs w:val="16"/>
              </w:rPr>
              <w:t>BERLIN DECKS</w:t>
            </w:r>
            <w:r>
              <w:rPr>
                <w:rFonts w:ascii="Source Sans Pro" w:hAnsi="Source Sans Pro" w:cs="Arial"/>
                <w:sz w:val="16"/>
                <w:szCs w:val="16"/>
              </w:rPr>
              <w:t>“</w:t>
            </w:r>
            <w:r w:rsidRPr="00BE3BBC">
              <w:rPr>
                <w:rFonts w:ascii="Source Sans Pro" w:hAnsi="Source Sans Pro" w:cs="Arial"/>
                <w:sz w:val="16"/>
                <w:szCs w:val="16"/>
              </w:rPr>
              <w:t>, Friedrich-Krause-Ufer 16-21</w:t>
            </w:r>
          </w:p>
        </w:tc>
        <w:tc>
          <w:tcPr>
            <w:tcW w:w="2658" w:type="dxa"/>
            <w:shd w:val="clear" w:color="auto" w:fill="E7E6E6" w:themeFill="background2"/>
            <w:vAlign w:val="center"/>
          </w:tcPr>
          <w:p w14:paraId="2CF9173B" w14:textId="7D839F3A" w:rsidR="00241995" w:rsidRPr="005A4BF4" w:rsidRDefault="00241995" w:rsidP="00241995">
            <w:pPr>
              <w:widowControl w:val="0"/>
              <w:jc w:val="center"/>
              <w:rPr>
                <w:rFonts w:ascii="Source Sans Pro" w:hAnsi="Source Sans Pro" w:cs="Arial"/>
                <w:sz w:val="16"/>
                <w:szCs w:val="16"/>
              </w:rPr>
            </w:pPr>
            <w:r w:rsidRPr="00BE3BBC">
              <w:rPr>
                <w:rFonts w:ascii="Source Sans Pro" w:hAnsi="Source Sans Pro" w:cs="Arial"/>
                <w:sz w:val="16"/>
                <w:szCs w:val="16"/>
              </w:rPr>
              <w:t>Swiss Life für Fonds Berlin Prime Innovation</w:t>
            </w:r>
          </w:p>
        </w:tc>
        <w:tc>
          <w:tcPr>
            <w:tcW w:w="2190" w:type="dxa"/>
            <w:shd w:val="clear" w:color="auto" w:fill="E7E6E6" w:themeFill="background2"/>
            <w:vAlign w:val="center"/>
          </w:tcPr>
          <w:p w14:paraId="6AFD0ED1" w14:textId="7E155D9C" w:rsidR="00241995" w:rsidRPr="005A4BF4" w:rsidRDefault="00241995" w:rsidP="00241995">
            <w:pPr>
              <w:widowControl w:val="0"/>
              <w:jc w:val="center"/>
              <w:rPr>
                <w:rFonts w:ascii="Source Sans Pro" w:hAnsi="Source Sans Pro" w:cs="Arial"/>
                <w:sz w:val="16"/>
                <w:szCs w:val="16"/>
              </w:rPr>
            </w:pPr>
            <w:r w:rsidRPr="00BE3BBC">
              <w:rPr>
                <w:rFonts w:ascii="Source Sans Pro" w:hAnsi="Source Sans Pro" w:cs="Arial"/>
                <w:sz w:val="16"/>
                <w:szCs w:val="16"/>
              </w:rPr>
              <w:t>BCP Friedrich-Krause-Ufer GmbH &amp; Co. KG</w:t>
            </w:r>
          </w:p>
        </w:tc>
        <w:tc>
          <w:tcPr>
            <w:tcW w:w="1014" w:type="dxa"/>
            <w:shd w:val="clear" w:color="auto" w:fill="E7E6E6" w:themeFill="background2"/>
            <w:vAlign w:val="center"/>
          </w:tcPr>
          <w:p w14:paraId="092E66B5" w14:textId="0C76BAF0"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vertraulich</w:t>
            </w:r>
          </w:p>
        </w:tc>
      </w:tr>
      <w:tr w:rsidR="00241995" w:rsidRPr="00161817" w14:paraId="3FE1F024" w14:textId="77777777" w:rsidTr="00241995">
        <w:trPr>
          <w:trHeight w:val="552"/>
        </w:trPr>
        <w:tc>
          <w:tcPr>
            <w:tcW w:w="687" w:type="dxa"/>
            <w:shd w:val="clear" w:color="auto" w:fill="E7E6E6" w:themeFill="background2"/>
            <w:vAlign w:val="center"/>
          </w:tcPr>
          <w:p w14:paraId="3A71E418" w14:textId="3F775B30"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HH</w:t>
            </w:r>
          </w:p>
        </w:tc>
        <w:tc>
          <w:tcPr>
            <w:tcW w:w="2682" w:type="dxa"/>
            <w:shd w:val="clear" w:color="auto" w:fill="E7E6E6" w:themeFill="background2"/>
            <w:vAlign w:val="center"/>
          </w:tcPr>
          <w:p w14:paraId="3E4832DA" w14:textId="60F225F7"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w:t>
            </w:r>
            <w:proofErr w:type="spellStart"/>
            <w:r w:rsidRPr="00F91B25">
              <w:rPr>
                <w:rFonts w:ascii="Source Sans Pro" w:hAnsi="Source Sans Pro" w:cs="Arial"/>
                <w:sz w:val="16"/>
                <w:szCs w:val="16"/>
              </w:rPr>
              <w:t>TriPort</w:t>
            </w:r>
            <w:proofErr w:type="spellEnd"/>
            <w:r w:rsidRPr="00F91B25">
              <w:rPr>
                <w:rFonts w:ascii="Source Sans Pro" w:hAnsi="Source Sans Pro" w:cs="Arial"/>
                <w:sz w:val="16"/>
                <w:szCs w:val="16"/>
              </w:rPr>
              <w:t>", Seehafenstraße 24</w:t>
            </w:r>
          </w:p>
        </w:tc>
        <w:tc>
          <w:tcPr>
            <w:tcW w:w="2658" w:type="dxa"/>
            <w:shd w:val="clear" w:color="auto" w:fill="E7E6E6" w:themeFill="background2"/>
            <w:vAlign w:val="center"/>
          </w:tcPr>
          <w:p w14:paraId="72D3AFA2" w14:textId="44A7534A"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 xml:space="preserve">HIH </w:t>
            </w:r>
            <w:proofErr w:type="spellStart"/>
            <w:r w:rsidRPr="00F91B25">
              <w:rPr>
                <w:rFonts w:ascii="Source Sans Pro" w:hAnsi="Source Sans Pro" w:cs="Arial"/>
                <w:sz w:val="16"/>
                <w:szCs w:val="16"/>
              </w:rPr>
              <w:t>Invest</w:t>
            </w:r>
            <w:proofErr w:type="spellEnd"/>
            <w:r w:rsidRPr="00F91B25">
              <w:rPr>
                <w:rFonts w:ascii="Source Sans Pro" w:hAnsi="Source Sans Pro" w:cs="Arial"/>
                <w:sz w:val="16"/>
                <w:szCs w:val="16"/>
              </w:rPr>
              <w:t xml:space="preserve">/Urban Partners </w:t>
            </w:r>
          </w:p>
        </w:tc>
        <w:tc>
          <w:tcPr>
            <w:tcW w:w="2190" w:type="dxa"/>
            <w:shd w:val="clear" w:color="auto" w:fill="E7E6E6" w:themeFill="background2"/>
            <w:vAlign w:val="center"/>
          </w:tcPr>
          <w:p w14:paraId="3E05BCE8" w14:textId="62332090"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AD</w:t>
            </w:r>
            <w:r>
              <w:rPr>
                <w:rFonts w:ascii="Source Sans Pro" w:hAnsi="Source Sans Pro" w:cs="Arial"/>
                <w:sz w:val="16"/>
                <w:szCs w:val="16"/>
              </w:rPr>
              <w:t>M</w:t>
            </w:r>
            <w:r w:rsidRPr="00F91B25">
              <w:rPr>
                <w:rFonts w:ascii="Source Sans Pro" w:hAnsi="Source Sans Pro" w:cs="Arial"/>
                <w:sz w:val="16"/>
                <w:szCs w:val="16"/>
              </w:rPr>
              <w:t>/</w:t>
            </w:r>
            <w:proofErr w:type="spellStart"/>
            <w:r w:rsidRPr="00F91B25">
              <w:rPr>
                <w:rFonts w:ascii="Source Sans Pro" w:hAnsi="Source Sans Pro" w:cs="Arial"/>
                <w:sz w:val="16"/>
                <w:szCs w:val="16"/>
              </w:rPr>
              <w:t>Olenex</w:t>
            </w:r>
            <w:proofErr w:type="spellEnd"/>
          </w:p>
        </w:tc>
        <w:tc>
          <w:tcPr>
            <w:tcW w:w="1014" w:type="dxa"/>
            <w:shd w:val="clear" w:color="auto" w:fill="E7E6E6" w:themeFill="background2"/>
            <w:vAlign w:val="center"/>
          </w:tcPr>
          <w:p w14:paraId="7D2CEF36" w14:textId="5E75169E"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vertraulich</w:t>
            </w:r>
          </w:p>
        </w:tc>
      </w:tr>
      <w:tr w:rsidR="00241995" w:rsidRPr="00161817" w14:paraId="2BAA2D32" w14:textId="77777777" w:rsidTr="00241995">
        <w:trPr>
          <w:trHeight w:val="552"/>
        </w:trPr>
        <w:tc>
          <w:tcPr>
            <w:tcW w:w="687" w:type="dxa"/>
            <w:shd w:val="clear" w:color="auto" w:fill="E7E6E6" w:themeFill="background2"/>
            <w:vAlign w:val="center"/>
          </w:tcPr>
          <w:p w14:paraId="3E8D2DFC" w14:textId="4CF1913A"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FFM</w:t>
            </w:r>
          </w:p>
        </w:tc>
        <w:tc>
          <w:tcPr>
            <w:tcW w:w="2682" w:type="dxa"/>
            <w:shd w:val="clear" w:color="auto" w:fill="E7E6E6" w:themeFill="background2"/>
            <w:vAlign w:val="center"/>
          </w:tcPr>
          <w:p w14:paraId="4929E407" w14:textId="6A5D3223"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 xml:space="preserve">"Essentials </w:t>
            </w:r>
            <w:proofErr w:type="spellStart"/>
            <w:r w:rsidRPr="00F91B25">
              <w:rPr>
                <w:rFonts w:ascii="Source Sans Pro" w:hAnsi="Source Sans Pro" w:cs="Arial"/>
                <w:sz w:val="16"/>
                <w:szCs w:val="16"/>
              </w:rPr>
              <w:t>by</w:t>
            </w:r>
            <w:proofErr w:type="spellEnd"/>
            <w:r w:rsidRPr="00F91B25">
              <w:rPr>
                <w:rFonts w:ascii="Source Sans Pro" w:hAnsi="Source Sans Pro" w:cs="Arial"/>
                <w:sz w:val="16"/>
                <w:szCs w:val="16"/>
              </w:rPr>
              <w:t xml:space="preserve"> Dorint Hotel", Hahnstraße 9</w:t>
            </w:r>
          </w:p>
        </w:tc>
        <w:tc>
          <w:tcPr>
            <w:tcW w:w="2658" w:type="dxa"/>
            <w:shd w:val="clear" w:color="auto" w:fill="E7E6E6" w:themeFill="background2"/>
            <w:vAlign w:val="center"/>
          </w:tcPr>
          <w:p w14:paraId="671DC552" w14:textId="14596147"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Franklin Templeton</w:t>
            </w:r>
          </w:p>
        </w:tc>
        <w:tc>
          <w:tcPr>
            <w:tcW w:w="2190" w:type="dxa"/>
            <w:shd w:val="clear" w:color="auto" w:fill="E7E6E6" w:themeFill="background2"/>
            <w:vAlign w:val="center"/>
          </w:tcPr>
          <w:p w14:paraId="7C27C063" w14:textId="43F59E3C"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Dorint Hotel in Frankfurt-Niederrad GmbH &amp; Co. KG</w:t>
            </w:r>
          </w:p>
        </w:tc>
        <w:tc>
          <w:tcPr>
            <w:tcW w:w="1014" w:type="dxa"/>
            <w:shd w:val="clear" w:color="auto" w:fill="E7E6E6" w:themeFill="background2"/>
            <w:vAlign w:val="center"/>
          </w:tcPr>
          <w:p w14:paraId="1C0CA1DC" w14:textId="40C43B8A"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vertraulich</w:t>
            </w:r>
          </w:p>
        </w:tc>
      </w:tr>
      <w:tr w:rsidR="00241995" w:rsidRPr="00161817" w14:paraId="1585B5AF" w14:textId="77777777" w:rsidTr="00F40B12">
        <w:trPr>
          <w:trHeight w:val="552"/>
        </w:trPr>
        <w:tc>
          <w:tcPr>
            <w:tcW w:w="687" w:type="dxa"/>
            <w:vAlign w:val="center"/>
          </w:tcPr>
          <w:p w14:paraId="2BE791B1" w14:textId="35C9DFB0"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CGN</w:t>
            </w:r>
          </w:p>
        </w:tc>
        <w:tc>
          <w:tcPr>
            <w:tcW w:w="2682" w:type="dxa"/>
            <w:vAlign w:val="center"/>
          </w:tcPr>
          <w:p w14:paraId="6DCCFE14" w14:textId="6B35F84D"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Nördlicher Teil des "Deutz-Areals"</w:t>
            </w:r>
          </w:p>
        </w:tc>
        <w:tc>
          <w:tcPr>
            <w:tcW w:w="2658" w:type="dxa"/>
            <w:vAlign w:val="center"/>
          </w:tcPr>
          <w:p w14:paraId="6C3C29BE" w14:textId="26494600"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Institutioneller Investor</w:t>
            </w:r>
          </w:p>
        </w:tc>
        <w:tc>
          <w:tcPr>
            <w:tcW w:w="2190" w:type="dxa"/>
            <w:vAlign w:val="center"/>
          </w:tcPr>
          <w:p w14:paraId="5B1A4E31" w14:textId="2ADEE52C"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Gateway Real Estate</w:t>
            </w:r>
          </w:p>
        </w:tc>
        <w:tc>
          <w:tcPr>
            <w:tcW w:w="1014" w:type="dxa"/>
            <w:vAlign w:val="center"/>
          </w:tcPr>
          <w:p w14:paraId="1B36847F" w14:textId="0CFF1922"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vertraulich</w:t>
            </w:r>
          </w:p>
        </w:tc>
      </w:tr>
      <w:tr w:rsidR="00241995" w:rsidRPr="00161817" w14:paraId="0B78E6CD" w14:textId="77777777" w:rsidTr="00F40B12">
        <w:trPr>
          <w:trHeight w:val="552"/>
        </w:trPr>
        <w:tc>
          <w:tcPr>
            <w:tcW w:w="687" w:type="dxa"/>
            <w:vAlign w:val="center"/>
          </w:tcPr>
          <w:p w14:paraId="576C9D5C" w14:textId="4096E2FF"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FFM</w:t>
            </w:r>
          </w:p>
        </w:tc>
        <w:tc>
          <w:tcPr>
            <w:tcW w:w="2682" w:type="dxa"/>
            <w:vAlign w:val="center"/>
          </w:tcPr>
          <w:p w14:paraId="7CDDAAC2" w14:textId="08E81E1E"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"Fifty Avon", Mainzer Landstraße 50</w:t>
            </w:r>
          </w:p>
        </w:tc>
        <w:tc>
          <w:tcPr>
            <w:tcW w:w="2658" w:type="dxa"/>
            <w:vAlign w:val="center"/>
          </w:tcPr>
          <w:p w14:paraId="5EECDA99" w14:textId="448E756E"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DZ-Bank</w:t>
            </w:r>
          </w:p>
        </w:tc>
        <w:tc>
          <w:tcPr>
            <w:tcW w:w="2190" w:type="dxa"/>
            <w:vAlign w:val="center"/>
          </w:tcPr>
          <w:p w14:paraId="3F8AFED1" w14:textId="6A3E59A4"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Starwood Capital/Cells Property Investors GmbH</w:t>
            </w:r>
          </w:p>
        </w:tc>
        <w:tc>
          <w:tcPr>
            <w:tcW w:w="1014" w:type="dxa"/>
            <w:vAlign w:val="center"/>
          </w:tcPr>
          <w:p w14:paraId="525E6C98" w14:textId="0547215E" w:rsidR="00241995" w:rsidRPr="005A4BF4" w:rsidRDefault="00241995" w:rsidP="00241995">
            <w:pPr>
              <w:widowControl w:val="0"/>
              <w:jc w:val="center"/>
              <w:rPr>
                <w:rFonts w:ascii="Source Sans Pro" w:hAnsi="Source Sans Pro" w:cs="Arial"/>
                <w:sz w:val="16"/>
                <w:szCs w:val="16"/>
              </w:rPr>
            </w:pPr>
            <w:r w:rsidRPr="005A4BF4">
              <w:rPr>
                <w:rFonts w:ascii="Source Sans Pro" w:hAnsi="Source Sans Pro" w:cs="Arial"/>
                <w:sz w:val="16"/>
                <w:szCs w:val="16"/>
              </w:rPr>
              <w:t>vertraulich</w:t>
            </w:r>
          </w:p>
        </w:tc>
      </w:tr>
      <w:tr w:rsidR="00241995" w:rsidRPr="00161817" w14:paraId="0EC1C3E7" w14:textId="77777777" w:rsidTr="00F40B12">
        <w:trPr>
          <w:trHeight w:val="552"/>
        </w:trPr>
        <w:tc>
          <w:tcPr>
            <w:tcW w:w="687" w:type="dxa"/>
            <w:vAlign w:val="center"/>
          </w:tcPr>
          <w:p w14:paraId="405AA306" w14:textId="0236CDDF"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HH</w:t>
            </w:r>
          </w:p>
        </w:tc>
        <w:tc>
          <w:tcPr>
            <w:tcW w:w="2682" w:type="dxa"/>
            <w:vAlign w:val="center"/>
          </w:tcPr>
          <w:p w14:paraId="702CF298" w14:textId="14CC1AA7"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 xml:space="preserve">"Deutsche Bank", </w:t>
            </w:r>
            <w:r w:rsidRPr="00540C49">
              <w:rPr>
                <w:rFonts w:ascii="Source Sans Pro" w:hAnsi="Source Sans Pro" w:cs="Arial"/>
                <w:sz w:val="16"/>
                <w:szCs w:val="16"/>
              </w:rPr>
              <w:t>Alter Wall 37-53</w:t>
            </w:r>
            <w:r>
              <w:rPr>
                <w:rFonts w:ascii="Source Sans Pro" w:hAnsi="Source Sans Pro" w:cs="Arial"/>
                <w:sz w:val="16"/>
                <w:szCs w:val="16"/>
              </w:rPr>
              <w:t xml:space="preserve"> </w:t>
            </w:r>
            <w:r w:rsidRPr="00540C49">
              <w:rPr>
                <w:rFonts w:ascii="Source Sans Pro" w:hAnsi="Source Sans Pro" w:cs="Arial"/>
                <w:sz w:val="16"/>
                <w:szCs w:val="16"/>
              </w:rPr>
              <w:t>/</w:t>
            </w:r>
            <w:r>
              <w:rPr>
                <w:rFonts w:ascii="Source Sans Pro" w:hAnsi="Source Sans Pro" w:cs="Arial"/>
                <w:sz w:val="16"/>
                <w:szCs w:val="16"/>
              </w:rPr>
              <w:t xml:space="preserve"> </w:t>
            </w:r>
            <w:proofErr w:type="spellStart"/>
            <w:r w:rsidRPr="00540C49">
              <w:rPr>
                <w:rFonts w:ascii="Source Sans Pro" w:hAnsi="Source Sans Pro" w:cs="Arial"/>
                <w:sz w:val="16"/>
                <w:szCs w:val="16"/>
              </w:rPr>
              <w:t>Adolphsplatz</w:t>
            </w:r>
            <w:proofErr w:type="spellEnd"/>
          </w:p>
        </w:tc>
        <w:tc>
          <w:tcPr>
            <w:tcW w:w="2658" w:type="dxa"/>
            <w:vAlign w:val="center"/>
          </w:tcPr>
          <w:p w14:paraId="0763B41F" w14:textId="79ED4E3E" w:rsidR="00241995" w:rsidRPr="005A4BF4" w:rsidRDefault="00241995" w:rsidP="00241995">
            <w:pPr>
              <w:widowControl w:val="0"/>
              <w:jc w:val="center"/>
              <w:rPr>
                <w:rFonts w:ascii="Source Sans Pro" w:hAnsi="Source Sans Pro" w:cs="Arial"/>
                <w:sz w:val="16"/>
                <w:szCs w:val="16"/>
              </w:rPr>
            </w:pPr>
            <w:r w:rsidRPr="00F91B25">
              <w:rPr>
                <w:rFonts w:ascii="Source Sans Pro" w:hAnsi="Source Sans Pro" w:cs="Arial"/>
                <w:sz w:val="16"/>
                <w:szCs w:val="16"/>
              </w:rPr>
              <w:t>Art-</w:t>
            </w:r>
            <w:proofErr w:type="spellStart"/>
            <w:r w:rsidRPr="00F91B25">
              <w:rPr>
                <w:rFonts w:ascii="Source Sans Pro" w:hAnsi="Source Sans Pro" w:cs="Arial"/>
                <w:sz w:val="16"/>
                <w:szCs w:val="16"/>
              </w:rPr>
              <w:t>Invest</w:t>
            </w:r>
            <w:proofErr w:type="spellEnd"/>
            <w:r w:rsidRPr="00F91B25">
              <w:rPr>
                <w:rFonts w:ascii="Source Sans Pro" w:hAnsi="Source Sans Pro" w:cs="Arial"/>
                <w:sz w:val="16"/>
                <w:szCs w:val="16"/>
              </w:rPr>
              <w:t xml:space="preserve"> Real Estate</w:t>
            </w:r>
          </w:p>
        </w:tc>
        <w:tc>
          <w:tcPr>
            <w:tcW w:w="2190" w:type="dxa"/>
            <w:vAlign w:val="center"/>
          </w:tcPr>
          <w:p w14:paraId="1701C954" w14:textId="6250DBEA"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vertraulich</w:t>
            </w:r>
          </w:p>
        </w:tc>
        <w:tc>
          <w:tcPr>
            <w:tcW w:w="1014" w:type="dxa"/>
            <w:vAlign w:val="center"/>
          </w:tcPr>
          <w:p w14:paraId="3A955A9B" w14:textId="41E8F791" w:rsidR="00241995" w:rsidRPr="005A4BF4" w:rsidRDefault="00241995" w:rsidP="00241995">
            <w:pPr>
              <w:widowControl w:val="0"/>
              <w:jc w:val="center"/>
              <w:rPr>
                <w:rFonts w:ascii="Source Sans Pro" w:hAnsi="Source Sans Pro" w:cs="Arial"/>
                <w:sz w:val="16"/>
                <w:szCs w:val="16"/>
              </w:rPr>
            </w:pPr>
            <w:r>
              <w:rPr>
                <w:rFonts w:ascii="Source Sans Pro" w:hAnsi="Source Sans Pro" w:cs="Arial"/>
                <w:sz w:val="16"/>
                <w:szCs w:val="16"/>
              </w:rPr>
              <w:t>vertraulich</w:t>
            </w:r>
          </w:p>
        </w:tc>
      </w:tr>
      <w:tr w:rsidR="00241995" w:rsidRPr="00161817" w14:paraId="35CF97DA" w14:textId="77777777" w:rsidTr="00540C49">
        <w:trPr>
          <w:trHeight w:val="552"/>
        </w:trPr>
        <w:tc>
          <w:tcPr>
            <w:tcW w:w="687" w:type="dxa"/>
            <w:vAlign w:val="center"/>
          </w:tcPr>
          <w:p w14:paraId="51532228" w14:textId="77528E53" w:rsidR="00241995" w:rsidRDefault="00241995" w:rsidP="00241995">
            <w:pPr>
              <w:widowControl w:val="0"/>
              <w:jc w:val="center"/>
              <w:rPr>
                <w:rFonts w:ascii="Source Sans Pro" w:hAnsi="Source Sans Pro" w:cs="Arial"/>
                <w:sz w:val="16"/>
                <w:szCs w:val="16"/>
              </w:rPr>
            </w:pPr>
            <w:r>
              <w:rPr>
                <w:rFonts w:ascii="Source Sans Pro" w:hAnsi="Source Sans Pro" w:cs="Arial"/>
                <w:sz w:val="16"/>
                <w:szCs w:val="16"/>
              </w:rPr>
              <w:t>HH</w:t>
            </w:r>
          </w:p>
        </w:tc>
        <w:tc>
          <w:tcPr>
            <w:tcW w:w="2682" w:type="dxa"/>
            <w:vAlign w:val="center"/>
          </w:tcPr>
          <w:p w14:paraId="7D523690" w14:textId="352AEC81" w:rsidR="00241995" w:rsidRPr="00F91B25" w:rsidRDefault="00241995" w:rsidP="00241995">
            <w:pPr>
              <w:widowControl w:val="0"/>
              <w:jc w:val="center"/>
              <w:rPr>
                <w:rFonts w:ascii="Source Sans Pro" w:hAnsi="Source Sans Pro" w:cs="Arial"/>
                <w:sz w:val="16"/>
                <w:szCs w:val="16"/>
              </w:rPr>
            </w:pPr>
            <w:r>
              <w:rPr>
                <w:rFonts w:ascii="Source Sans Pro" w:hAnsi="Source Sans Pro" w:cs="Arial"/>
                <w:sz w:val="16"/>
                <w:szCs w:val="16"/>
              </w:rPr>
              <w:t xml:space="preserve">„Flow“, </w:t>
            </w:r>
            <w:proofErr w:type="spellStart"/>
            <w:r>
              <w:rPr>
                <w:rFonts w:ascii="Source Sans Pro" w:hAnsi="Source Sans Pro" w:cs="Arial"/>
                <w:sz w:val="16"/>
                <w:szCs w:val="16"/>
              </w:rPr>
              <w:t>Deelböge</w:t>
            </w:r>
            <w:proofErr w:type="spellEnd"/>
            <w:r>
              <w:rPr>
                <w:rFonts w:ascii="Source Sans Pro" w:hAnsi="Source Sans Pro" w:cs="Arial"/>
                <w:sz w:val="16"/>
                <w:szCs w:val="16"/>
              </w:rPr>
              <w:t xml:space="preserve"> 19</w:t>
            </w:r>
          </w:p>
        </w:tc>
        <w:tc>
          <w:tcPr>
            <w:tcW w:w="2658" w:type="dxa"/>
            <w:vAlign w:val="center"/>
          </w:tcPr>
          <w:p w14:paraId="560430F1" w14:textId="4ABFEF7F" w:rsidR="00241995" w:rsidRPr="00F91B25" w:rsidRDefault="00241995" w:rsidP="00241995">
            <w:pPr>
              <w:widowControl w:val="0"/>
              <w:jc w:val="center"/>
              <w:rPr>
                <w:rFonts w:ascii="Source Sans Pro" w:hAnsi="Source Sans Pro" w:cs="Arial"/>
                <w:sz w:val="16"/>
                <w:szCs w:val="16"/>
              </w:rPr>
            </w:pPr>
            <w:r>
              <w:rPr>
                <w:rFonts w:ascii="Source Sans Pro" w:hAnsi="Source Sans Pro" w:cs="Arial"/>
                <w:sz w:val="16"/>
                <w:szCs w:val="16"/>
              </w:rPr>
              <w:t>Bayerische Hausbau Real Estate</w:t>
            </w:r>
          </w:p>
        </w:tc>
        <w:tc>
          <w:tcPr>
            <w:tcW w:w="2190" w:type="dxa"/>
            <w:vAlign w:val="center"/>
          </w:tcPr>
          <w:p w14:paraId="79D6667D" w14:textId="4053C4C9" w:rsidR="00241995" w:rsidRPr="00F91B25" w:rsidRDefault="00241995" w:rsidP="00241995">
            <w:pPr>
              <w:widowControl w:val="0"/>
              <w:jc w:val="center"/>
              <w:rPr>
                <w:rFonts w:ascii="Source Sans Pro" w:hAnsi="Source Sans Pro" w:cs="Arial"/>
                <w:sz w:val="16"/>
                <w:szCs w:val="16"/>
              </w:rPr>
            </w:pPr>
            <w:r>
              <w:rPr>
                <w:rFonts w:ascii="Source Sans Pro" w:hAnsi="Source Sans Pro" w:cs="Arial"/>
                <w:sz w:val="16"/>
                <w:szCs w:val="16"/>
              </w:rPr>
              <w:t>Bayerische Hausbau Development/Matrix</w:t>
            </w:r>
          </w:p>
        </w:tc>
        <w:tc>
          <w:tcPr>
            <w:tcW w:w="1014" w:type="dxa"/>
            <w:vAlign w:val="center"/>
          </w:tcPr>
          <w:p w14:paraId="3126BA8E" w14:textId="68B13134" w:rsidR="00241995" w:rsidRDefault="00241995" w:rsidP="00241995">
            <w:pPr>
              <w:widowControl w:val="0"/>
              <w:jc w:val="center"/>
              <w:rPr>
                <w:rFonts w:ascii="Source Sans Pro" w:hAnsi="Source Sans Pro" w:cs="Arial"/>
                <w:sz w:val="16"/>
                <w:szCs w:val="16"/>
              </w:rPr>
            </w:pPr>
            <w:r>
              <w:rPr>
                <w:rFonts w:ascii="Source Sans Pro" w:hAnsi="Source Sans Pro" w:cs="Arial"/>
                <w:sz w:val="16"/>
                <w:szCs w:val="16"/>
              </w:rPr>
              <w:t>vertraulich</w:t>
            </w:r>
          </w:p>
        </w:tc>
      </w:tr>
    </w:tbl>
    <w:p w14:paraId="26AE2616" w14:textId="0980C42E" w:rsidR="00604E20" w:rsidRPr="002704CD" w:rsidRDefault="002704CD" w:rsidP="00EF0944">
      <w:pPr>
        <w:widowControl w:val="0"/>
        <w:rPr>
          <w:rFonts w:ascii="Source Sans Pro" w:hAnsi="Source Sans Pro" w:cs="Arial"/>
          <w:sz w:val="16"/>
          <w:szCs w:val="16"/>
        </w:rPr>
      </w:pPr>
      <w:r>
        <w:rPr>
          <w:rFonts w:ascii="Source Sans Pro" w:hAnsi="Source Sans Pro" w:cs="Arial"/>
          <w:sz w:val="16"/>
          <w:szCs w:val="16"/>
        </w:rPr>
        <w:t>*</w:t>
      </w:r>
      <w:r w:rsidRPr="009E00E8">
        <w:rPr>
          <w:rFonts w:ascii="Source Sans Pro" w:hAnsi="Source Sans Pro" w:cs="Arial"/>
          <w:sz w:val="16"/>
          <w:szCs w:val="16"/>
        </w:rPr>
        <w:t>Die aufgeführten Kaufpreise basieren auf öffentlich verfügbaren Angaben; wo solche fehlen, sind die Kaufpreise geschätzt</w:t>
      </w:r>
      <w:r>
        <w:rPr>
          <w:rFonts w:ascii="Source Sans Pro" w:hAnsi="Source Sans Pro" w:cs="Arial"/>
          <w:sz w:val="16"/>
          <w:szCs w:val="16"/>
        </w:rPr>
        <w:t xml:space="preserve">. </w:t>
      </w:r>
      <w:r w:rsidR="00E24CBD">
        <w:rPr>
          <w:rFonts w:ascii="Source Sans Pro" w:hAnsi="Source Sans Pro" w:cs="Arial"/>
          <w:sz w:val="16"/>
          <w:szCs w:val="16"/>
        </w:rPr>
        <w:t xml:space="preserve">Deals aus dem aktuellen Quartal sind farblich hinterlegt. </w:t>
      </w:r>
      <w:r w:rsidR="00161817" w:rsidRPr="00161817">
        <w:rPr>
          <w:rFonts w:ascii="Source Sans Pro" w:hAnsi="Source Sans Pro" w:cs="Arial"/>
          <w:sz w:val="16"/>
          <w:szCs w:val="16"/>
        </w:rPr>
        <w:t>Quelle:</w:t>
      </w:r>
      <w:r w:rsidR="00161817" w:rsidRPr="002704CD">
        <w:rPr>
          <w:rFonts w:ascii="Source Sans Pro" w:hAnsi="Source Sans Pro" w:cs="Arial"/>
          <w:sz w:val="16"/>
          <w:szCs w:val="16"/>
        </w:rPr>
        <w:t xml:space="preserve"> German Property Partners (GPP)</w:t>
      </w:r>
    </w:p>
    <w:p w14:paraId="384D0EB4" w14:textId="110C0624" w:rsidR="00161817" w:rsidRDefault="00073A63" w:rsidP="00E822DD">
      <w:pPr>
        <w:widowControl w:val="0"/>
        <w:rPr>
          <w:rFonts w:ascii="Source Sans Pro" w:hAnsi="Source Sans Pro" w:cs="Source Sans Pro"/>
          <w:sz w:val="22"/>
          <w:szCs w:val="22"/>
        </w:rPr>
      </w:pPr>
      <w:r w:rsidRPr="002704CD">
        <w:rPr>
          <w:rFonts w:ascii="Source Sans Pro" w:hAnsi="Source Sans Pro" w:cs="Arial"/>
          <w:b/>
          <w:sz w:val="20"/>
        </w:rPr>
        <w:br/>
      </w:r>
    </w:p>
    <w:p w14:paraId="527E0B5F" w14:textId="77777777" w:rsidR="00384735" w:rsidRPr="006456EA" w:rsidRDefault="00384735" w:rsidP="00384735">
      <w:pPr>
        <w:overflowPunct/>
        <w:autoSpaceDE/>
        <w:autoSpaceDN/>
        <w:adjustRightInd/>
        <w:textAlignment w:val="auto"/>
        <w:rPr>
          <w:rFonts w:ascii="Source Sans Pro SemiBold" w:hAnsi="Source Sans Pro SemiBold" w:cs="Source Sans Pro"/>
          <w:b/>
          <w:bCs/>
          <w:caps/>
          <w:color w:val="0087A8"/>
          <w:sz w:val="18"/>
          <w:szCs w:val="18"/>
        </w:rPr>
      </w:pPr>
      <w:bookmarkStart w:id="0" w:name="_Hlk194423614"/>
      <w:r w:rsidRPr="006456EA">
        <w:rPr>
          <w:rFonts w:ascii="Source Sans Pro SemiBold" w:hAnsi="Source Sans Pro SemiBold" w:cs="Source Sans Pro SemiBold"/>
          <w:b/>
          <w:bCs/>
          <w:caps/>
          <w:color w:val="0087A8"/>
          <w:sz w:val="18"/>
          <w:szCs w:val="18"/>
        </w:rPr>
        <w:t>ÜBER GERMAN PROPERTY PARTNERS</w:t>
      </w:r>
    </w:p>
    <w:p w14:paraId="48870DC9" w14:textId="77777777" w:rsidR="00384735" w:rsidRPr="00E1280F" w:rsidRDefault="00384735" w:rsidP="00384735">
      <w:pPr>
        <w:pStyle w:val="EinfAbs"/>
        <w:tabs>
          <w:tab w:val="left" w:pos="200"/>
        </w:tabs>
        <w:spacing w:line="220" w:lineRule="exact"/>
        <w:jc w:val="both"/>
        <w:rPr>
          <w:rFonts w:ascii="Source Sans Pro SemiBold" w:hAnsi="Source Sans Pro SemiBold" w:cs="Source Sans Pro SemiBold"/>
          <w:bCs/>
          <w:caps/>
          <w:color w:val="0087A8"/>
          <w:sz w:val="18"/>
          <w:szCs w:val="18"/>
        </w:rPr>
      </w:pPr>
      <w:hyperlink r:id="rId8" w:history="1">
        <w:r w:rsidRPr="00E1280F">
          <w:rPr>
            <w:rFonts w:ascii="Source Sans Pro SemiBold" w:hAnsi="Source Sans Pro SemiBold" w:cs="Source Sans Pro SemiBold"/>
            <w:bCs/>
            <w:caps/>
            <w:color w:val="0087A8"/>
            <w:sz w:val="18"/>
            <w:szCs w:val="18"/>
          </w:rPr>
          <w:t>German Property Partners</w:t>
        </w:r>
      </w:hyperlink>
      <w:r w:rsidRPr="00E1280F">
        <w:rPr>
          <w:rFonts w:ascii="Source Sans Pro SemiBold" w:hAnsi="Source Sans Pro SemiBold" w:cs="Source Sans Pro SemiBold"/>
          <w:bCs/>
          <w:caps/>
          <w:color w:val="0087A8"/>
          <w:sz w:val="18"/>
          <w:szCs w:val="18"/>
        </w:rPr>
        <w:t xml:space="preserve"> (GPP) ist ein deutschlandweites Netzwerk lokal führender Gewerbe-Immobiliendienstleister. Hierzu gehören Grossmann &amp; Berger</w:t>
      </w:r>
      <w:r>
        <w:rPr>
          <w:rFonts w:ascii="Source Sans Pro SemiBold" w:hAnsi="Source Sans Pro SemiBold" w:cs="Source Sans Pro SemiBold"/>
          <w:bCs/>
          <w:caps/>
          <w:color w:val="0087A8"/>
          <w:sz w:val="18"/>
          <w:szCs w:val="18"/>
        </w:rPr>
        <w:t xml:space="preserve"> Immobilien</w:t>
      </w:r>
      <w:r w:rsidRPr="00E1280F">
        <w:rPr>
          <w:rFonts w:ascii="Source Sans Pro SemiBold" w:hAnsi="Source Sans Pro SemiBold" w:cs="Source Sans Pro SemiBold"/>
          <w:bCs/>
          <w:caps/>
          <w:color w:val="0087A8"/>
          <w:sz w:val="18"/>
          <w:szCs w:val="18"/>
        </w:rPr>
        <w:t xml:space="preserve">, Anteon Immobilien, GREIF &amp; CONTZEN Immobilien, blackolive und E &amp; G </w:t>
      </w:r>
      <w:r>
        <w:rPr>
          <w:rFonts w:ascii="Source Sans Pro SemiBold" w:hAnsi="Source Sans Pro SemiBold" w:cs="Source Sans Pro SemiBold"/>
          <w:bCs/>
          <w:caps/>
          <w:color w:val="0087A8"/>
          <w:sz w:val="18"/>
          <w:szCs w:val="18"/>
        </w:rPr>
        <w:t>Immobilien</w:t>
      </w:r>
      <w:r w:rsidRPr="00E1280F">
        <w:rPr>
          <w:rFonts w:ascii="Source Sans Pro SemiBold" w:hAnsi="Source Sans Pro SemiBold" w:cs="Source Sans Pro SemiBold"/>
          <w:bCs/>
          <w:caps/>
          <w:color w:val="0087A8"/>
          <w:sz w:val="18"/>
          <w:szCs w:val="18"/>
        </w:rPr>
        <w:t xml:space="preserve">. Es zeichnet sich durch tiefe Marktkenntnisse vor Ort, langjährig für die Partnerunternehmen tätige Immobilienberater und das persönliche Engagement der Gesellschafter und Geschäftsführer aus. </w:t>
      </w:r>
    </w:p>
    <w:p w14:paraId="0028A7E6" w14:textId="77777777" w:rsidR="00384735" w:rsidRPr="00E1280F" w:rsidRDefault="00384735" w:rsidP="00384735">
      <w:pPr>
        <w:pStyle w:val="EinfAbs"/>
        <w:tabs>
          <w:tab w:val="left" w:pos="200"/>
        </w:tabs>
        <w:spacing w:line="220" w:lineRule="exact"/>
        <w:jc w:val="both"/>
        <w:rPr>
          <w:rFonts w:ascii="Source Sans Pro SemiBold" w:hAnsi="Source Sans Pro SemiBold" w:cs="Source Sans Pro SemiBold"/>
          <w:bCs/>
          <w:caps/>
          <w:color w:val="0087A8"/>
          <w:sz w:val="18"/>
          <w:szCs w:val="18"/>
        </w:rPr>
      </w:pPr>
    </w:p>
    <w:p w14:paraId="32BDC7CC" w14:textId="77777777" w:rsidR="00384735" w:rsidRPr="00E1280F" w:rsidRDefault="00384735" w:rsidP="00384735">
      <w:pPr>
        <w:pStyle w:val="EinfAbs"/>
        <w:tabs>
          <w:tab w:val="left" w:pos="200"/>
        </w:tabs>
        <w:spacing w:line="220" w:lineRule="exact"/>
        <w:jc w:val="both"/>
        <w:rPr>
          <w:rFonts w:ascii="Source Sans Pro SemiBold" w:hAnsi="Source Sans Pro SemiBold" w:cs="Source Sans Pro SemiBold"/>
          <w:bCs/>
          <w:caps/>
          <w:color w:val="0087A8"/>
          <w:sz w:val="18"/>
          <w:szCs w:val="18"/>
        </w:rPr>
      </w:pPr>
      <w:r w:rsidRPr="00E1280F">
        <w:rPr>
          <w:rFonts w:ascii="Source Sans Pro SemiBold" w:hAnsi="Source Sans Pro SemiBold" w:cs="Source Sans Pro SemiBold"/>
          <w:bCs/>
          <w:caps/>
          <w:color w:val="0087A8"/>
          <w:sz w:val="18"/>
          <w:szCs w:val="18"/>
        </w:rPr>
        <w:t>Das Netzwerk verfügt in den Top-7-Städten Hamburg, Berlin, Düsseldorf</w:t>
      </w:r>
      <w:r>
        <w:rPr>
          <w:rFonts w:ascii="Source Sans Pro SemiBold" w:hAnsi="Source Sans Pro SemiBold" w:cs="Source Sans Pro SemiBold"/>
          <w:bCs/>
          <w:caps/>
          <w:color w:val="0087A8"/>
          <w:sz w:val="18"/>
          <w:szCs w:val="18"/>
        </w:rPr>
        <w:t>|Essen</w:t>
      </w:r>
      <w:r w:rsidRPr="00E1280F">
        <w:rPr>
          <w:rFonts w:ascii="Source Sans Pro SemiBold" w:hAnsi="Source Sans Pro SemiBold" w:cs="Source Sans Pro SemiBold"/>
          <w:bCs/>
          <w:caps/>
          <w:color w:val="0087A8"/>
          <w:sz w:val="18"/>
          <w:szCs w:val="18"/>
        </w:rPr>
        <w:t xml:space="preserve">, Köln|Bonn, Frankfurt, Stuttgart und München über eigene Standorte und bietet Dienstleistungen in den Bereichen Immobilien-Investments, gewerbliche Vermietung, unternehmerisches Immobilienmanagement (CREM), Immobilienbewertung und Research an. Bank-, Finanzierungs- und Verwaltungs-Dienstleistungen runden das Leistungsspektrum ab. </w:t>
      </w:r>
    </w:p>
    <w:p w14:paraId="35A69B27" w14:textId="77777777" w:rsidR="00384735" w:rsidRPr="00E1280F" w:rsidRDefault="00384735" w:rsidP="00384735">
      <w:pPr>
        <w:pStyle w:val="EinfAbs"/>
        <w:tabs>
          <w:tab w:val="left" w:pos="200"/>
        </w:tabs>
        <w:spacing w:line="220" w:lineRule="exact"/>
        <w:jc w:val="both"/>
        <w:rPr>
          <w:rFonts w:ascii="Source Sans Pro SemiBold" w:hAnsi="Source Sans Pro SemiBold" w:cs="Source Sans Pro SemiBold"/>
          <w:bCs/>
          <w:caps/>
          <w:color w:val="0087A8"/>
          <w:sz w:val="18"/>
          <w:szCs w:val="18"/>
        </w:rPr>
      </w:pPr>
    </w:p>
    <w:p w14:paraId="3B1A90AC" w14:textId="77777777" w:rsidR="00070ABB" w:rsidRPr="006C69B7" w:rsidRDefault="00070ABB" w:rsidP="00070ABB">
      <w:pPr>
        <w:pStyle w:val="EinfAbs"/>
        <w:tabs>
          <w:tab w:val="left" w:pos="200"/>
        </w:tabs>
        <w:spacing w:line="220" w:lineRule="exact"/>
        <w:jc w:val="both"/>
        <w:rPr>
          <w:rFonts w:ascii="Source Sans Pro SemiBold" w:hAnsi="Source Sans Pro SemiBold" w:cs="Source Sans Pro SemiBold"/>
          <w:bCs/>
          <w:caps/>
          <w:color w:val="0087A8"/>
          <w:sz w:val="18"/>
          <w:szCs w:val="18"/>
        </w:rPr>
      </w:pPr>
      <w:r>
        <w:rPr>
          <w:rFonts w:ascii="Source Sans Pro SemiBold" w:hAnsi="Source Sans Pro SemiBold" w:cs="Source Sans Pro SemiBold"/>
          <w:bCs/>
          <w:caps/>
          <w:color w:val="0087A8"/>
          <w:sz w:val="18"/>
          <w:szCs w:val="18"/>
        </w:rPr>
        <w:t>Aktuell sind rund 370</w:t>
      </w:r>
      <w:r w:rsidRPr="00E1280F">
        <w:rPr>
          <w:rFonts w:ascii="Source Sans Pro SemiBold" w:hAnsi="Source Sans Pro SemiBold" w:cs="Source Sans Pro SemiBold"/>
          <w:bCs/>
          <w:caps/>
          <w:color w:val="0087A8"/>
          <w:sz w:val="18"/>
          <w:szCs w:val="18"/>
        </w:rPr>
        <w:t xml:space="preserve"> Immobilienspezialisten für das Netzwerk tätig. 202</w:t>
      </w:r>
      <w:r>
        <w:rPr>
          <w:rFonts w:ascii="Source Sans Pro SemiBold" w:hAnsi="Source Sans Pro SemiBold" w:cs="Source Sans Pro SemiBold"/>
          <w:bCs/>
          <w:caps/>
          <w:color w:val="0087A8"/>
          <w:sz w:val="18"/>
          <w:szCs w:val="18"/>
        </w:rPr>
        <w:t>5</w:t>
      </w:r>
      <w:r w:rsidRPr="00E1280F">
        <w:rPr>
          <w:rFonts w:ascii="Source Sans Pro SemiBold" w:hAnsi="Source Sans Pro SemiBold" w:cs="Source Sans Pro SemiBold"/>
          <w:bCs/>
          <w:caps/>
          <w:color w:val="0087A8"/>
          <w:sz w:val="18"/>
          <w:szCs w:val="18"/>
        </w:rPr>
        <w:t xml:space="preserve"> vermittelte GPP deutschlandweit rund </w:t>
      </w:r>
      <w:r>
        <w:rPr>
          <w:rFonts w:ascii="Source Sans Pro SemiBold" w:hAnsi="Source Sans Pro SemiBold" w:cs="Source Sans Pro SemiBold"/>
          <w:bCs/>
          <w:caps/>
          <w:color w:val="0087A8"/>
          <w:sz w:val="18"/>
          <w:szCs w:val="18"/>
        </w:rPr>
        <w:t>390</w:t>
      </w:r>
      <w:r w:rsidRPr="009C6B12">
        <w:rPr>
          <w:rFonts w:ascii="Source Sans Pro SemiBold" w:hAnsi="Source Sans Pro SemiBold" w:cs="Source Sans Pro SemiBold"/>
          <w:bCs/>
          <w:caps/>
          <w:color w:val="0087A8"/>
          <w:sz w:val="18"/>
          <w:szCs w:val="18"/>
        </w:rPr>
        <w:t>.000</w:t>
      </w:r>
      <w:r w:rsidRPr="000B463D">
        <w:rPr>
          <w:rFonts w:ascii="Source Sans Pro SemiBold" w:hAnsi="Source Sans Pro SemiBold" w:cs="Source Sans Pro SemiBold"/>
          <w:bCs/>
          <w:caps/>
          <w:color w:val="0087A8"/>
          <w:sz w:val="18"/>
          <w:szCs w:val="18"/>
        </w:rPr>
        <w:t xml:space="preserve"> m²</w:t>
      </w:r>
      <w:r>
        <w:rPr>
          <w:rFonts w:ascii="Source Sans Pro SemiBold" w:hAnsi="Source Sans Pro SemiBold" w:cs="Source Sans Pro SemiBold"/>
          <w:bCs/>
          <w:caps/>
          <w:color w:val="0087A8"/>
          <w:sz w:val="18"/>
          <w:szCs w:val="18"/>
        </w:rPr>
        <w:t xml:space="preserve"> </w:t>
      </w:r>
      <w:r w:rsidRPr="00E1280F">
        <w:rPr>
          <w:rFonts w:ascii="Source Sans Pro SemiBold" w:hAnsi="Source Sans Pro SemiBold" w:cs="Source Sans Pro SemiBold"/>
          <w:bCs/>
          <w:caps/>
          <w:color w:val="0087A8"/>
          <w:sz w:val="18"/>
          <w:szCs w:val="18"/>
        </w:rPr>
        <w:t xml:space="preserve">Gewerbefläche und betreute ein Transaktionsvolumen in Höhe von rund </w:t>
      </w:r>
      <w:r>
        <w:rPr>
          <w:rFonts w:ascii="Source Sans Pro SemiBold" w:hAnsi="Source Sans Pro SemiBold" w:cs="Source Sans Pro SemiBold"/>
          <w:bCs/>
          <w:caps/>
          <w:color w:val="0087A8"/>
          <w:sz w:val="18"/>
          <w:szCs w:val="18"/>
        </w:rPr>
        <w:t>1,1</w:t>
      </w:r>
      <w:r w:rsidRPr="009C6B12">
        <w:rPr>
          <w:rFonts w:ascii="Source Sans Pro SemiBold" w:hAnsi="Source Sans Pro SemiBold" w:cs="Source Sans Pro SemiBold"/>
          <w:bCs/>
          <w:caps/>
          <w:color w:val="0087A8"/>
          <w:sz w:val="18"/>
          <w:szCs w:val="18"/>
        </w:rPr>
        <w:t xml:space="preserve"> M</w:t>
      </w:r>
      <w:r>
        <w:rPr>
          <w:rFonts w:ascii="Source Sans Pro SemiBold" w:hAnsi="Source Sans Pro SemiBold" w:cs="Source Sans Pro SemiBold"/>
          <w:bCs/>
          <w:caps/>
          <w:color w:val="0087A8"/>
          <w:sz w:val="18"/>
          <w:szCs w:val="18"/>
        </w:rPr>
        <w:t>RD</w:t>
      </w:r>
      <w:r w:rsidRPr="009C6B12">
        <w:rPr>
          <w:rFonts w:ascii="Source Sans Pro SemiBold" w:hAnsi="Source Sans Pro SemiBold" w:cs="Source Sans Pro SemiBold"/>
          <w:bCs/>
          <w:caps/>
          <w:color w:val="0087A8"/>
          <w:sz w:val="18"/>
          <w:szCs w:val="18"/>
        </w:rPr>
        <w:t>. €</w:t>
      </w:r>
      <w:r>
        <w:rPr>
          <w:rFonts w:ascii="Source Sans Pro SemiBold" w:hAnsi="Source Sans Pro SemiBold" w:cs="Source Sans Pro SemiBold"/>
          <w:bCs/>
          <w:caps/>
          <w:color w:val="0087A8"/>
          <w:sz w:val="18"/>
          <w:szCs w:val="18"/>
        </w:rPr>
        <w:t>.</w:t>
      </w:r>
    </w:p>
    <w:p w14:paraId="7B350A66" w14:textId="77777777" w:rsidR="00384735" w:rsidRPr="006456EA" w:rsidRDefault="00384735" w:rsidP="00384735">
      <w:pPr>
        <w:pStyle w:val="EinfAbs"/>
        <w:tabs>
          <w:tab w:val="left" w:pos="200"/>
        </w:tabs>
        <w:spacing w:line="220" w:lineRule="exact"/>
        <w:jc w:val="both"/>
        <w:rPr>
          <w:rFonts w:ascii="Source Sans Pro" w:hAnsi="Source Sans Pro" w:cs="Source Sans Pro"/>
          <w:color w:val="0087A8"/>
          <w:sz w:val="18"/>
          <w:szCs w:val="18"/>
        </w:rPr>
      </w:pPr>
    </w:p>
    <w:p w14:paraId="3CDCD621" w14:textId="77777777" w:rsidR="00384735" w:rsidRPr="006456EA" w:rsidRDefault="00384735" w:rsidP="00384735">
      <w:pPr>
        <w:pStyle w:val="EinfAbs"/>
        <w:tabs>
          <w:tab w:val="left" w:pos="200"/>
        </w:tabs>
        <w:spacing w:line="220" w:lineRule="exact"/>
        <w:jc w:val="both"/>
        <w:rPr>
          <w:rFonts w:ascii="Source Sans Pro SemiBold" w:hAnsi="Source Sans Pro SemiBold" w:cs="Source Sans Pro"/>
          <w:b/>
          <w:bCs/>
          <w:color w:val="0087A8"/>
          <w:sz w:val="18"/>
          <w:szCs w:val="18"/>
        </w:rPr>
      </w:pPr>
      <w:r w:rsidRPr="006456EA">
        <w:rPr>
          <w:rFonts w:ascii="Source Sans Pro SemiBold" w:hAnsi="Source Sans Pro SemiBold" w:cs="Source Sans Pro SemiBold"/>
          <w:b/>
          <w:bCs/>
          <w:color w:val="0087A8"/>
          <w:sz w:val="18"/>
          <w:szCs w:val="18"/>
        </w:rPr>
        <w:t>www.germanpropertypartners.de</w:t>
      </w:r>
    </w:p>
    <w:bookmarkEnd w:id="0"/>
    <w:p w14:paraId="44867C81" w14:textId="77777777" w:rsidR="00F6024C" w:rsidRDefault="00F6024C" w:rsidP="00D56A51">
      <w:pPr>
        <w:pStyle w:val="EinfAbs"/>
        <w:tabs>
          <w:tab w:val="left" w:pos="200"/>
        </w:tabs>
        <w:spacing w:line="220" w:lineRule="exact"/>
        <w:jc w:val="both"/>
        <w:rPr>
          <w:rFonts w:ascii="Source Sans Pro SemiBold" w:hAnsi="Source Sans Pro SemiBold" w:cs="Source Sans Pro SemiBold"/>
          <w:bCs/>
          <w:sz w:val="14"/>
          <w:szCs w:val="14"/>
        </w:rPr>
      </w:pPr>
    </w:p>
    <w:p w14:paraId="468FAFF6" w14:textId="00332105" w:rsidR="005C25D5" w:rsidRPr="00D56A51" w:rsidRDefault="00290672" w:rsidP="00D56A51">
      <w:pPr>
        <w:pStyle w:val="EinfAbs"/>
        <w:tabs>
          <w:tab w:val="left" w:pos="200"/>
        </w:tabs>
        <w:spacing w:line="220" w:lineRule="exact"/>
        <w:jc w:val="both"/>
        <w:rPr>
          <w:rFonts w:ascii="Source Sans Pro SemiBold" w:hAnsi="Source Sans Pro SemiBold" w:cs="Source Sans Pro"/>
          <w:b/>
          <w:bCs/>
          <w:color w:val="0087A8"/>
          <w:sz w:val="18"/>
          <w:szCs w:val="18"/>
        </w:rPr>
      </w:pPr>
      <w:r w:rsidRPr="00290672">
        <w:rPr>
          <w:rFonts w:ascii="Source Sans Pro SemiBold" w:hAnsi="Source Sans Pro SemiBold" w:cs="Source Sans Pro SemiBold"/>
          <w:bCs/>
          <w:sz w:val="14"/>
          <w:szCs w:val="14"/>
        </w:rPr>
        <w:t>Die</w:t>
      </w:r>
      <w:r>
        <w:rPr>
          <w:rFonts w:ascii="Source Sans Pro SemiBold" w:hAnsi="Source Sans Pro SemiBold" w:cs="Source Sans Pro SemiBold"/>
          <w:b/>
          <w:bCs/>
          <w:caps/>
          <w:sz w:val="14"/>
          <w:szCs w:val="14"/>
        </w:rPr>
        <w:t xml:space="preserve"> </w:t>
      </w:r>
      <w:r w:rsidR="00DA733A" w:rsidRPr="00917410">
        <w:rPr>
          <w:rFonts w:ascii="Source Sans Pro SemiBold" w:hAnsi="Source Sans Pro SemiBold" w:cs="Source Sans Pro SemiBold"/>
          <w:b/>
          <w:bCs/>
          <w:caps/>
          <w:sz w:val="14"/>
          <w:szCs w:val="14"/>
        </w:rPr>
        <w:t>Datenschutzerklärung</w:t>
      </w:r>
      <w:r w:rsidR="00DA733A" w:rsidRPr="00917410">
        <w:rPr>
          <w:rFonts w:ascii="Source Sans Pro" w:hAnsi="Source Sans Pro" w:cs="Source Sans Pro"/>
          <w:sz w:val="14"/>
          <w:szCs w:val="14"/>
        </w:rPr>
        <w:t xml:space="preserve"> von German Property Partners finden Sie auf der GPP-Website: www.germanpropertypartners.de/datenschutz. Wenn Sie künftig keine Informationen der GPP-Pressestelle mehr erhalten möchten, senden Sie bitte eine E-Mail an presse@germanpropertypartners.de mit dem Betreff „Abmeldung aus Presseverteiler“. </w:t>
      </w:r>
    </w:p>
    <w:sectPr w:rsidR="005C25D5" w:rsidRPr="00D56A51" w:rsidSect="001B786B">
      <w:headerReference w:type="default" r:id="rId9"/>
      <w:footerReference w:type="default" r:id="rId10"/>
      <w:headerReference w:type="first" r:id="rId11"/>
      <w:footerReference w:type="first" r:id="rId12"/>
      <w:pgSz w:w="11900" w:h="16820" w:code="9"/>
      <w:pgMar w:top="2552" w:right="1304" w:bottom="567" w:left="1304" w:header="885" w:footer="56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5E86" w14:textId="77777777" w:rsidR="009275ED" w:rsidRDefault="009275ED">
      <w:r>
        <w:separator/>
      </w:r>
    </w:p>
  </w:endnote>
  <w:endnote w:type="continuationSeparator" w:id="0">
    <w:p w14:paraId="4C4611A0" w14:textId="77777777" w:rsidR="009275ED" w:rsidRDefault="0092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Source Sans Pro SemiBold">
    <w:charset w:val="00"/>
    <w:family w:val="swiss"/>
    <w:pitch w:val="variable"/>
    <w:sig w:usb0="600002F7" w:usb1="02000001" w:usb2="00000000" w:usb3="00000000" w:csb0="0000019F" w:csb1="00000000"/>
  </w:font>
  <w:font w:name="HelveticaNeueLT Pro 55 Roman">
    <w:altName w:val="Arial"/>
    <w:charset w:val="4D"/>
    <w:family w:val="swiss"/>
    <w:pitch w:val="variable"/>
    <w:sig w:usb0="A00000AF" w:usb1="50002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C666" w14:textId="0B1390D1" w:rsidR="001B786B" w:rsidRDefault="001B786B" w:rsidP="001B786B">
    <w:pPr>
      <w:pStyle w:val="Fuzeile"/>
      <w:spacing w:line="220" w:lineRule="exact"/>
      <w:rPr>
        <w:rStyle w:val="Seitenzahl"/>
        <w:rFonts w:ascii="Source Sans Pro" w:hAnsi="Source Sans Pro" w:cs="Arial"/>
        <w:color w:val="0086A8"/>
        <w:sz w:val="18"/>
        <w:szCs w:val="18"/>
      </w:rPr>
    </w:pPr>
  </w:p>
  <w:p w14:paraId="08A74C44" w14:textId="77777777" w:rsidR="006F154A" w:rsidRDefault="006F154A" w:rsidP="001B786B">
    <w:pPr>
      <w:pStyle w:val="Fuzeile"/>
      <w:spacing w:line="220" w:lineRule="exact"/>
      <w:rPr>
        <w:rStyle w:val="Seitenzahl"/>
        <w:rFonts w:ascii="Source Sans Pro" w:hAnsi="Source Sans Pro" w:cs="Arial"/>
        <w:color w:val="0086A8"/>
        <w:sz w:val="18"/>
        <w:szCs w:val="18"/>
      </w:rPr>
    </w:pPr>
  </w:p>
  <w:p w14:paraId="1F725FAF" w14:textId="77777777" w:rsidR="006F154A" w:rsidRPr="006456EA" w:rsidRDefault="006F154A" w:rsidP="001B786B">
    <w:pPr>
      <w:pStyle w:val="Fuzeile"/>
      <w:spacing w:line="220" w:lineRule="exact"/>
      <w:rPr>
        <w:rStyle w:val="Seitenzahl"/>
        <w:rFonts w:ascii="Source Sans Pro" w:hAnsi="Source Sans Pro" w:cs="Arial"/>
        <w:color w:val="0087A8"/>
        <w:sz w:val="18"/>
        <w:szCs w:val="18"/>
      </w:rPr>
    </w:pPr>
  </w:p>
  <w:p w14:paraId="3E5BA6C5" w14:textId="7832F51E" w:rsidR="005644BE" w:rsidRPr="006456EA" w:rsidRDefault="005644BE" w:rsidP="005644BE">
    <w:pPr>
      <w:pStyle w:val="Fuzeile"/>
      <w:spacing w:line="220" w:lineRule="exact"/>
      <w:rPr>
        <w:rStyle w:val="Seitenzahl"/>
        <w:rFonts w:ascii="Source Sans Pro" w:hAnsi="Source Sans Pro" w:cs="Arial"/>
        <w:color w:val="0087A8"/>
        <w:sz w:val="18"/>
        <w:szCs w:val="18"/>
      </w:rPr>
    </w:pP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PAGE </w:instrText>
    </w:r>
    <w:r w:rsidRPr="006456EA">
      <w:rPr>
        <w:rStyle w:val="Seitenzahl"/>
        <w:rFonts w:ascii="Source Sans Pro" w:hAnsi="Source Sans Pro" w:cs="Arial"/>
        <w:color w:val="0087A8"/>
        <w:sz w:val="18"/>
        <w:szCs w:val="18"/>
      </w:rPr>
      <w:fldChar w:fldCharType="separate"/>
    </w:r>
    <w:r w:rsidR="00384735">
      <w:rPr>
        <w:rStyle w:val="Seitenzahl"/>
        <w:rFonts w:ascii="Source Sans Pro" w:hAnsi="Source Sans Pro" w:cs="Arial"/>
        <w:noProof/>
        <w:color w:val="0087A8"/>
        <w:sz w:val="18"/>
        <w:szCs w:val="18"/>
      </w:rPr>
      <w:t>2</w:t>
    </w:r>
    <w:r w:rsidRPr="006456EA">
      <w:rPr>
        <w:rStyle w:val="Seitenzahl"/>
        <w:rFonts w:ascii="Source Sans Pro" w:hAnsi="Source Sans Pro" w:cs="Arial"/>
        <w:color w:val="0087A8"/>
        <w:sz w:val="18"/>
        <w:szCs w:val="18"/>
      </w:rPr>
      <w:fldChar w:fldCharType="end"/>
    </w:r>
    <w:r w:rsidRPr="006456EA">
      <w:rPr>
        <w:rStyle w:val="Seitenzahl"/>
        <w:rFonts w:ascii="Source Sans Pro" w:hAnsi="Source Sans Pro" w:cs="Arial"/>
        <w:color w:val="0087A8"/>
        <w:sz w:val="18"/>
        <w:szCs w:val="18"/>
      </w:rPr>
      <w:t xml:space="preserve"> I </w:t>
    </w: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NUMPAGES </w:instrText>
    </w:r>
    <w:r w:rsidRPr="006456EA">
      <w:rPr>
        <w:rStyle w:val="Seitenzahl"/>
        <w:rFonts w:ascii="Source Sans Pro" w:hAnsi="Source Sans Pro" w:cs="Arial"/>
        <w:color w:val="0087A8"/>
        <w:sz w:val="18"/>
        <w:szCs w:val="18"/>
      </w:rPr>
      <w:fldChar w:fldCharType="separate"/>
    </w:r>
    <w:r w:rsidR="00384735">
      <w:rPr>
        <w:rStyle w:val="Seitenzahl"/>
        <w:rFonts w:ascii="Source Sans Pro" w:hAnsi="Source Sans Pro" w:cs="Arial"/>
        <w:noProof/>
        <w:color w:val="0087A8"/>
        <w:sz w:val="18"/>
        <w:szCs w:val="18"/>
      </w:rPr>
      <w:t>3</w:t>
    </w:r>
    <w:r w:rsidRPr="006456EA">
      <w:rPr>
        <w:rStyle w:val="Seitenzahl"/>
        <w:rFonts w:ascii="Source Sans Pro" w:hAnsi="Source Sans Pro" w:cs="Arial"/>
        <w:color w:val="0087A8"/>
        <w:sz w:val="18"/>
        <w:szCs w:val="18"/>
      </w:rPr>
      <w:fldChar w:fldCharType="end"/>
    </w:r>
  </w:p>
  <w:p w14:paraId="5D199B7F" w14:textId="4D7FBED1" w:rsidR="005644BE" w:rsidRPr="006456EA" w:rsidRDefault="005644BE" w:rsidP="005644BE">
    <w:pPr>
      <w:pStyle w:val="EinfAbs"/>
      <w:tabs>
        <w:tab w:val="left" w:pos="2268"/>
      </w:tabs>
      <w:spacing w:line="220" w:lineRule="exact"/>
      <w:rPr>
        <w:rFonts w:ascii="Source Sans Pro" w:hAnsi="Source Sans Pro" w:cs="Source Sans Pro"/>
        <w:color w:val="0087A8"/>
        <w:sz w:val="18"/>
        <w:szCs w:val="18"/>
      </w:rPr>
    </w:pPr>
    <w:r w:rsidRPr="006456EA">
      <w:rPr>
        <w:rFonts w:ascii="Source Sans Pro SemiBold" w:hAnsi="Source Sans Pro SemiBold" w:cs="Source Sans Pro SemiBold"/>
        <w:b/>
        <w:bCs/>
        <w:caps/>
        <w:color w:val="0087A8"/>
        <w:sz w:val="18"/>
        <w:szCs w:val="18"/>
      </w:rPr>
      <w:t>PRESSEKONTAKT:</w:t>
    </w:r>
    <w:r w:rsidRPr="006456EA">
      <w:rPr>
        <w:rFonts w:ascii="Source Sans Pro SemiBold" w:hAnsi="Source Sans Pro SemiBold" w:cs="Source Sans Pro SemiBold"/>
        <w:b/>
        <w:bCs/>
        <w:caps/>
        <w:color w:val="0087A8"/>
        <w:sz w:val="18"/>
        <w:szCs w:val="18"/>
      </w:rPr>
      <w:tab/>
    </w:r>
    <w:proofErr w:type="gramStart"/>
    <w:r w:rsidR="009B008F">
      <w:rPr>
        <w:rFonts w:ascii="Source Sans Pro" w:hAnsi="Source Sans Pro" w:cs="Source Sans Pro"/>
        <w:color w:val="0087A8"/>
        <w:sz w:val="18"/>
        <w:szCs w:val="18"/>
      </w:rPr>
      <w:t>T  +</w:t>
    </w:r>
    <w:proofErr w:type="gramEnd"/>
    <w:r w:rsidR="009B008F">
      <w:rPr>
        <w:rFonts w:ascii="Source Sans Pro" w:hAnsi="Source Sans Pro" w:cs="Source Sans Pro"/>
        <w:color w:val="0087A8"/>
        <w:sz w:val="18"/>
        <w:szCs w:val="18"/>
      </w:rPr>
      <w:t>49 40 350802</w:t>
    </w:r>
    <w:r w:rsidR="00282ED8">
      <w:rPr>
        <w:rFonts w:ascii="Source Sans Pro" w:hAnsi="Source Sans Pro" w:cs="Source Sans Pro"/>
        <w:color w:val="0087A8"/>
        <w:sz w:val="18"/>
        <w:szCs w:val="18"/>
      </w:rPr>
      <w:t>-</w:t>
    </w:r>
    <w:r w:rsidR="005B36B5">
      <w:rPr>
        <w:rFonts w:ascii="Source Sans Pro" w:hAnsi="Source Sans Pro" w:cs="Source Sans Pro"/>
        <w:color w:val="0087A8"/>
        <w:sz w:val="18"/>
        <w:szCs w:val="18"/>
      </w:rPr>
      <w:t>5</w:t>
    </w:r>
    <w:r w:rsidR="001A6DC9">
      <w:rPr>
        <w:rFonts w:ascii="Source Sans Pro" w:hAnsi="Source Sans Pro" w:cs="Source Sans Pro"/>
        <w:color w:val="0087A8"/>
        <w:sz w:val="18"/>
        <w:szCs w:val="18"/>
      </w:rPr>
      <w:t>88</w:t>
    </w:r>
    <w:r w:rsidRPr="006456EA">
      <w:rPr>
        <w:rFonts w:ascii="Source Sans Pro" w:hAnsi="Source Sans Pro" w:cs="Source Sans Pro"/>
        <w:color w:val="0087A8"/>
        <w:sz w:val="18"/>
        <w:szCs w:val="18"/>
      </w:rPr>
      <w:t xml:space="preserve"> </w:t>
    </w:r>
  </w:p>
  <w:p w14:paraId="6F9C1B3C" w14:textId="38EEDB71" w:rsidR="00C41C74" w:rsidRPr="005644BE" w:rsidRDefault="00965DEB" w:rsidP="001B786B">
    <w:pPr>
      <w:pStyle w:val="EinfAbs"/>
      <w:tabs>
        <w:tab w:val="left" w:pos="2268"/>
      </w:tabs>
      <w:spacing w:line="220" w:lineRule="exact"/>
      <w:rPr>
        <w:rFonts w:ascii="Source Sans Pro" w:hAnsi="Source Sans Pro" w:cs="Source Sans Pro"/>
        <w:color w:val="0086A8"/>
        <w:sz w:val="18"/>
        <w:szCs w:val="18"/>
      </w:rPr>
    </w:pPr>
    <w:r w:rsidRPr="00965DEB">
      <w:rPr>
        <w:noProof/>
      </w:rPr>
      <w:drawing>
        <wp:anchor distT="0" distB="0" distL="114300" distR="114300" simplePos="0" relativeHeight="251676672" behindDoc="0" locked="0" layoutInCell="1" allowOverlap="1" wp14:anchorId="74B63C0B" wp14:editId="0C6711F5">
          <wp:simplePos x="0" y="0"/>
          <wp:positionH relativeFrom="page">
            <wp:posOffset>4788535</wp:posOffset>
          </wp:positionH>
          <wp:positionV relativeFrom="page">
            <wp:posOffset>10196195</wp:posOffset>
          </wp:positionV>
          <wp:extent cx="1947600" cy="100800"/>
          <wp:effectExtent l="0" t="0" r="0" b="127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pic:nvPicPr>
                <pic:blipFill>
                  <a:blip r:embed="rId1">
                    <a:extLst>
                      <a:ext uri="{28A0092B-C50C-407E-A947-70E740481C1C}">
                        <a14:useLocalDpi xmlns:a14="http://schemas.microsoft.com/office/drawing/2010/main" val="0"/>
                      </a:ext>
                    </a:extLst>
                  </a:blip>
                  <a:stretch>
                    <a:fillRect/>
                  </a:stretch>
                </pic:blipFill>
                <pic:spPr>
                  <a:xfrm>
                    <a:off x="0" y="0"/>
                    <a:ext cx="1947600" cy="100800"/>
                  </a:xfrm>
                  <a:prstGeom prst="rect">
                    <a:avLst/>
                  </a:prstGeom>
                </pic:spPr>
              </pic:pic>
            </a:graphicData>
          </a:graphic>
          <wp14:sizeRelH relativeFrom="margin">
            <wp14:pctWidth>0</wp14:pctWidth>
          </wp14:sizeRelH>
          <wp14:sizeRelV relativeFrom="margin">
            <wp14:pctHeight>0</wp14:pctHeight>
          </wp14:sizeRelV>
        </wp:anchor>
      </w:drawing>
    </w:r>
    <w:r w:rsidR="005B36B5">
      <w:rPr>
        <w:rFonts w:ascii="Source Sans Pro" w:hAnsi="Source Sans Pro" w:cs="Source Sans Pro"/>
        <w:color w:val="0087A8"/>
        <w:sz w:val="18"/>
        <w:szCs w:val="18"/>
      </w:rPr>
      <w:t>Corinna Fühner</w:t>
    </w:r>
    <w:r w:rsidR="005644BE" w:rsidRPr="006456EA">
      <w:rPr>
        <w:rFonts w:ascii="Source Sans Pro" w:hAnsi="Source Sans Pro" w:cs="Source Sans Pro"/>
        <w:color w:val="0087A8"/>
        <w:sz w:val="18"/>
        <w:szCs w:val="18"/>
      </w:rPr>
      <w:tab/>
      <w:t>presse@germanpropertypartners.de</w:t>
    </w:r>
    <w:r w:rsidR="00077E8A">
      <w:rPr>
        <w:rStyle w:val="Seitenzahl"/>
      </w:rPr>
      <w:tab/>
    </w:r>
    <w:r w:rsidR="00077E8A">
      <w:rPr>
        <w:rStyle w:val="Seitenzah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F12" w14:textId="78D04753" w:rsidR="00C41C74" w:rsidRPr="001B786B" w:rsidRDefault="00C41C74" w:rsidP="001B786B">
    <w:pPr>
      <w:pStyle w:val="Fuzeile"/>
      <w:spacing w:line="220" w:lineRule="exact"/>
      <w:rPr>
        <w:rStyle w:val="Seitenzahl"/>
        <w:rFonts w:ascii="Source Sans Pro" w:hAnsi="Source Sans Pro"/>
        <w:color w:val="0086A8"/>
        <w:sz w:val="18"/>
        <w:szCs w:val="18"/>
      </w:rPr>
    </w:pPr>
  </w:p>
  <w:p w14:paraId="00991498" w14:textId="288251DA" w:rsidR="00C41C74" w:rsidRPr="006456EA" w:rsidRDefault="00C41C74" w:rsidP="00C35841">
    <w:pPr>
      <w:pStyle w:val="Fuzeile"/>
      <w:spacing w:line="220" w:lineRule="exact"/>
      <w:rPr>
        <w:rStyle w:val="Seitenzahl"/>
        <w:rFonts w:ascii="Source Sans Pro" w:hAnsi="Source Sans Pro" w:cs="Arial"/>
        <w:color w:val="0087A8"/>
        <w:sz w:val="18"/>
        <w:szCs w:val="18"/>
      </w:rPr>
    </w:pP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PAGE </w:instrText>
    </w:r>
    <w:r w:rsidRPr="006456EA">
      <w:rPr>
        <w:rStyle w:val="Seitenzahl"/>
        <w:rFonts w:ascii="Source Sans Pro" w:hAnsi="Source Sans Pro" w:cs="Arial"/>
        <w:color w:val="0087A8"/>
        <w:sz w:val="18"/>
        <w:szCs w:val="18"/>
      </w:rPr>
      <w:fldChar w:fldCharType="separate"/>
    </w:r>
    <w:r w:rsidR="00384735">
      <w:rPr>
        <w:rStyle w:val="Seitenzahl"/>
        <w:rFonts w:ascii="Source Sans Pro" w:hAnsi="Source Sans Pro" w:cs="Arial"/>
        <w:noProof/>
        <w:color w:val="0087A8"/>
        <w:sz w:val="18"/>
        <w:szCs w:val="18"/>
      </w:rPr>
      <w:t>1</w:t>
    </w:r>
    <w:r w:rsidRPr="006456EA">
      <w:rPr>
        <w:rStyle w:val="Seitenzahl"/>
        <w:rFonts w:ascii="Source Sans Pro" w:hAnsi="Source Sans Pro" w:cs="Arial"/>
        <w:color w:val="0087A8"/>
        <w:sz w:val="18"/>
        <w:szCs w:val="18"/>
      </w:rPr>
      <w:fldChar w:fldCharType="end"/>
    </w:r>
    <w:r w:rsidRPr="006456EA">
      <w:rPr>
        <w:rStyle w:val="Seitenzahl"/>
        <w:rFonts w:ascii="Source Sans Pro" w:hAnsi="Source Sans Pro" w:cs="Arial"/>
        <w:color w:val="0087A8"/>
        <w:sz w:val="18"/>
        <w:szCs w:val="18"/>
      </w:rPr>
      <w:t xml:space="preserve"> </w:t>
    </w:r>
    <w:r w:rsidR="00B862DB" w:rsidRPr="006456EA">
      <w:rPr>
        <w:rStyle w:val="Seitenzahl"/>
        <w:rFonts w:ascii="Source Sans Pro" w:hAnsi="Source Sans Pro" w:cs="Arial"/>
        <w:color w:val="0087A8"/>
        <w:sz w:val="18"/>
        <w:szCs w:val="18"/>
      </w:rPr>
      <w:t>I</w:t>
    </w:r>
    <w:r w:rsidRPr="006456EA">
      <w:rPr>
        <w:rStyle w:val="Seitenzahl"/>
        <w:rFonts w:ascii="Source Sans Pro" w:hAnsi="Source Sans Pro" w:cs="Arial"/>
        <w:color w:val="0087A8"/>
        <w:sz w:val="18"/>
        <w:szCs w:val="18"/>
      </w:rPr>
      <w:t xml:space="preserve"> </w:t>
    </w: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NUMPAGES </w:instrText>
    </w:r>
    <w:r w:rsidRPr="006456EA">
      <w:rPr>
        <w:rStyle w:val="Seitenzahl"/>
        <w:rFonts w:ascii="Source Sans Pro" w:hAnsi="Source Sans Pro" w:cs="Arial"/>
        <w:color w:val="0087A8"/>
        <w:sz w:val="18"/>
        <w:szCs w:val="18"/>
      </w:rPr>
      <w:fldChar w:fldCharType="separate"/>
    </w:r>
    <w:r w:rsidR="00384735">
      <w:rPr>
        <w:rStyle w:val="Seitenzahl"/>
        <w:rFonts w:ascii="Source Sans Pro" w:hAnsi="Source Sans Pro" w:cs="Arial"/>
        <w:noProof/>
        <w:color w:val="0087A8"/>
        <w:sz w:val="18"/>
        <w:szCs w:val="18"/>
      </w:rPr>
      <w:t>3</w:t>
    </w:r>
    <w:r w:rsidRPr="006456EA">
      <w:rPr>
        <w:rStyle w:val="Seitenzahl"/>
        <w:rFonts w:ascii="Source Sans Pro" w:hAnsi="Source Sans Pro" w:cs="Arial"/>
        <w:color w:val="0087A8"/>
        <w:sz w:val="18"/>
        <w:szCs w:val="18"/>
      </w:rPr>
      <w:fldChar w:fldCharType="end"/>
    </w:r>
  </w:p>
  <w:p w14:paraId="664ECE5C" w14:textId="63B4D1DC" w:rsidR="001E1829" w:rsidRPr="006456EA" w:rsidRDefault="001E1829" w:rsidP="00C846F6">
    <w:pPr>
      <w:pStyle w:val="EinfAbs"/>
      <w:tabs>
        <w:tab w:val="left" w:pos="2268"/>
      </w:tabs>
      <w:spacing w:line="220" w:lineRule="exact"/>
      <w:rPr>
        <w:rFonts w:ascii="Source Sans Pro" w:hAnsi="Source Sans Pro" w:cs="Source Sans Pro"/>
        <w:color w:val="0087A8"/>
        <w:sz w:val="18"/>
        <w:szCs w:val="18"/>
      </w:rPr>
    </w:pPr>
    <w:r w:rsidRPr="006456EA">
      <w:rPr>
        <w:rFonts w:ascii="Source Sans Pro SemiBold" w:hAnsi="Source Sans Pro SemiBold" w:cs="Source Sans Pro SemiBold"/>
        <w:b/>
        <w:bCs/>
        <w:caps/>
        <w:color w:val="0087A8"/>
        <w:sz w:val="18"/>
        <w:szCs w:val="18"/>
      </w:rPr>
      <w:t>PRESSEKONTAKT:</w:t>
    </w:r>
    <w:r w:rsidR="00C846F6" w:rsidRPr="006456EA">
      <w:rPr>
        <w:rFonts w:ascii="Source Sans Pro SemiBold" w:hAnsi="Source Sans Pro SemiBold" w:cs="Source Sans Pro SemiBold"/>
        <w:b/>
        <w:bCs/>
        <w:caps/>
        <w:color w:val="0087A8"/>
        <w:sz w:val="18"/>
        <w:szCs w:val="18"/>
      </w:rPr>
      <w:tab/>
    </w:r>
    <w:proofErr w:type="gramStart"/>
    <w:r w:rsidR="00C35841" w:rsidRPr="006456EA">
      <w:rPr>
        <w:rFonts w:ascii="Source Sans Pro" w:hAnsi="Source Sans Pro" w:cs="Source Sans Pro"/>
        <w:color w:val="0087A8"/>
        <w:sz w:val="18"/>
        <w:szCs w:val="18"/>
      </w:rPr>
      <w:t>T  +</w:t>
    </w:r>
    <w:proofErr w:type="gramEnd"/>
    <w:r w:rsidR="003D5215">
      <w:rPr>
        <w:rFonts w:ascii="Source Sans Pro" w:hAnsi="Source Sans Pro" w:cs="Source Sans Pro"/>
        <w:color w:val="0087A8"/>
        <w:sz w:val="18"/>
        <w:szCs w:val="18"/>
      </w:rPr>
      <w:t>49 40 350802-</w:t>
    </w:r>
    <w:r w:rsidR="005B36B5">
      <w:rPr>
        <w:rFonts w:ascii="Source Sans Pro" w:hAnsi="Source Sans Pro" w:cs="Source Sans Pro"/>
        <w:color w:val="0087A8"/>
        <w:sz w:val="18"/>
        <w:szCs w:val="18"/>
      </w:rPr>
      <w:t>5</w:t>
    </w:r>
    <w:r w:rsidR="001A6DC9">
      <w:rPr>
        <w:rFonts w:ascii="Source Sans Pro" w:hAnsi="Source Sans Pro" w:cs="Source Sans Pro"/>
        <w:color w:val="0087A8"/>
        <w:sz w:val="18"/>
        <w:szCs w:val="18"/>
      </w:rPr>
      <w:t>88</w:t>
    </w:r>
  </w:p>
  <w:p w14:paraId="5F7CBAE8" w14:textId="56A1360A" w:rsidR="001E1829" w:rsidRPr="006456EA" w:rsidRDefault="00965DEB" w:rsidP="001B786B">
    <w:pPr>
      <w:pStyle w:val="EinfAbs"/>
      <w:tabs>
        <w:tab w:val="left" w:pos="2268"/>
      </w:tabs>
      <w:spacing w:line="220" w:lineRule="exact"/>
      <w:rPr>
        <w:rFonts w:ascii="Source Sans Pro" w:hAnsi="Source Sans Pro" w:cs="Source Sans Pro"/>
        <w:color w:val="0087A8"/>
        <w:sz w:val="18"/>
        <w:szCs w:val="18"/>
      </w:rPr>
    </w:pPr>
    <w:r>
      <w:rPr>
        <w:rFonts w:ascii="Source Sans Pro" w:hAnsi="Source Sans Pro" w:cs="Arial"/>
        <w:noProof/>
        <w:color w:val="0087A8"/>
        <w:sz w:val="18"/>
        <w:szCs w:val="18"/>
      </w:rPr>
      <w:drawing>
        <wp:anchor distT="0" distB="0" distL="114300" distR="114300" simplePos="0" relativeHeight="251673600" behindDoc="0" locked="0" layoutInCell="1" allowOverlap="1" wp14:anchorId="5D69998A" wp14:editId="68FB5133">
          <wp:simplePos x="0" y="0"/>
          <wp:positionH relativeFrom="page">
            <wp:posOffset>4788535</wp:posOffset>
          </wp:positionH>
          <wp:positionV relativeFrom="page">
            <wp:posOffset>10196195</wp:posOffset>
          </wp:positionV>
          <wp:extent cx="1947600" cy="100800"/>
          <wp:effectExtent l="0" t="0" r="0" b="1270"/>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pic:nvPicPr>
                <pic:blipFill>
                  <a:blip r:embed="rId1">
                    <a:extLst>
                      <a:ext uri="{28A0092B-C50C-407E-A947-70E740481C1C}">
                        <a14:useLocalDpi xmlns:a14="http://schemas.microsoft.com/office/drawing/2010/main" val="0"/>
                      </a:ext>
                    </a:extLst>
                  </a:blip>
                  <a:stretch>
                    <a:fillRect/>
                  </a:stretch>
                </pic:blipFill>
                <pic:spPr>
                  <a:xfrm>
                    <a:off x="0" y="0"/>
                    <a:ext cx="1947600" cy="100800"/>
                  </a:xfrm>
                  <a:prstGeom prst="rect">
                    <a:avLst/>
                  </a:prstGeom>
                </pic:spPr>
              </pic:pic>
            </a:graphicData>
          </a:graphic>
          <wp14:sizeRelH relativeFrom="margin">
            <wp14:pctWidth>0</wp14:pctWidth>
          </wp14:sizeRelH>
          <wp14:sizeRelV relativeFrom="margin">
            <wp14:pctHeight>0</wp14:pctHeight>
          </wp14:sizeRelV>
        </wp:anchor>
      </w:drawing>
    </w:r>
    <w:r w:rsidR="005B36B5">
      <w:rPr>
        <w:rFonts w:ascii="Source Sans Pro" w:hAnsi="Source Sans Pro" w:cs="Source Sans Pro"/>
        <w:color w:val="0087A8"/>
        <w:sz w:val="18"/>
        <w:szCs w:val="18"/>
      </w:rPr>
      <w:t>Corinna Fühner</w:t>
    </w:r>
    <w:r w:rsidR="00C35841" w:rsidRPr="006456EA">
      <w:rPr>
        <w:rFonts w:ascii="Source Sans Pro" w:hAnsi="Source Sans Pro" w:cs="Source Sans Pro"/>
        <w:color w:val="0087A8"/>
        <w:sz w:val="18"/>
        <w:szCs w:val="18"/>
      </w:rPr>
      <w:tab/>
      <w:t>presse@germanpropertypartners.de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E925" w14:textId="77777777" w:rsidR="009275ED" w:rsidRDefault="009275ED">
      <w:r>
        <w:separator/>
      </w:r>
    </w:p>
  </w:footnote>
  <w:footnote w:type="continuationSeparator" w:id="0">
    <w:p w14:paraId="4B71482C" w14:textId="77777777" w:rsidR="009275ED" w:rsidRDefault="00927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AE73" w14:textId="5A8CA290" w:rsidR="004D2CD0" w:rsidRDefault="00965DEB" w:rsidP="004D2CD0">
    <w:pPr>
      <w:pStyle w:val="Kopfzeile"/>
      <w:tabs>
        <w:tab w:val="clear" w:pos="4536"/>
        <w:tab w:val="clear" w:pos="9072"/>
        <w:tab w:val="left" w:pos="7938"/>
      </w:tabs>
      <w:ind w:right="-2043"/>
    </w:pPr>
    <w:r w:rsidRPr="00965DEB">
      <w:rPr>
        <w:noProof/>
      </w:rPr>
      <w:drawing>
        <wp:anchor distT="0" distB="0" distL="114300" distR="114300" simplePos="0" relativeHeight="251675648" behindDoc="0" locked="0" layoutInCell="1" allowOverlap="1" wp14:anchorId="08033756" wp14:editId="605ECF66">
          <wp:simplePos x="0" y="0"/>
          <wp:positionH relativeFrom="page">
            <wp:posOffset>5995035</wp:posOffset>
          </wp:positionH>
          <wp:positionV relativeFrom="page">
            <wp:posOffset>100965</wp:posOffset>
          </wp:positionV>
          <wp:extent cx="828000" cy="1065600"/>
          <wp:effectExtent l="0" t="0" r="0" b="127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pic:nvPicPr>
                <pic:blipFill>
                  <a:blip r:embed="rId1">
                    <a:extLst>
                      <a:ext uri="{28A0092B-C50C-407E-A947-70E740481C1C}">
                        <a14:useLocalDpi xmlns:a14="http://schemas.microsoft.com/office/drawing/2010/main" val="0"/>
                      </a:ext>
                    </a:extLst>
                  </a:blip>
                  <a:stretch>
                    <a:fillRect/>
                  </a:stretch>
                </pic:blipFill>
                <pic:spPr>
                  <a:xfrm>
                    <a:off x="0" y="0"/>
                    <a:ext cx="828000" cy="1065600"/>
                  </a:xfrm>
                  <a:prstGeom prst="rect">
                    <a:avLst/>
                  </a:prstGeom>
                </pic:spPr>
              </pic:pic>
            </a:graphicData>
          </a:graphic>
          <wp14:sizeRelH relativeFrom="margin">
            <wp14:pctWidth>0</wp14:pctWidth>
          </wp14:sizeRelH>
          <wp14:sizeRelV relativeFrom="margin">
            <wp14:pctHeight>0</wp14:pctHeight>
          </wp14:sizeRelV>
        </wp:anchor>
      </w:drawing>
    </w:r>
    <w:r w:rsidR="004D2CD0">
      <w:tab/>
    </w:r>
  </w:p>
  <w:p w14:paraId="1736273E" w14:textId="0051BB57" w:rsidR="004D2CD0" w:rsidRDefault="004D2CD0" w:rsidP="004D2CD0">
    <w:pPr>
      <w:pStyle w:val="Kopfzeile"/>
      <w:tabs>
        <w:tab w:val="clear" w:pos="4536"/>
        <w:tab w:val="clear" w:pos="9072"/>
        <w:tab w:val="left" w:pos="7938"/>
      </w:tabs>
      <w:ind w:right="-1985"/>
    </w:pPr>
  </w:p>
  <w:p w14:paraId="138C2CDC" w14:textId="18B83CBB" w:rsidR="00C41C74" w:rsidRDefault="00BB0F85" w:rsidP="001E5503">
    <w:pPr>
      <w:pStyle w:val="Kopfzeile"/>
      <w:tabs>
        <w:tab w:val="clear" w:pos="4536"/>
        <w:tab w:val="clear" w:pos="9072"/>
        <w:tab w:val="left" w:pos="7938"/>
      </w:tabs>
      <w:ind w:right="-1985"/>
    </w:pPr>
    <w:r>
      <w:rPr>
        <w:noProof/>
      </w:rPr>
      <mc:AlternateContent>
        <mc:Choice Requires="wps">
          <w:drawing>
            <wp:anchor distT="0" distB="0" distL="114300" distR="114300" simplePos="0" relativeHeight="251655168" behindDoc="0" locked="0" layoutInCell="0" allowOverlap="1" wp14:anchorId="36E0A73C" wp14:editId="0C60B6D8">
              <wp:simplePos x="0" y="0"/>
              <wp:positionH relativeFrom="column">
                <wp:posOffset>-26035</wp:posOffset>
              </wp:positionH>
              <wp:positionV relativeFrom="page">
                <wp:posOffset>1332865</wp:posOffset>
              </wp:positionV>
              <wp:extent cx="685800" cy="60134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01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44D80" id="Rectangle 5" o:spid="_x0000_s1026" style="position:absolute;margin-left:-2.05pt;margin-top:104.95pt;width:54pt;height:4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" o:allowincell="f" filled="f" stroked="f" strokeweight="0">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C617" w14:textId="0096DDD3" w:rsidR="00C41C74" w:rsidRDefault="007B33CE" w:rsidP="009F28F5">
    <w:pPr>
      <w:pStyle w:val="Kopfzeile"/>
      <w:tabs>
        <w:tab w:val="clear" w:pos="4536"/>
        <w:tab w:val="clear" w:pos="9072"/>
        <w:tab w:val="left" w:pos="7938"/>
      </w:tabs>
      <w:ind w:right="-2043"/>
    </w:pPr>
    <w:r>
      <w:rPr>
        <w:noProof/>
      </w:rPr>
      <w:drawing>
        <wp:anchor distT="0" distB="0" distL="114300" distR="114300" simplePos="0" relativeHeight="251654143" behindDoc="0" locked="0" layoutInCell="1" allowOverlap="1" wp14:anchorId="5CC17046" wp14:editId="66798E8E">
          <wp:simplePos x="0" y="0"/>
          <wp:positionH relativeFrom="page">
            <wp:posOffset>5995035</wp:posOffset>
          </wp:positionH>
          <wp:positionV relativeFrom="page">
            <wp:posOffset>102235</wp:posOffset>
          </wp:positionV>
          <wp:extent cx="828000" cy="1065600"/>
          <wp:effectExtent l="0" t="0" r="0" b="1270"/>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pic:nvPicPr>
                <pic:blipFill>
                  <a:blip r:embed="rId1">
                    <a:extLst>
                      <a:ext uri="{28A0092B-C50C-407E-A947-70E740481C1C}">
                        <a14:useLocalDpi xmlns:a14="http://schemas.microsoft.com/office/drawing/2010/main" val="0"/>
                      </a:ext>
                    </a:extLst>
                  </a:blip>
                  <a:stretch>
                    <a:fillRect/>
                  </a:stretch>
                </pic:blipFill>
                <pic:spPr>
                  <a:xfrm>
                    <a:off x="0" y="0"/>
                    <a:ext cx="828000" cy="1065600"/>
                  </a:xfrm>
                  <a:prstGeom prst="rect">
                    <a:avLst/>
                  </a:prstGeom>
                </pic:spPr>
              </pic:pic>
            </a:graphicData>
          </a:graphic>
          <wp14:sizeRelH relativeFrom="margin">
            <wp14:pctWidth>0</wp14:pctWidth>
          </wp14:sizeRelH>
          <wp14:sizeRelV relativeFrom="margin">
            <wp14:pctHeight>0</wp14:pctHeight>
          </wp14:sizeRelV>
        </wp:anchor>
      </w:drawing>
    </w:r>
    <w:r w:rsidR="00E8471E">
      <w:rPr>
        <w:noProof/>
      </w:rPr>
      <mc:AlternateContent>
        <mc:Choice Requires="wps">
          <w:drawing>
            <wp:anchor distT="0" distB="0" distL="114300" distR="114300" simplePos="0" relativeHeight="251666432" behindDoc="0" locked="1" layoutInCell="0" allowOverlap="1" wp14:anchorId="7A25BCC8" wp14:editId="12A8C88E">
              <wp:simplePos x="0" y="0"/>
              <wp:positionH relativeFrom="page">
                <wp:posOffset>828040</wp:posOffset>
              </wp:positionH>
              <wp:positionV relativeFrom="page">
                <wp:posOffset>617220</wp:posOffset>
              </wp:positionV>
              <wp:extent cx="3333600" cy="288000"/>
              <wp:effectExtent l="0" t="0" r="6985" b="444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600" cy="2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4E771" w14:textId="77777777" w:rsidR="000E6577" w:rsidRDefault="000E6577" w:rsidP="000E6577">
                          <w:pPr>
                            <w:pStyle w:val="EinfAbs"/>
                            <w:rPr>
                              <w:rFonts w:ascii="Source Sans Pro" w:hAnsi="Source Sans Pro" w:cs="Source Sans Pro"/>
                              <w:sz w:val="32"/>
                              <w:szCs w:val="32"/>
                            </w:rPr>
                          </w:pPr>
                          <w:r>
                            <w:rPr>
                              <w:rFonts w:ascii="Source Sans Pro" w:hAnsi="Source Sans Pro" w:cs="Source Sans Pro"/>
                              <w:sz w:val="32"/>
                              <w:szCs w:val="32"/>
                            </w:rPr>
                            <w:t>PRESSEMITTEILUNG</w:t>
                          </w:r>
                          <w:r>
                            <w:rPr>
                              <w:rFonts w:ascii="Source Sans Pro" w:hAnsi="Source Sans Pro" w:cs="Source Sans Pro"/>
                              <w:sz w:val="32"/>
                              <w:szCs w:val="32"/>
                            </w:rPr>
                            <w:br/>
                          </w:r>
                        </w:p>
                        <w:p w14:paraId="10D6939D" w14:textId="4BFF8C44" w:rsidR="00E775AC" w:rsidRPr="00B922EE" w:rsidRDefault="00E775AC" w:rsidP="00E775AC">
                          <w:pPr>
                            <w:pStyle w:val="AbsenderArial2"/>
                            <w:spacing w:line="240" w:lineRule="auto"/>
                            <w:rPr>
                              <w:rFonts w:ascii="HelveticaNeueLT Pro 55 Roman" w:hAnsi="HelveticaNeueLT Pro 55 Roman" w:cs="Arial"/>
                              <w:b w:val="0"/>
                              <w:color w:val="002639"/>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5BCC8" id="Rectangle 6" o:spid="_x0000_s1026" style="position:absolute;margin-left:65.2pt;margin-top:48.6pt;width:262.5pt;height:22.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" o:allowincell="f" filled="f" stroked="f" strokeweight="0">
              <v:textbox inset="0,0,0,0">
                <w:txbxContent>
                  <w:p w14:paraId="25B4E771" w14:textId="77777777" w:rsidR="000E6577" w:rsidRDefault="000E6577" w:rsidP="000E6577">
                    <w:pPr>
                      <w:pStyle w:val="EinfAbs"/>
                      <w:rPr>
                        <w:rFonts w:ascii="Source Sans Pro" w:hAnsi="Source Sans Pro" w:cs="Source Sans Pro"/>
                        <w:sz w:val="32"/>
                        <w:szCs w:val="32"/>
                      </w:rPr>
                    </w:pPr>
                    <w:r>
                      <w:rPr>
                        <w:rFonts w:ascii="Source Sans Pro" w:hAnsi="Source Sans Pro" w:cs="Source Sans Pro"/>
                        <w:sz w:val="32"/>
                        <w:szCs w:val="32"/>
                      </w:rPr>
                      <w:t>PRESSEMITTEILUNG</w:t>
                    </w:r>
                    <w:r>
                      <w:rPr>
                        <w:rFonts w:ascii="Source Sans Pro" w:hAnsi="Source Sans Pro" w:cs="Source Sans Pro"/>
                        <w:sz w:val="32"/>
                        <w:szCs w:val="32"/>
                      </w:rPr>
                      <w:br/>
                    </w:r>
                  </w:p>
                  <w:p w14:paraId="10D6939D" w14:textId="4BFF8C44" w:rsidR="00E775AC" w:rsidRPr="00B922EE" w:rsidRDefault="00E775AC" w:rsidP="00E775AC">
                    <w:pPr>
                      <w:pStyle w:val="AbsenderArial2"/>
                      <w:spacing w:line="240" w:lineRule="auto"/>
                      <w:rPr>
                        <w:rFonts w:ascii="HelveticaNeueLT Pro 55 Roman" w:hAnsi="HelveticaNeueLT Pro 55 Roman" w:cs="Arial"/>
                        <w:b w:val="0"/>
                        <w:color w:val="002639"/>
                        <w:sz w:val="36"/>
                        <w:szCs w:val="36"/>
                      </w:rPr>
                    </w:pPr>
                  </w:p>
                </w:txbxContent>
              </v:textbox>
              <w10:wrap anchorx="page" anchory="page"/>
              <w10:anchorlock/>
            </v:rect>
          </w:pict>
        </mc:Fallback>
      </mc:AlternateContent>
    </w:r>
    <w:r w:rsidR="009F28F5">
      <w:tab/>
    </w:r>
  </w:p>
  <w:p w14:paraId="3EAD45CF" w14:textId="5FC2DEDD" w:rsidR="004D2CD0" w:rsidRDefault="004D2CD0" w:rsidP="0005029E">
    <w:r>
      <w:tab/>
    </w:r>
  </w:p>
  <w:p w14:paraId="185BEDCB" w14:textId="4F512084" w:rsidR="004D2CD0" w:rsidRDefault="004D2CD0" w:rsidP="004D2CD0">
    <w:pPr>
      <w:pStyle w:val="Kopfzeile"/>
      <w:tabs>
        <w:tab w:val="clear" w:pos="4536"/>
        <w:tab w:val="clear" w:pos="9072"/>
        <w:tab w:val="left" w:pos="7938"/>
      </w:tabs>
      <w:ind w:right="-1985"/>
    </w:pPr>
    <w:r>
      <w:tab/>
    </w:r>
  </w:p>
  <w:p w14:paraId="19BE4530" w14:textId="5BD8E383" w:rsidR="004D2CD0" w:rsidRDefault="004D2CD0" w:rsidP="004D2CD0">
    <w:pPr>
      <w:pStyle w:val="Kopfzeile"/>
      <w:tabs>
        <w:tab w:val="clear" w:pos="4536"/>
        <w:tab w:val="clear" w:pos="9072"/>
        <w:tab w:val="left" w:pos="6265"/>
      </w:tabs>
      <w:ind w:right="-2043"/>
    </w:pPr>
  </w:p>
  <w:p w14:paraId="3370FE02" w14:textId="755B0682" w:rsidR="00C41C74" w:rsidRPr="00DA6836" w:rsidRDefault="00DA6836" w:rsidP="00FC69D9">
    <w:pPr>
      <w:pStyle w:val="Kopfzeile"/>
      <w:tabs>
        <w:tab w:val="clear" w:pos="4536"/>
        <w:tab w:val="clear" w:pos="9072"/>
        <w:tab w:val="left" w:pos="7230"/>
        <w:tab w:val="left" w:pos="8445"/>
      </w:tabs>
      <w:ind w:right="-2043"/>
      <w:rPr>
        <w:b/>
      </w:rPr>
    </w:pPr>
    <w:r>
      <w:tab/>
    </w:r>
  </w:p>
  <w:p w14:paraId="10CD55B7" w14:textId="6876FB57" w:rsidR="00C41C74" w:rsidRDefault="00F5697E">
    <w:pPr>
      <w:pStyle w:val="Kopfzeile"/>
      <w:tabs>
        <w:tab w:val="clear" w:pos="4536"/>
        <w:tab w:val="clear" w:pos="9072"/>
        <w:tab w:val="left" w:pos="6265"/>
      </w:tabs>
      <w:ind w:right="-2043"/>
      <w:rPr>
        <w:rFonts w:ascii="Arial" w:hAnsi="Arial"/>
        <w:sz w:val="15"/>
      </w:rPr>
    </w:pPr>
    <w:r>
      <w:rPr>
        <w:rFonts w:ascii="Arial" w:hAnsi="Arial"/>
        <w:sz w:val="15"/>
      </w:rPr>
      <w:softHyphen/>
    </w:r>
    <w:r>
      <w:rPr>
        <w:rFonts w:ascii="Arial" w:hAnsi="Arial"/>
        <w:sz w:val="15"/>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E87"/>
    <w:multiLevelType w:val="hybridMultilevel"/>
    <w:tmpl w:val="D2941DE4"/>
    <w:lvl w:ilvl="0" w:tplc="E22A0C4A">
      <w:start w:val="37"/>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40F1E"/>
    <w:multiLevelType w:val="hybridMultilevel"/>
    <w:tmpl w:val="4B542F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2B53BB"/>
    <w:multiLevelType w:val="hybridMultilevel"/>
    <w:tmpl w:val="A8BA5CB4"/>
    <w:lvl w:ilvl="0" w:tplc="8778A3DC">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6C0E33"/>
    <w:multiLevelType w:val="hybridMultilevel"/>
    <w:tmpl w:val="2BE8E350"/>
    <w:lvl w:ilvl="0" w:tplc="B82AA302">
      <w:start w:val="20"/>
      <w:numFmt w:val="bullet"/>
      <w:lvlText w:val="-"/>
      <w:lvlJc w:val="left"/>
      <w:pPr>
        <w:ind w:left="720" w:hanging="360"/>
      </w:pPr>
      <w:rPr>
        <w:rFonts w:ascii="Source Sans Pro" w:eastAsia="Times New Roman" w:hAnsi="Source Sans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5D19DC"/>
    <w:multiLevelType w:val="hybridMultilevel"/>
    <w:tmpl w:val="7068B8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BC36C0"/>
    <w:multiLevelType w:val="hybridMultilevel"/>
    <w:tmpl w:val="51220B10"/>
    <w:lvl w:ilvl="0" w:tplc="782E1AFA">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A1712F"/>
    <w:multiLevelType w:val="hybridMultilevel"/>
    <w:tmpl w:val="ABC89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9030DF"/>
    <w:multiLevelType w:val="hybridMultilevel"/>
    <w:tmpl w:val="C9B00D30"/>
    <w:lvl w:ilvl="0" w:tplc="59D258AA">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BC230A"/>
    <w:multiLevelType w:val="hybridMultilevel"/>
    <w:tmpl w:val="C442B6BA"/>
    <w:lvl w:ilvl="0" w:tplc="5A6C3342">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5D2486"/>
    <w:multiLevelType w:val="hybridMultilevel"/>
    <w:tmpl w:val="CA6AC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A813C1"/>
    <w:multiLevelType w:val="hybridMultilevel"/>
    <w:tmpl w:val="05F49C50"/>
    <w:lvl w:ilvl="0" w:tplc="82300CEC">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0B6D1F"/>
    <w:multiLevelType w:val="hybridMultilevel"/>
    <w:tmpl w:val="456A7860"/>
    <w:lvl w:ilvl="0" w:tplc="B774640A">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4D78BD"/>
    <w:multiLevelType w:val="hybridMultilevel"/>
    <w:tmpl w:val="904C4D60"/>
    <w:lvl w:ilvl="0" w:tplc="51F0D846">
      <w:start w:val="37"/>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EC4963"/>
    <w:multiLevelType w:val="hybridMultilevel"/>
    <w:tmpl w:val="751880B2"/>
    <w:lvl w:ilvl="0" w:tplc="AF12DF7E">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985149"/>
    <w:multiLevelType w:val="hybridMultilevel"/>
    <w:tmpl w:val="EDEAD9E0"/>
    <w:lvl w:ilvl="0" w:tplc="2782346E">
      <w:numFmt w:val="bullet"/>
      <w:lvlText w:val="-"/>
      <w:lvlJc w:val="left"/>
      <w:pPr>
        <w:ind w:left="720" w:hanging="360"/>
      </w:pPr>
      <w:rPr>
        <w:rFonts w:ascii="Source Sans Pro" w:eastAsia="Times New Roman" w:hAnsi="Source Sans Pro"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6322008">
    <w:abstractNumId w:val="14"/>
  </w:num>
  <w:num w:numId="2" w16cid:durableId="1617634425">
    <w:abstractNumId w:val="13"/>
  </w:num>
  <w:num w:numId="3" w16cid:durableId="1741056780">
    <w:abstractNumId w:val="10"/>
  </w:num>
  <w:num w:numId="4" w16cid:durableId="872305492">
    <w:abstractNumId w:val="3"/>
  </w:num>
  <w:num w:numId="5" w16cid:durableId="1591349081">
    <w:abstractNumId w:val="0"/>
  </w:num>
  <w:num w:numId="6" w16cid:durableId="1208952481">
    <w:abstractNumId w:val="12"/>
  </w:num>
  <w:num w:numId="7" w16cid:durableId="1445540882">
    <w:abstractNumId w:val="11"/>
  </w:num>
  <w:num w:numId="8" w16cid:durableId="1534542004">
    <w:abstractNumId w:val="8"/>
  </w:num>
  <w:num w:numId="9" w16cid:durableId="1404065489">
    <w:abstractNumId w:val="2"/>
  </w:num>
  <w:num w:numId="10" w16cid:durableId="1710179724">
    <w:abstractNumId w:val="5"/>
  </w:num>
  <w:num w:numId="11" w16cid:durableId="106315743">
    <w:abstractNumId w:val="7"/>
  </w:num>
  <w:num w:numId="12" w16cid:durableId="1971981838">
    <w:abstractNumId w:val="1"/>
  </w:num>
  <w:num w:numId="13" w16cid:durableId="1097991472">
    <w:abstractNumId w:val="4"/>
  </w:num>
  <w:num w:numId="14" w16cid:durableId="1503008577">
    <w:abstractNumId w:val="6"/>
  </w:num>
  <w:num w:numId="15" w16cid:durableId="834804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F85"/>
    <w:rsid w:val="00001F24"/>
    <w:rsid w:val="000021F4"/>
    <w:rsid w:val="00004E93"/>
    <w:rsid w:val="00006B8B"/>
    <w:rsid w:val="000136D7"/>
    <w:rsid w:val="00013C9D"/>
    <w:rsid w:val="00013D73"/>
    <w:rsid w:val="00015236"/>
    <w:rsid w:val="0001662B"/>
    <w:rsid w:val="00020AC9"/>
    <w:rsid w:val="00027EA3"/>
    <w:rsid w:val="00032028"/>
    <w:rsid w:val="00034121"/>
    <w:rsid w:val="0003667E"/>
    <w:rsid w:val="000440EB"/>
    <w:rsid w:val="0005029E"/>
    <w:rsid w:val="000574A7"/>
    <w:rsid w:val="000610DA"/>
    <w:rsid w:val="00062237"/>
    <w:rsid w:val="00065685"/>
    <w:rsid w:val="000663B5"/>
    <w:rsid w:val="000665E2"/>
    <w:rsid w:val="00066A8A"/>
    <w:rsid w:val="00070ABB"/>
    <w:rsid w:val="00072A30"/>
    <w:rsid w:val="00073A63"/>
    <w:rsid w:val="000772AE"/>
    <w:rsid w:val="00077E8A"/>
    <w:rsid w:val="00080FD4"/>
    <w:rsid w:val="00081DAD"/>
    <w:rsid w:val="00082C59"/>
    <w:rsid w:val="00091562"/>
    <w:rsid w:val="00091D49"/>
    <w:rsid w:val="00091E5B"/>
    <w:rsid w:val="0009382E"/>
    <w:rsid w:val="00094C13"/>
    <w:rsid w:val="000955E9"/>
    <w:rsid w:val="000A072C"/>
    <w:rsid w:val="000A36D6"/>
    <w:rsid w:val="000A4FBB"/>
    <w:rsid w:val="000A6A78"/>
    <w:rsid w:val="000B2DF4"/>
    <w:rsid w:val="000B310B"/>
    <w:rsid w:val="000B4A9D"/>
    <w:rsid w:val="000C3A22"/>
    <w:rsid w:val="000C5036"/>
    <w:rsid w:val="000C6B4F"/>
    <w:rsid w:val="000D5A87"/>
    <w:rsid w:val="000D6F1F"/>
    <w:rsid w:val="000D7147"/>
    <w:rsid w:val="000D7B09"/>
    <w:rsid w:val="000D7FD3"/>
    <w:rsid w:val="000E194E"/>
    <w:rsid w:val="000E4F2C"/>
    <w:rsid w:val="000E6577"/>
    <w:rsid w:val="000E694E"/>
    <w:rsid w:val="000E753B"/>
    <w:rsid w:val="000F57F1"/>
    <w:rsid w:val="000F582C"/>
    <w:rsid w:val="001104E2"/>
    <w:rsid w:val="00110917"/>
    <w:rsid w:val="00110E37"/>
    <w:rsid w:val="00110F8E"/>
    <w:rsid w:val="00113D8C"/>
    <w:rsid w:val="00120624"/>
    <w:rsid w:val="0012156C"/>
    <w:rsid w:val="001304F6"/>
    <w:rsid w:val="00131DC5"/>
    <w:rsid w:val="001340F8"/>
    <w:rsid w:val="00146388"/>
    <w:rsid w:val="00150092"/>
    <w:rsid w:val="001550FE"/>
    <w:rsid w:val="00155828"/>
    <w:rsid w:val="0015690C"/>
    <w:rsid w:val="00156AF6"/>
    <w:rsid w:val="00161817"/>
    <w:rsid w:val="00162CC4"/>
    <w:rsid w:val="001647B3"/>
    <w:rsid w:val="00166ED2"/>
    <w:rsid w:val="001718E2"/>
    <w:rsid w:val="00176433"/>
    <w:rsid w:val="001803DA"/>
    <w:rsid w:val="0018092C"/>
    <w:rsid w:val="00181706"/>
    <w:rsid w:val="00184BB0"/>
    <w:rsid w:val="00190761"/>
    <w:rsid w:val="00195319"/>
    <w:rsid w:val="001963BB"/>
    <w:rsid w:val="0019772A"/>
    <w:rsid w:val="001A22F5"/>
    <w:rsid w:val="001A6DC9"/>
    <w:rsid w:val="001A78DC"/>
    <w:rsid w:val="001B786B"/>
    <w:rsid w:val="001C15E0"/>
    <w:rsid w:val="001C32DB"/>
    <w:rsid w:val="001C33FC"/>
    <w:rsid w:val="001C518B"/>
    <w:rsid w:val="001D00A5"/>
    <w:rsid w:val="001E1829"/>
    <w:rsid w:val="001E2EBC"/>
    <w:rsid w:val="001E444B"/>
    <w:rsid w:val="001E5503"/>
    <w:rsid w:val="001E7716"/>
    <w:rsid w:val="001F218D"/>
    <w:rsid w:val="001F35E1"/>
    <w:rsid w:val="001F53BE"/>
    <w:rsid w:val="00200C83"/>
    <w:rsid w:val="002014F7"/>
    <w:rsid w:val="00202DD3"/>
    <w:rsid w:val="0022694F"/>
    <w:rsid w:val="00230514"/>
    <w:rsid w:val="00232200"/>
    <w:rsid w:val="00235393"/>
    <w:rsid w:val="00235BF8"/>
    <w:rsid w:val="002373F7"/>
    <w:rsid w:val="00241995"/>
    <w:rsid w:val="00241F26"/>
    <w:rsid w:val="00264A0A"/>
    <w:rsid w:val="00265CA3"/>
    <w:rsid w:val="002704CD"/>
    <w:rsid w:val="00270F3A"/>
    <w:rsid w:val="002723DC"/>
    <w:rsid w:val="0028070D"/>
    <w:rsid w:val="00282ED8"/>
    <w:rsid w:val="00290672"/>
    <w:rsid w:val="00290917"/>
    <w:rsid w:val="002A09C2"/>
    <w:rsid w:val="002A21DD"/>
    <w:rsid w:val="002A42FA"/>
    <w:rsid w:val="002A480D"/>
    <w:rsid w:val="002A7D58"/>
    <w:rsid w:val="002B63FD"/>
    <w:rsid w:val="002B749A"/>
    <w:rsid w:val="002C52C5"/>
    <w:rsid w:val="002E1C45"/>
    <w:rsid w:val="002E5673"/>
    <w:rsid w:val="002F461A"/>
    <w:rsid w:val="002F53E5"/>
    <w:rsid w:val="002F786B"/>
    <w:rsid w:val="00306932"/>
    <w:rsid w:val="0030746C"/>
    <w:rsid w:val="003152C9"/>
    <w:rsid w:val="00315870"/>
    <w:rsid w:val="00316196"/>
    <w:rsid w:val="00320373"/>
    <w:rsid w:val="003250ED"/>
    <w:rsid w:val="00333A90"/>
    <w:rsid w:val="00337AAA"/>
    <w:rsid w:val="00340A89"/>
    <w:rsid w:val="00341D84"/>
    <w:rsid w:val="003424EC"/>
    <w:rsid w:val="0034454C"/>
    <w:rsid w:val="00346101"/>
    <w:rsid w:val="00355438"/>
    <w:rsid w:val="00355ED1"/>
    <w:rsid w:val="003613CB"/>
    <w:rsid w:val="00362B48"/>
    <w:rsid w:val="00363075"/>
    <w:rsid w:val="00364C2C"/>
    <w:rsid w:val="00366AF3"/>
    <w:rsid w:val="00367F4F"/>
    <w:rsid w:val="00370785"/>
    <w:rsid w:val="00371640"/>
    <w:rsid w:val="00373B39"/>
    <w:rsid w:val="00374B28"/>
    <w:rsid w:val="00374F87"/>
    <w:rsid w:val="00375256"/>
    <w:rsid w:val="00384735"/>
    <w:rsid w:val="00392E9E"/>
    <w:rsid w:val="003948FA"/>
    <w:rsid w:val="00394B04"/>
    <w:rsid w:val="003A463F"/>
    <w:rsid w:val="003B09DC"/>
    <w:rsid w:val="003B10B7"/>
    <w:rsid w:val="003B4145"/>
    <w:rsid w:val="003B4C22"/>
    <w:rsid w:val="003B63A8"/>
    <w:rsid w:val="003D36F0"/>
    <w:rsid w:val="003D3F73"/>
    <w:rsid w:val="003D5215"/>
    <w:rsid w:val="003D5D91"/>
    <w:rsid w:val="003E3D87"/>
    <w:rsid w:val="003E772C"/>
    <w:rsid w:val="003F293B"/>
    <w:rsid w:val="003F5E07"/>
    <w:rsid w:val="003F6066"/>
    <w:rsid w:val="0040331F"/>
    <w:rsid w:val="00403C95"/>
    <w:rsid w:val="00404BCC"/>
    <w:rsid w:val="00405679"/>
    <w:rsid w:val="004061B9"/>
    <w:rsid w:val="0041188F"/>
    <w:rsid w:val="0041454E"/>
    <w:rsid w:val="00423DAC"/>
    <w:rsid w:val="00425DBF"/>
    <w:rsid w:val="00426531"/>
    <w:rsid w:val="00430DA2"/>
    <w:rsid w:val="0043217C"/>
    <w:rsid w:val="004329C6"/>
    <w:rsid w:val="004338CA"/>
    <w:rsid w:val="00433CD9"/>
    <w:rsid w:val="004343B1"/>
    <w:rsid w:val="00434EB9"/>
    <w:rsid w:val="00436DD0"/>
    <w:rsid w:val="00442B5C"/>
    <w:rsid w:val="00453F14"/>
    <w:rsid w:val="00456442"/>
    <w:rsid w:val="00462200"/>
    <w:rsid w:val="00465A6E"/>
    <w:rsid w:val="00474099"/>
    <w:rsid w:val="00474AC5"/>
    <w:rsid w:val="004751D8"/>
    <w:rsid w:val="004804A5"/>
    <w:rsid w:val="00481D27"/>
    <w:rsid w:val="00484027"/>
    <w:rsid w:val="00486F74"/>
    <w:rsid w:val="00491CBC"/>
    <w:rsid w:val="004956AE"/>
    <w:rsid w:val="0049746D"/>
    <w:rsid w:val="004A2A30"/>
    <w:rsid w:val="004A2D54"/>
    <w:rsid w:val="004A60FB"/>
    <w:rsid w:val="004B4267"/>
    <w:rsid w:val="004B5CB6"/>
    <w:rsid w:val="004C322C"/>
    <w:rsid w:val="004C616B"/>
    <w:rsid w:val="004D2CD0"/>
    <w:rsid w:val="004D30FB"/>
    <w:rsid w:val="004D31CF"/>
    <w:rsid w:val="004D6861"/>
    <w:rsid w:val="004E52C3"/>
    <w:rsid w:val="004E6096"/>
    <w:rsid w:val="004F09D7"/>
    <w:rsid w:val="004F1EDD"/>
    <w:rsid w:val="004F38BF"/>
    <w:rsid w:val="004F5262"/>
    <w:rsid w:val="004F77D4"/>
    <w:rsid w:val="00500981"/>
    <w:rsid w:val="00501428"/>
    <w:rsid w:val="0050248F"/>
    <w:rsid w:val="005045E7"/>
    <w:rsid w:val="00506ADD"/>
    <w:rsid w:val="00510C33"/>
    <w:rsid w:val="005122A0"/>
    <w:rsid w:val="0052371C"/>
    <w:rsid w:val="00535022"/>
    <w:rsid w:val="0054038E"/>
    <w:rsid w:val="00540C49"/>
    <w:rsid w:val="0054593A"/>
    <w:rsid w:val="00547877"/>
    <w:rsid w:val="00554C9F"/>
    <w:rsid w:val="005550A4"/>
    <w:rsid w:val="00557B57"/>
    <w:rsid w:val="00563E13"/>
    <w:rsid w:val="005644BE"/>
    <w:rsid w:val="0057524E"/>
    <w:rsid w:val="00575521"/>
    <w:rsid w:val="00575A55"/>
    <w:rsid w:val="0057613A"/>
    <w:rsid w:val="00583AC8"/>
    <w:rsid w:val="00584565"/>
    <w:rsid w:val="00593E99"/>
    <w:rsid w:val="00595044"/>
    <w:rsid w:val="005A4BF4"/>
    <w:rsid w:val="005A5999"/>
    <w:rsid w:val="005A6C65"/>
    <w:rsid w:val="005B1077"/>
    <w:rsid w:val="005B36B5"/>
    <w:rsid w:val="005C25D5"/>
    <w:rsid w:val="005C47F7"/>
    <w:rsid w:val="005D0D0E"/>
    <w:rsid w:val="005D449F"/>
    <w:rsid w:val="005D73BE"/>
    <w:rsid w:val="005E1C97"/>
    <w:rsid w:val="005E6515"/>
    <w:rsid w:val="005F1F6B"/>
    <w:rsid w:val="005F3B7B"/>
    <w:rsid w:val="0060257F"/>
    <w:rsid w:val="00604E20"/>
    <w:rsid w:val="00604F63"/>
    <w:rsid w:val="00605989"/>
    <w:rsid w:val="006061BF"/>
    <w:rsid w:val="00607CF6"/>
    <w:rsid w:val="00610BB3"/>
    <w:rsid w:val="00613713"/>
    <w:rsid w:val="00615BD4"/>
    <w:rsid w:val="00617839"/>
    <w:rsid w:val="006222FA"/>
    <w:rsid w:val="006224FB"/>
    <w:rsid w:val="00623BB8"/>
    <w:rsid w:val="0063115F"/>
    <w:rsid w:val="00632159"/>
    <w:rsid w:val="00635995"/>
    <w:rsid w:val="006363DA"/>
    <w:rsid w:val="006373F8"/>
    <w:rsid w:val="00641097"/>
    <w:rsid w:val="006432C0"/>
    <w:rsid w:val="006456EA"/>
    <w:rsid w:val="00653983"/>
    <w:rsid w:val="00654CEA"/>
    <w:rsid w:val="006609C2"/>
    <w:rsid w:val="00663D75"/>
    <w:rsid w:val="0066478F"/>
    <w:rsid w:val="00675E89"/>
    <w:rsid w:val="00682849"/>
    <w:rsid w:val="00690558"/>
    <w:rsid w:val="00695F46"/>
    <w:rsid w:val="006969F1"/>
    <w:rsid w:val="006A2FAD"/>
    <w:rsid w:val="006A3C35"/>
    <w:rsid w:val="006A6D11"/>
    <w:rsid w:val="006B2259"/>
    <w:rsid w:val="006B3ECE"/>
    <w:rsid w:val="006C5754"/>
    <w:rsid w:val="006C7A76"/>
    <w:rsid w:val="006D03D9"/>
    <w:rsid w:val="006D6526"/>
    <w:rsid w:val="006E06BE"/>
    <w:rsid w:val="006E1DD0"/>
    <w:rsid w:val="006E674D"/>
    <w:rsid w:val="006E6770"/>
    <w:rsid w:val="006F154A"/>
    <w:rsid w:val="00701992"/>
    <w:rsid w:val="0070363C"/>
    <w:rsid w:val="0070445B"/>
    <w:rsid w:val="00712023"/>
    <w:rsid w:val="007144E9"/>
    <w:rsid w:val="007145C9"/>
    <w:rsid w:val="00714A1F"/>
    <w:rsid w:val="00717328"/>
    <w:rsid w:val="0072073D"/>
    <w:rsid w:val="00734725"/>
    <w:rsid w:val="00742C04"/>
    <w:rsid w:val="0074571D"/>
    <w:rsid w:val="00750962"/>
    <w:rsid w:val="00750A05"/>
    <w:rsid w:val="00752C05"/>
    <w:rsid w:val="00764C5B"/>
    <w:rsid w:val="00767018"/>
    <w:rsid w:val="00767870"/>
    <w:rsid w:val="0077196D"/>
    <w:rsid w:val="00771C92"/>
    <w:rsid w:val="00795586"/>
    <w:rsid w:val="00797DA3"/>
    <w:rsid w:val="007A17C3"/>
    <w:rsid w:val="007A2EB5"/>
    <w:rsid w:val="007A4844"/>
    <w:rsid w:val="007A4BE6"/>
    <w:rsid w:val="007B1DFE"/>
    <w:rsid w:val="007B33CE"/>
    <w:rsid w:val="007B7B81"/>
    <w:rsid w:val="007C1429"/>
    <w:rsid w:val="007C1D56"/>
    <w:rsid w:val="007C5441"/>
    <w:rsid w:val="007D1495"/>
    <w:rsid w:val="007D5A52"/>
    <w:rsid w:val="007D5CA1"/>
    <w:rsid w:val="007D75C8"/>
    <w:rsid w:val="007D7673"/>
    <w:rsid w:val="007E0EDC"/>
    <w:rsid w:val="007E2C66"/>
    <w:rsid w:val="007E59AB"/>
    <w:rsid w:val="007F1021"/>
    <w:rsid w:val="007F12A3"/>
    <w:rsid w:val="007F1BD3"/>
    <w:rsid w:val="007F2270"/>
    <w:rsid w:val="007F2DBB"/>
    <w:rsid w:val="007F7E7C"/>
    <w:rsid w:val="00801A08"/>
    <w:rsid w:val="00806C63"/>
    <w:rsid w:val="0081166B"/>
    <w:rsid w:val="00816613"/>
    <w:rsid w:val="00821A81"/>
    <w:rsid w:val="00825F63"/>
    <w:rsid w:val="008322D8"/>
    <w:rsid w:val="00837E5B"/>
    <w:rsid w:val="008472D3"/>
    <w:rsid w:val="008472F9"/>
    <w:rsid w:val="00851067"/>
    <w:rsid w:val="0085416C"/>
    <w:rsid w:val="00855329"/>
    <w:rsid w:val="00856A7C"/>
    <w:rsid w:val="0086041F"/>
    <w:rsid w:val="008739E7"/>
    <w:rsid w:val="00874645"/>
    <w:rsid w:val="008814E3"/>
    <w:rsid w:val="00881685"/>
    <w:rsid w:val="008844D9"/>
    <w:rsid w:val="00887BD0"/>
    <w:rsid w:val="00891C3A"/>
    <w:rsid w:val="00895E64"/>
    <w:rsid w:val="008A3638"/>
    <w:rsid w:val="008A3A3B"/>
    <w:rsid w:val="008A7188"/>
    <w:rsid w:val="008B1BA3"/>
    <w:rsid w:val="008B68F7"/>
    <w:rsid w:val="008C276D"/>
    <w:rsid w:val="008D72C3"/>
    <w:rsid w:val="008D799D"/>
    <w:rsid w:val="008E0A69"/>
    <w:rsid w:val="008E6142"/>
    <w:rsid w:val="008F0C40"/>
    <w:rsid w:val="008F2058"/>
    <w:rsid w:val="008F3187"/>
    <w:rsid w:val="008F3731"/>
    <w:rsid w:val="009020E3"/>
    <w:rsid w:val="00903C74"/>
    <w:rsid w:val="00904B69"/>
    <w:rsid w:val="009064CE"/>
    <w:rsid w:val="0090663A"/>
    <w:rsid w:val="00910AD1"/>
    <w:rsid w:val="00910B65"/>
    <w:rsid w:val="00912233"/>
    <w:rsid w:val="00914021"/>
    <w:rsid w:val="00917410"/>
    <w:rsid w:val="00921012"/>
    <w:rsid w:val="00921FB1"/>
    <w:rsid w:val="0092334A"/>
    <w:rsid w:val="009263E6"/>
    <w:rsid w:val="009264D0"/>
    <w:rsid w:val="009275ED"/>
    <w:rsid w:val="0093295F"/>
    <w:rsid w:val="0093360A"/>
    <w:rsid w:val="00935423"/>
    <w:rsid w:val="009354D3"/>
    <w:rsid w:val="009358D3"/>
    <w:rsid w:val="0093738F"/>
    <w:rsid w:val="00955433"/>
    <w:rsid w:val="00955764"/>
    <w:rsid w:val="00957A6F"/>
    <w:rsid w:val="0096086D"/>
    <w:rsid w:val="009649C2"/>
    <w:rsid w:val="00965DEB"/>
    <w:rsid w:val="00966A04"/>
    <w:rsid w:val="009738DE"/>
    <w:rsid w:val="009773B5"/>
    <w:rsid w:val="00980BEB"/>
    <w:rsid w:val="00980D94"/>
    <w:rsid w:val="00982DE3"/>
    <w:rsid w:val="00982F7B"/>
    <w:rsid w:val="009843D4"/>
    <w:rsid w:val="00986361"/>
    <w:rsid w:val="009867A7"/>
    <w:rsid w:val="0099076D"/>
    <w:rsid w:val="00991B64"/>
    <w:rsid w:val="0099690F"/>
    <w:rsid w:val="00996D38"/>
    <w:rsid w:val="00997F89"/>
    <w:rsid w:val="009A10C6"/>
    <w:rsid w:val="009A4503"/>
    <w:rsid w:val="009B008F"/>
    <w:rsid w:val="009C2D11"/>
    <w:rsid w:val="009C3FDE"/>
    <w:rsid w:val="009C4CE9"/>
    <w:rsid w:val="009C5D27"/>
    <w:rsid w:val="009E17B9"/>
    <w:rsid w:val="009F28F5"/>
    <w:rsid w:val="009F5763"/>
    <w:rsid w:val="00A06310"/>
    <w:rsid w:val="00A07846"/>
    <w:rsid w:val="00A17CA6"/>
    <w:rsid w:val="00A17CEA"/>
    <w:rsid w:val="00A22C2C"/>
    <w:rsid w:val="00A22FBF"/>
    <w:rsid w:val="00A2670C"/>
    <w:rsid w:val="00A3040C"/>
    <w:rsid w:val="00A346EF"/>
    <w:rsid w:val="00A37F85"/>
    <w:rsid w:val="00A53E9E"/>
    <w:rsid w:val="00A54087"/>
    <w:rsid w:val="00A57024"/>
    <w:rsid w:val="00A61757"/>
    <w:rsid w:val="00A62442"/>
    <w:rsid w:val="00A63939"/>
    <w:rsid w:val="00A65690"/>
    <w:rsid w:val="00A65FB0"/>
    <w:rsid w:val="00A66A23"/>
    <w:rsid w:val="00A743C6"/>
    <w:rsid w:val="00A8148C"/>
    <w:rsid w:val="00A831E7"/>
    <w:rsid w:val="00A8377D"/>
    <w:rsid w:val="00A85640"/>
    <w:rsid w:val="00A86AFC"/>
    <w:rsid w:val="00A91DC1"/>
    <w:rsid w:val="00A92BD0"/>
    <w:rsid w:val="00A9412B"/>
    <w:rsid w:val="00A94903"/>
    <w:rsid w:val="00AB536E"/>
    <w:rsid w:val="00AB69AD"/>
    <w:rsid w:val="00AB747E"/>
    <w:rsid w:val="00AC31F4"/>
    <w:rsid w:val="00AC6B15"/>
    <w:rsid w:val="00AD2569"/>
    <w:rsid w:val="00AD4124"/>
    <w:rsid w:val="00AD7DB5"/>
    <w:rsid w:val="00AE0761"/>
    <w:rsid w:val="00AE07A3"/>
    <w:rsid w:val="00AE0E7B"/>
    <w:rsid w:val="00AE2412"/>
    <w:rsid w:val="00AE2FE9"/>
    <w:rsid w:val="00AE318F"/>
    <w:rsid w:val="00AF0066"/>
    <w:rsid w:val="00AF00B8"/>
    <w:rsid w:val="00AF237D"/>
    <w:rsid w:val="00AF27B7"/>
    <w:rsid w:val="00AF63B5"/>
    <w:rsid w:val="00B005BD"/>
    <w:rsid w:val="00B03444"/>
    <w:rsid w:val="00B04F23"/>
    <w:rsid w:val="00B05185"/>
    <w:rsid w:val="00B062A5"/>
    <w:rsid w:val="00B068E7"/>
    <w:rsid w:val="00B14C16"/>
    <w:rsid w:val="00B14E68"/>
    <w:rsid w:val="00B23669"/>
    <w:rsid w:val="00B24860"/>
    <w:rsid w:val="00B33789"/>
    <w:rsid w:val="00B434EA"/>
    <w:rsid w:val="00B46BC1"/>
    <w:rsid w:val="00B56AFB"/>
    <w:rsid w:val="00B576A5"/>
    <w:rsid w:val="00B62A24"/>
    <w:rsid w:val="00B862DB"/>
    <w:rsid w:val="00B9042E"/>
    <w:rsid w:val="00B91AF6"/>
    <w:rsid w:val="00B922EE"/>
    <w:rsid w:val="00B92967"/>
    <w:rsid w:val="00B9596E"/>
    <w:rsid w:val="00B9713B"/>
    <w:rsid w:val="00BA2FA0"/>
    <w:rsid w:val="00BA3D8E"/>
    <w:rsid w:val="00BA40B4"/>
    <w:rsid w:val="00BA49EB"/>
    <w:rsid w:val="00BB0F85"/>
    <w:rsid w:val="00BC0132"/>
    <w:rsid w:val="00BC0598"/>
    <w:rsid w:val="00BC3993"/>
    <w:rsid w:val="00BC5E6C"/>
    <w:rsid w:val="00BC6B47"/>
    <w:rsid w:val="00BC7A4D"/>
    <w:rsid w:val="00BD0526"/>
    <w:rsid w:val="00BD2784"/>
    <w:rsid w:val="00BD46B2"/>
    <w:rsid w:val="00BE21ED"/>
    <w:rsid w:val="00BE3BBC"/>
    <w:rsid w:val="00BE3DBC"/>
    <w:rsid w:val="00BE4710"/>
    <w:rsid w:val="00BF0ACB"/>
    <w:rsid w:val="00BF11C6"/>
    <w:rsid w:val="00BF1309"/>
    <w:rsid w:val="00C07793"/>
    <w:rsid w:val="00C11004"/>
    <w:rsid w:val="00C111FE"/>
    <w:rsid w:val="00C1497F"/>
    <w:rsid w:val="00C20B9C"/>
    <w:rsid w:val="00C21E75"/>
    <w:rsid w:val="00C2509E"/>
    <w:rsid w:val="00C2778C"/>
    <w:rsid w:val="00C27F6A"/>
    <w:rsid w:val="00C3159C"/>
    <w:rsid w:val="00C35841"/>
    <w:rsid w:val="00C409C6"/>
    <w:rsid w:val="00C41194"/>
    <w:rsid w:val="00C41C74"/>
    <w:rsid w:val="00C4260E"/>
    <w:rsid w:val="00C43C76"/>
    <w:rsid w:val="00C47B63"/>
    <w:rsid w:val="00C47F8B"/>
    <w:rsid w:val="00C50567"/>
    <w:rsid w:val="00C742DD"/>
    <w:rsid w:val="00C846F6"/>
    <w:rsid w:val="00C94B4E"/>
    <w:rsid w:val="00C96048"/>
    <w:rsid w:val="00C96214"/>
    <w:rsid w:val="00C9797F"/>
    <w:rsid w:val="00CA1FB9"/>
    <w:rsid w:val="00CA2A25"/>
    <w:rsid w:val="00CA73C1"/>
    <w:rsid w:val="00CA79D7"/>
    <w:rsid w:val="00CB1748"/>
    <w:rsid w:val="00CB7BE6"/>
    <w:rsid w:val="00CC0E23"/>
    <w:rsid w:val="00CC2433"/>
    <w:rsid w:val="00CC40B9"/>
    <w:rsid w:val="00CD7E39"/>
    <w:rsid w:val="00CE2EFB"/>
    <w:rsid w:val="00CE5A10"/>
    <w:rsid w:val="00CF2D6E"/>
    <w:rsid w:val="00D02FD8"/>
    <w:rsid w:val="00D0529C"/>
    <w:rsid w:val="00D10832"/>
    <w:rsid w:val="00D11A3A"/>
    <w:rsid w:val="00D3104C"/>
    <w:rsid w:val="00D41B73"/>
    <w:rsid w:val="00D42152"/>
    <w:rsid w:val="00D43D89"/>
    <w:rsid w:val="00D50FDD"/>
    <w:rsid w:val="00D513E4"/>
    <w:rsid w:val="00D53B8E"/>
    <w:rsid w:val="00D56A51"/>
    <w:rsid w:val="00D602AC"/>
    <w:rsid w:val="00D6360F"/>
    <w:rsid w:val="00D70824"/>
    <w:rsid w:val="00D72472"/>
    <w:rsid w:val="00D760A9"/>
    <w:rsid w:val="00D760CF"/>
    <w:rsid w:val="00D8027E"/>
    <w:rsid w:val="00D80B97"/>
    <w:rsid w:val="00D925B8"/>
    <w:rsid w:val="00D92AC2"/>
    <w:rsid w:val="00D93233"/>
    <w:rsid w:val="00D949D0"/>
    <w:rsid w:val="00DA3B66"/>
    <w:rsid w:val="00DA4453"/>
    <w:rsid w:val="00DA4D95"/>
    <w:rsid w:val="00DA5650"/>
    <w:rsid w:val="00DA6836"/>
    <w:rsid w:val="00DA733A"/>
    <w:rsid w:val="00DB2417"/>
    <w:rsid w:val="00DC05A3"/>
    <w:rsid w:val="00DC6A0C"/>
    <w:rsid w:val="00DE3723"/>
    <w:rsid w:val="00DE49B7"/>
    <w:rsid w:val="00E03DB3"/>
    <w:rsid w:val="00E04EB8"/>
    <w:rsid w:val="00E06757"/>
    <w:rsid w:val="00E11A08"/>
    <w:rsid w:val="00E1280F"/>
    <w:rsid w:val="00E178A3"/>
    <w:rsid w:val="00E17B2C"/>
    <w:rsid w:val="00E24CBD"/>
    <w:rsid w:val="00E26EA1"/>
    <w:rsid w:val="00E27DEF"/>
    <w:rsid w:val="00E30081"/>
    <w:rsid w:val="00E30394"/>
    <w:rsid w:val="00E32743"/>
    <w:rsid w:val="00E340D2"/>
    <w:rsid w:val="00E342C7"/>
    <w:rsid w:val="00E354F6"/>
    <w:rsid w:val="00E356BD"/>
    <w:rsid w:val="00E412D0"/>
    <w:rsid w:val="00E4317C"/>
    <w:rsid w:val="00E53D4C"/>
    <w:rsid w:val="00E5677B"/>
    <w:rsid w:val="00E609ED"/>
    <w:rsid w:val="00E63703"/>
    <w:rsid w:val="00E64DDC"/>
    <w:rsid w:val="00E704C6"/>
    <w:rsid w:val="00E77545"/>
    <w:rsid w:val="00E775AC"/>
    <w:rsid w:val="00E77629"/>
    <w:rsid w:val="00E77A47"/>
    <w:rsid w:val="00E77B98"/>
    <w:rsid w:val="00E822DD"/>
    <w:rsid w:val="00E8471E"/>
    <w:rsid w:val="00E871BA"/>
    <w:rsid w:val="00E9025E"/>
    <w:rsid w:val="00E91E8C"/>
    <w:rsid w:val="00E942DA"/>
    <w:rsid w:val="00E94EF3"/>
    <w:rsid w:val="00E959E9"/>
    <w:rsid w:val="00E95E00"/>
    <w:rsid w:val="00E97167"/>
    <w:rsid w:val="00EA3CDA"/>
    <w:rsid w:val="00EB1611"/>
    <w:rsid w:val="00EB468A"/>
    <w:rsid w:val="00EB4B3E"/>
    <w:rsid w:val="00EC01E6"/>
    <w:rsid w:val="00EC3DC1"/>
    <w:rsid w:val="00EC4845"/>
    <w:rsid w:val="00EC6CC2"/>
    <w:rsid w:val="00EC7896"/>
    <w:rsid w:val="00ED1C27"/>
    <w:rsid w:val="00ED3D73"/>
    <w:rsid w:val="00ED3FA6"/>
    <w:rsid w:val="00ED5CDF"/>
    <w:rsid w:val="00ED6DCA"/>
    <w:rsid w:val="00EF0944"/>
    <w:rsid w:val="00EF7BE7"/>
    <w:rsid w:val="00F020D9"/>
    <w:rsid w:val="00F05141"/>
    <w:rsid w:val="00F054F6"/>
    <w:rsid w:val="00F07267"/>
    <w:rsid w:val="00F159E2"/>
    <w:rsid w:val="00F167CB"/>
    <w:rsid w:val="00F16AA1"/>
    <w:rsid w:val="00F2164E"/>
    <w:rsid w:val="00F22F9A"/>
    <w:rsid w:val="00F240EB"/>
    <w:rsid w:val="00F315FE"/>
    <w:rsid w:val="00F31FE6"/>
    <w:rsid w:val="00F32290"/>
    <w:rsid w:val="00F32AA7"/>
    <w:rsid w:val="00F33A67"/>
    <w:rsid w:val="00F40B12"/>
    <w:rsid w:val="00F43F5E"/>
    <w:rsid w:val="00F45BB8"/>
    <w:rsid w:val="00F4739C"/>
    <w:rsid w:val="00F53F80"/>
    <w:rsid w:val="00F5697E"/>
    <w:rsid w:val="00F57625"/>
    <w:rsid w:val="00F6024C"/>
    <w:rsid w:val="00F65150"/>
    <w:rsid w:val="00F673A2"/>
    <w:rsid w:val="00F67B89"/>
    <w:rsid w:val="00F716E6"/>
    <w:rsid w:val="00F71A10"/>
    <w:rsid w:val="00F72A3E"/>
    <w:rsid w:val="00F74B67"/>
    <w:rsid w:val="00F7577B"/>
    <w:rsid w:val="00F8348D"/>
    <w:rsid w:val="00F8412D"/>
    <w:rsid w:val="00F91726"/>
    <w:rsid w:val="00F91B25"/>
    <w:rsid w:val="00FB3B53"/>
    <w:rsid w:val="00FB551B"/>
    <w:rsid w:val="00FC2947"/>
    <w:rsid w:val="00FC69D9"/>
    <w:rsid w:val="00FD28C1"/>
    <w:rsid w:val="00FD7412"/>
    <w:rsid w:val="00FE6F42"/>
    <w:rsid w:val="00FE7EF3"/>
    <w:rsid w:val="00FF1703"/>
    <w:rsid w:val="00FF1EF9"/>
    <w:rsid w:val="00FF209A"/>
    <w:rsid w:val="00FF69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46E54"/>
  <w15:chartTrackingRefBased/>
  <w15:docId w15:val="{BD8A4DCD-E9B6-4CF3-BD97-B28BB205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spacing w:before="240" w:after="240"/>
      <w:ind w:left="1134" w:hanging="1134"/>
      <w:outlineLvl w:val="0"/>
    </w:pPr>
    <w:rPr>
      <w:rFonts w:ascii="Arial" w:hAnsi="Arial"/>
      <w:b/>
      <w:kern w:val="28"/>
      <w:sz w:val="28"/>
    </w:rPr>
  </w:style>
  <w:style w:type="paragraph" w:styleId="berschrift2">
    <w:name w:val="heading 2"/>
    <w:basedOn w:val="Standard"/>
    <w:next w:val="Standard"/>
    <w:qFormat/>
    <w:pPr>
      <w:keepNext/>
      <w:spacing w:before="240" w:after="240"/>
      <w:ind w:left="1134" w:hanging="1134"/>
      <w:outlineLvl w:val="1"/>
    </w:pPr>
    <w:rPr>
      <w:rFonts w:ascii="Arial" w:hAnsi="Arial"/>
      <w:b/>
      <w:sz w:val="28"/>
    </w:rPr>
  </w:style>
  <w:style w:type="paragraph" w:styleId="berschrift3">
    <w:name w:val="heading 3"/>
    <w:basedOn w:val="Standard"/>
    <w:next w:val="Standard"/>
    <w:qFormat/>
    <w:pPr>
      <w:keepNext/>
      <w:spacing w:before="240" w:after="240"/>
      <w:ind w:left="1134" w:hanging="1134"/>
      <w:outlineLvl w:val="2"/>
    </w:pPr>
    <w:rPr>
      <w:rFonts w:ascii="Arial" w:hAnsi="Arial"/>
      <w:b/>
    </w:rPr>
  </w:style>
  <w:style w:type="paragraph" w:styleId="berschrift4">
    <w:name w:val="heading 4"/>
    <w:basedOn w:val="Standard"/>
    <w:next w:val="Standard"/>
    <w:qFormat/>
    <w:pPr>
      <w:ind w:left="2552" w:hanging="851"/>
      <w:outlineLvl w:val="3"/>
    </w:pPr>
    <w:rPr>
      <w:rFonts w:ascii="Arial" w:hAnsi="Arial"/>
      <w:b/>
    </w:rPr>
  </w:style>
  <w:style w:type="paragraph" w:styleId="berschrift5">
    <w:name w:val="heading 5"/>
    <w:basedOn w:val="Standard"/>
    <w:next w:val="Standard"/>
    <w:qFormat/>
    <w:pPr>
      <w:spacing w:before="240" w:after="240"/>
      <w:ind w:left="1418" w:hanging="1418"/>
      <w:outlineLvl w:val="4"/>
    </w:pPr>
    <w:rPr>
      <w:rFonts w:ascii="Arial" w:hAnsi="Arial"/>
      <w:b/>
    </w:rPr>
  </w:style>
  <w:style w:type="paragraph" w:styleId="berschrift6">
    <w:name w:val="heading 6"/>
    <w:basedOn w:val="Standard"/>
    <w:next w:val="Standard"/>
    <w:qFormat/>
    <w:pPr>
      <w:spacing w:before="240" w:after="240"/>
      <w:ind w:left="1418" w:hanging="1418"/>
      <w:outlineLvl w:val="5"/>
    </w:pPr>
    <w:rPr>
      <w:rFonts w:ascii="Arial" w:hAnsi="Arial"/>
      <w:b/>
    </w:rPr>
  </w:style>
  <w:style w:type="paragraph" w:styleId="berschrift7">
    <w:name w:val="heading 7"/>
    <w:basedOn w:val="Standard"/>
    <w:next w:val="Standard"/>
    <w:qFormat/>
    <w:pPr>
      <w:spacing w:before="240" w:after="240"/>
      <w:ind w:left="1418" w:hanging="1418"/>
      <w:outlineLvl w:val="6"/>
    </w:pPr>
    <w:rPr>
      <w:rFonts w:ascii="Arial" w:hAnsi="Arial"/>
      <w:b/>
    </w:rPr>
  </w:style>
  <w:style w:type="paragraph" w:styleId="berschrift8">
    <w:name w:val="heading 8"/>
    <w:basedOn w:val="Standard"/>
    <w:next w:val="Standard"/>
    <w:qFormat/>
    <w:pPr>
      <w:spacing w:before="240" w:after="240"/>
      <w:ind w:left="1418" w:hanging="1418"/>
      <w:outlineLvl w:val="7"/>
    </w:pPr>
    <w:rPr>
      <w:rFonts w:ascii="Arial" w:hAnsi="Arial"/>
      <w:b/>
    </w:rPr>
  </w:style>
  <w:style w:type="paragraph" w:styleId="berschrift9">
    <w:name w:val="heading 9"/>
    <w:basedOn w:val="Standard"/>
    <w:next w:val="Standard"/>
    <w:qFormat/>
    <w:pPr>
      <w:spacing w:before="240" w:after="240"/>
      <w:ind w:left="1418" w:hanging="1418"/>
      <w:outlineLvl w:val="8"/>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jc w:val="center"/>
    </w:pPr>
    <w:rPr>
      <w:rFonts w:ascii="Arial" w:hAnsi="Arial"/>
      <w:b/>
      <w:sz w:val="20"/>
    </w:rPr>
  </w:style>
  <w:style w:type="paragraph" w:styleId="Kopfzeile">
    <w:name w:val="header"/>
    <w:basedOn w:val="Standard"/>
    <w:link w:val="KopfzeileZchn"/>
    <w:pPr>
      <w:tabs>
        <w:tab w:val="center" w:pos="4536"/>
        <w:tab w:val="right" w:pos="9072"/>
      </w:tabs>
    </w:pPr>
    <w:rPr>
      <w:sz w:val="20"/>
    </w:rPr>
  </w:style>
  <w:style w:type="paragraph" w:customStyle="1" w:styleId="HFlietext">
    <w:name w:val="H_Fließtext"/>
    <w:pPr>
      <w:overflowPunct w:val="0"/>
      <w:autoSpaceDE w:val="0"/>
      <w:autoSpaceDN w:val="0"/>
      <w:adjustRightInd w:val="0"/>
      <w:spacing w:line="280" w:lineRule="exact"/>
      <w:textAlignment w:val="baseline"/>
    </w:pPr>
    <w:rPr>
      <w:sz w:val="22"/>
    </w:rPr>
  </w:style>
  <w:style w:type="paragraph" w:styleId="Fuzeile">
    <w:name w:val="footer"/>
    <w:basedOn w:val="Standard"/>
    <w:pPr>
      <w:tabs>
        <w:tab w:val="center" w:pos="4536"/>
        <w:tab w:val="right" w:pos="9072"/>
      </w:tabs>
    </w:pPr>
    <w:rPr>
      <w:sz w:val="20"/>
    </w:rPr>
  </w:style>
  <w:style w:type="paragraph" w:customStyle="1" w:styleId="HFlietextfett">
    <w:name w:val="H_Fließtext fett"/>
    <w:basedOn w:val="HFlietext"/>
    <w:rPr>
      <w:b/>
    </w:rPr>
  </w:style>
  <w:style w:type="paragraph" w:customStyle="1" w:styleId="AbsenderArial2">
    <w:name w:val="Absender_Arial2"/>
    <w:basedOn w:val="Standard"/>
    <w:pPr>
      <w:spacing w:after="85" w:line="190" w:lineRule="exact"/>
    </w:pPr>
    <w:rPr>
      <w:rFonts w:ascii="Arial" w:hAnsi="Arial"/>
      <w:b/>
      <w:sz w:val="15"/>
    </w:rPr>
  </w:style>
  <w:style w:type="character" w:styleId="Seitenzahl">
    <w:name w:val="page number"/>
    <w:basedOn w:val="Absatz-Standardschriftart"/>
  </w:style>
  <w:style w:type="paragraph" w:customStyle="1" w:styleId="Sprechblasentext1">
    <w:name w:val="Sprechblasentext1"/>
    <w:basedOn w:val="Standard"/>
    <w:rPr>
      <w:rFonts w:ascii="Tahoma" w:hAnsi="Tahoma"/>
      <w:sz w:val="16"/>
    </w:rPr>
  </w:style>
  <w:style w:type="paragraph" w:styleId="Sprechblasentext">
    <w:name w:val="Balloon Text"/>
    <w:basedOn w:val="Standard"/>
    <w:semiHidden/>
    <w:rsid w:val="00B9596E"/>
    <w:rPr>
      <w:rFonts w:ascii="Tahoma" w:hAnsi="Tahoma" w:cs="Tahoma"/>
      <w:sz w:val="16"/>
      <w:szCs w:val="16"/>
    </w:rPr>
  </w:style>
  <w:style w:type="character" w:customStyle="1" w:styleId="KopfzeileZchn">
    <w:name w:val="Kopfzeile Zchn"/>
    <w:basedOn w:val="Absatz-Standardschriftart"/>
    <w:link w:val="Kopfzeile"/>
    <w:rsid w:val="00575A55"/>
  </w:style>
  <w:style w:type="character" w:styleId="Hyperlink">
    <w:name w:val="Hyperlink"/>
    <w:uiPriority w:val="99"/>
    <w:unhideWhenUsed/>
    <w:rsid w:val="0072073D"/>
    <w:rPr>
      <w:color w:val="0563C1"/>
      <w:u w:val="single"/>
    </w:rPr>
  </w:style>
  <w:style w:type="paragraph" w:customStyle="1" w:styleId="EinfAbs">
    <w:name w:val="[Einf. Abs.]"/>
    <w:basedOn w:val="Standard"/>
    <w:uiPriority w:val="99"/>
    <w:rsid w:val="00E775AC"/>
    <w:pPr>
      <w:overflowPunct/>
      <w:spacing w:line="288" w:lineRule="auto"/>
      <w:textAlignment w:val="center"/>
    </w:pPr>
    <w:rPr>
      <w:rFonts w:ascii="MinionPro-Regular" w:hAnsi="MinionPro-Regular" w:cs="MinionPro-Regular"/>
      <w:color w:val="000000"/>
      <w:szCs w:val="24"/>
    </w:rPr>
  </w:style>
  <w:style w:type="character" w:customStyle="1" w:styleId="NichtaufgelsteErwhnung1">
    <w:name w:val="Nicht aufgelöste Erwähnung1"/>
    <w:basedOn w:val="Absatz-Standardschriftart"/>
    <w:uiPriority w:val="99"/>
    <w:semiHidden/>
    <w:unhideWhenUsed/>
    <w:rsid w:val="00881685"/>
    <w:rPr>
      <w:color w:val="605E5C"/>
      <w:shd w:val="clear" w:color="auto" w:fill="E1DFDD"/>
    </w:rPr>
  </w:style>
  <w:style w:type="character" w:styleId="BesuchterLink">
    <w:name w:val="FollowedHyperlink"/>
    <w:basedOn w:val="Absatz-Standardschriftart"/>
    <w:uiPriority w:val="99"/>
    <w:semiHidden/>
    <w:unhideWhenUsed/>
    <w:rsid w:val="00881685"/>
    <w:rPr>
      <w:color w:val="954F72" w:themeColor="followedHyperlink"/>
      <w:u w:val="single"/>
    </w:rPr>
  </w:style>
  <w:style w:type="table" w:styleId="Tabellenraster">
    <w:name w:val="Table Grid"/>
    <w:basedOn w:val="NormaleTabelle"/>
    <w:uiPriority w:val="59"/>
    <w:rsid w:val="004A2D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rsid w:val="00161817"/>
    <w:pPr>
      <w:overflowPunct/>
      <w:autoSpaceDE/>
      <w:autoSpaceDN/>
      <w:adjustRightInd/>
      <w:spacing w:after="200"/>
      <w:textAlignment w:val="auto"/>
    </w:pPr>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rsid w:val="00161817"/>
    <w:rPr>
      <w:rFonts w:asciiTheme="minorHAnsi" w:eastAsiaTheme="minorHAnsi" w:hAnsiTheme="minorHAnsi" w:cstheme="minorBidi"/>
      <w:lang w:eastAsia="en-US"/>
    </w:rPr>
  </w:style>
  <w:style w:type="table" w:customStyle="1" w:styleId="TableGrid1">
    <w:name w:val="Table Grid1"/>
    <w:basedOn w:val="NormaleTabelle"/>
    <w:next w:val="Tabellenraster"/>
    <w:uiPriority w:val="59"/>
    <w:rsid w:val="001618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1618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914021"/>
    <w:rPr>
      <w:b/>
      <w:bCs/>
    </w:rPr>
  </w:style>
  <w:style w:type="character" w:styleId="Kommentarzeichen">
    <w:name w:val="annotation reference"/>
    <w:basedOn w:val="Absatz-Standardschriftart"/>
    <w:uiPriority w:val="99"/>
    <w:semiHidden/>
    <w:unhideWhenUsed/>
    <w:rsid w:val="00BD0526"/>
    <w:rPr>
      <w:sz w:val="16"/>
      <w:szCs w:val="16"/>
    </w:rPr>
  </w:style>
  <w:style w:type="paragraph" w:styleId="Kommentarthema">
    <w:name w:val="annotation subject"/>
    <w:basedOn w:val="Kommentartext"/>
    <w:next w:val="Kommentartext"/>
    <w:link w:val="KommentarthemaZchn"/>
    <w:uiPriority w:val="99"/>
    <w:semiHidden/>
    <w:unhideWhenUsed/>
    <w:rsid w:val="00BD0526"/>
    <w:pPr>
      <w:overflowPunct w:val="0"/>
      <w:autoSpaceDE w:val="0"/>
      <w:autoSpaceDN w:val="0"/>
      <w:adjustRightInd w:val="0"/>
      <w:spacing w:after="0"/>
      <w:textAlignment w:val="baseline"/>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uiPriority w:val="99"/>
    <w:semiHidden/>
    <w:rsid w:val="00BD0526"/>
    <w:rPr>
      <w:rFonts w:asciiTheme="minorHAnsi" w:eastAsiaTheme="minorHAnsi" w:hAnsiTheme="minorHAnsi" w:cstheme="minorBidi"/>
      <w:b/>
      <w:bCs/>
      <w:lang w:eastAsia="en-US"/>
    </w:rPr>
  </w:style>
  <w:style w:type="paragraph" w:styleId="Listenabsatz">
    <w:name w:val="List Paragraph"/>
    <w:basedOn w:val="Standard"/>
    <w:uiPriority w:val="34"/>
    <w:qFormat/>
    <w:rsid w:val="00465A6E"/>
    <w:pPr>
      <w:ind w:left="720"/>
      <w:contextualSpacing/>
    </w:pPr>
  </w:style>
  <w:style w:type="paragraph" w:styleId="berarbeitung">
    <w:name w:val="Revision"/>
    <w:hidden/>
    <w:uiPriority w:val="99"/>
    <w:semiHidden/>
    <w:rsid w:val="00910AD1"/>
    <w:rPr>
      <w:sz w:val="24"/>
    </w:rPr>
  </w:style>
  <w:style w:type="paragraph" w:styleId="StandardWeb">
    <w:name w:val="Normal (Web)"/>
    <w:basedOn w:val="Standard"/>
    <w:uiPriority w:val="99"/>
    <w:semiHidden/>
    <w:unhideWhenUsed/>
    <w:rsid w:val="00A17CE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0432">
      <w:bodyDiv w:val="1"/>
      <w:marLeft w:val="0"/>
      <w:marRight w:val="0"/>
      <w:marTop w:val="0"/>
      <w:marBottom w:val="0"/>
      <w:divBdr>
        <w:top w:val="none" w:sz="0" w:space="0" w:color="auto"/>
        <w:left w:val="none" w:sz="0" w:space="0" w:color="auto"/>
        <w:bottom w:val="none" w:sz="0" w:space="0" w:color="auto"/>
        <w:right w:val="none" w:sz="0" w:space="0" w:color="auto"/>
      </w:divBdr>
    </w:div>
    <w:div w:id="338893317">
      <w:bodyDiv w:val="1"/>
      <w:marLeft w:val="0"/>
      <w:marRight w:val="0"/>
      <w:marTop w:val="0"/>
      <w:marBottom w:val="0"/>
      <w:divBdr>
        <w:top w:val="none" w:sz="0" w:space="0" w:color="auto"/>
        <w:left w:val="none" w:sz="0" w:space="0" w:color="auto"/>
        <w:bottom w:val="none" w:sz="0" w:space="0" w:color="auto"/>
        <w:right w:val="none" w:sz="0" w:space="0" w:color="auto"/>
      </w:divBdr>
    </w:div>
    <w:div w:id="382366954">
      <w:bodyDiv w:val="1"/>
      <w:marLeft w:val="0"/>
      <w:marRight w:val="0"/>
      <w:marTop w:val="0"/>
      <w:marBottom w:val="0"/>
      <w:divBdr>
        <w:top w:val="none" w:sz="0" w:space="0" w:color="auto"/>
        <w:left w:val="none" w:sz="0" w:space="0" w:color="auto"/>
        <w:bottom w:val="none" w:sz="0" w:space="0" w:color="auto"/>
        <w:right w:val="none" w:sz="0" w:space="0" w:color="auto"/>
      </w:divBdr>
    </w:div>
    <w:div w:id="415321778">
      <w:bodyDiv w:val="1"/>
      <w:marLeft w:val="0"/>
      <w:marRight w:val="0"/>
      <w:marTop w:val="0"/>
      <w:marBottom w:val="0"/>
      <w:divBdr>
        <w:top w:val="none" w:sz="0" w:space="0" w:color="auto"/>
        <w:left w:val="none" w:sz="0" w:space="0" w:color="auto"/>
        <w:bottom w:val="none" w:sz="0" w:space="0" w:color="auto"/>
        <w:right w:val="none" w:sz="0" w:space="0" w:color="auto"/>
      </w:divBdr>
    </w:div>
    <w:div w:id="514268992">
      <w:bodyDiv w:val="1"/>
      <w:marLeft w:val="0"/>
      <w:marRight w:val="0"/>
      <w:marTop w:val="0"/>
      <w:marBottom w:val="0"/>
      <w:divBdr>
        <w:top w:val="none" w:sz="0" w:space="0" w:color="auto"/>
        <w:left w:val="none" w:sz="0" w:space="0" w:color="auto"/>
        <w:bottom w:val="none" w:sz="0" w:space="0" w:color="auto"/>
        <w:right w:val="none" w:sz="0" w:space="0" w:color="auto"/>
      </w:divBdr>
      <w:divsChild>
        <w:div w:id="1579559349">
          <w:marLeft w:val="0"/>
          <w:marRight w:val="0"/>
          <w:marTop w:val="0"/>
          <w:marBottom w:val="0"/>
          <w:divBdr>
            <w:top w:val="none" w:sz="0" w:space="0" w:color="auto"/>
            <w:left w:val="none" w:sz="0" w:space="0" w:color="auto"/>
            <w:bottom w:val="none" w:sz="0" w:space="0" w:color="auto"/>
            <w:right w:val="none" w:sz="0" w:space="0" w:color="auto"/>
          </w:divBdr>
        </w:div>
      </w:divsChild>
    </w:div>
    <w:div w:id="575019974">
      <w:bodyDiv w:val="1"/>
      <w:marLeft w:val="0"/>
      <w:marRight w:val="0"/>
      <w:marTop w:val="0"/>
      <w:marBottom w:val="0"/>
      <w:divBdr>
        <w:top w:val="none" w:sz="0" w:space="0" w:color="auto"/>
        <w:left w:val="none" w:sz="0" w:space="0" w:color="auto"/>
        <w:bottom w:val="none" w:sz="0" w:space="0" w:color="auto"/>
        <w:right w:val="none" w:sz="0" w:space="0" w:color="auto"/>
      </w:divBdr>
    </w:div>
    <w:div w:id="588004245">
      <w:bodyDiv w:val="1"/>
      <w:marLeft w:val="0"/>
      <w:marRight w:val="0"/>
      <w:marTop w:val="0"/>
      <w:marBottom w:val="0"/>
      <w:divBdr>
        <w:top w:val="none" w:sz="0" w:space="0" w:color="auto"/>
        <w:left w:val="none" w:sz="0" w:space="0" w:color="auto"/>
        <w:bottom w:val="none" w:sz="0" w:space="0" w:color="auto"/>
        <w:right w:val="none" w:sz="0" w:space="0" w:color="auto"/>
      </w:divBdr>
    </w:div>
    <w:div w:id="638538653">
      <w:bodyDiv w:val="1"/>
      <w:marLeft w:val="0"/>
      <w:marRight w:val="0"/>
      <w:marTop w:val="0"/>
      <w:marBottom w:val="0"/>
      <w:divBdr>
        <w:top w:val="none" w:sz="0" w:space="0" w:color="auto"/>
        <w:left w:val="none" w:sz="0" w:space="0" w:color="auto"/>
        <w:bottom w:val="none" w:sz="0" w:space="0" w:color="auto"/>
        <w:right w:val="none" w:sz="0" w:space="0" w:color="auto"/>
      </w:divBdr>
    </w:div>
    <w:div w:id="752241426">
      <w:bodyDiv w:val="1"/>
      <w:marLeft w:val="0"/>
      <w:marRight w:val="0"/>
      <w:marTop w:val="0"/>
      <w:marBottom w:val="0"/>
      <w:divBdr>
        <w:top w:val="none" w:sz="0" w:space="0" w:color="auto"/>
        <w:left w:val="none" w:sz="0" w:space="0" w:color="auto"/>
        <w:bottom w:val="none" w:sz="0" w:space="0" w:color="auto"/>
        <w:right w:val="none" w:sz="0" w:space="0" w:color="auto"/>
      </w:divBdr>
    </w:div>
    <w:div w:id="763770594">
      <w:bodyDiv w:val="1"/>
      <w:marLeft w:val="0"/>
      <w:marRight w:val="0"/>
      <w:marTop w:val="0"/>
      <w:marBottom w:val="0"/>
      <w:divBdr>
        <w:top w:val="none" w:sz="0" w:space="0" w:color="auto"/>
        <w:left w:val="none" w:sz="0" w:space="0" w:color="auto"/>
        <w:bottom w:val="none" w:sz="0" w:space="0" w:color="auto"/>
        <w:right w:val="none" w:sz="0" w:space="0" w:color="auto"/>
      </w:divBdr>
    </w:div>
    <w:div w:id="855270191">
      <w:bodyDiv w:val="1"/>
      <w:marLeft w:val="0"/>
      <w:marRight w:val="0"/>
      <w:marTop w:val="0"/>
      <w:marBottom w:val="0"/>
      <w:divBdr>
        <w:top w:val="none" w:sz="0" w:space="0" w:color="auto"/>
        <w:left w:val="none" w:sz="0" w:space="0" w:color="auto"/>
        <w:bottom w:val="none" w:sz="0" w:space="0" w:color="auto"/>
        <w:right w:val="none" w:sz="0" w:space="0" w:color="auto"/>
      </w:divBdr>
    </w:div>
    <w:div w:id="866719628">
      <w:bodyDiv w:val="1"/>
      <w:marLeft w:val="0"/>
      <w:marRight w:val="0"/>
      <w:marTop w:val="0"/>
      <w:marBottom w:val="0"/>
      <w:divBdr>
        <w:top w:val="none" w:sz="0" w:space="0" w:color="auto"/>
        <w:left w:val="none" w:sz="0" w:space="0" w:color="auto"/>
        <w:bottom w:val="none" w:sz="0" w:space="0" w:color="auto"/>
        <w:right w:val="none" w:sz="0" w:space="0" w:color="auto"/>
      </w:divBdr>
    </w:div>
    <w:div w:id="985744964">
      <w:bodyDiv w:val="1"/>
      <w:marLeft w:val="0"/>
      <w:marRight w:val="0"/>
      <w:marTop w:val="0"/>
      <w:marBottom w:val="0"/>
      <w:divBdr>
        <w:top w:val="none" w:sz="0" w:space="0" w:color="auto"/>
        <w:left w:val="none" w:sz="0" w:space="0" w:color="auto"/>
        <w:bottom w:val="none" w:sz="0" w:space="0" w:color="auto"/>
        <w:right w:val="none" w:sz="0" w:space="0" w:color="auto"/>
      </w:divBdr>
    </w:div>
    <w:div w:id="1165167782">
      <w:bodyDiv w:val="1"/>
      <w:marLeft w:val="0"/>
      <w:marRight w:val="0"/>
      <w:marTop w:val="0"/>
      <w:marBottom w:val="0"/>
      <w:divBdr>
        <w:top w:val="none" w:sz="0" w:space="0" w:color="auto"/>
        <w:left w:val="none" w:sz="0" w:space="0" w:color="auto"/>
        <w:bottom w:val="none" w:sz="0" w:space="0" w:color="auto"/>
        <w:right w:val="none" w:sz="0" w:space="0" w:color="auto"/>
      </w:divBdr>
    </w:div>
    <w:div w:id="1203438852">
      <w:bodyDiv w:val="1"/>
      <w:marLeft w:val="0"/>
      <w:marRight w:val="0"/>
      <w:marTop w:val="0"/>
      <w:marBottom w:val="0"/>
      <w:divBdr>
        <w:top w:val="none" w:sz="0" w:space="0" w:color="auto"/>
        <w:left w:val="none" w:sz="0" w:space="0" w:color="auto"/>
        <w:bottom w:val="none" w:sz="0" w:space="0" w:color="auto"/>
        <w:right w:val="none" w:sz="0" w:space="0" w:color="auto"/>
      </w:divBdr>
    </w:div>
    <w:div w:id="1261718491">
      <w:bodyDiv w:val="1"/>
      <w:marLeft w:val="0"/>
      <w:marRight w:val="0"/>
      <w:marTop w:val="0"/>
      <w:marBottom w:val="0"/>
      <w:divBdr>
        <w:top w:val="none" w:sz="0" w:space="0" w:color="auto"/>
        <w:left w:val="none" w:sz="0" w:space="0" w:color="auto"/>
        <w:bottom w:val="none" w:sz="0" w:space="0" w:color="auto"/>
        <w:right w:val="none" w:sz="0" w:space="0" w:color="auto"/>
      </w:divBdr>
    </w:div>
    <w:div w:id="1459373238">
      <w:bodyDiv w:val="1"/>
      <w:marLeft w:val="0"/>
      <w:marRight w:val="0"/>
      <w:marTop w:val="0"/>
      <w:marBottom w:val="0"/>
      <w:divBdr>
        <w:top w:val="none" w:sz="0" w:space="0" w:color="auto"/>
        <w:left w:val="none" w:sz="0" w:space="0" w:color="auto"/>
        <w:bottom w:val="none" w:sz="0" w:space="0" w:color="auto"/>
        <w:right w:val="none" w:sz="0" w:space="0" w:color="auto"/>
      </w:divBdr>
      <w:divsChild>
        <w:div w:id="1865098538">
          <w:marLeft w:val="0"/>
          <w:marRight w:val="0"/>
          <w:marTop w:val="0"/>
          <w:marBottom w:val="0"/>
          <w:divBdr>
            <w:top w:val="none" w:sz="0" w:space="0" w:color="auto"/>
            <w:left w:val="none" w:sz="0" w:space="0" w:color="auto"/>
            <w:bottom w:val="none" w:sz="0" w:space="0" w:color="auto"/>
            <w:right w:val="none" w:sz="0" w:space="0" w:color="auto"/>
          </w:divBdr>
        </w:div>
      </w:divsChild>
    </w:div>
    <w:div w:id="1508712007">
      <w:bodyDiv w:val="1"/>
      <w:marLeft w:val="0"/>
      <w:marRight w:val="0"/>
      <w:marTop w:val="0"/>
      <w:marBottom w:val="0"/>
      <w:divBdr>
        <w:top w:val="none" w:sz="0" w:space="0" w:color="auto"/>
        <w:left w:val="none" w:sz="0" w:space="0" w:color="auto"/>
        <w:bottom w:val="none" w:sz="0" w:space="0" w:color="auto"/>
        <w:right w:val="none" w:sz="0" w:space="0" w:color="auto"/>
      </w:divBdr>
    </w:div>
    <w:div w:id="1571890406">
      <w:bodyDiv w:val="1"/>
      <w:marLeft w:val="0"/>
      <w:marRight w:val="0"/>
      <w:marTop w:val="0"/>
      <w:marBottom w:val="0"/>
      <w:divBdr>
        <w:top w:val="none" w:sz="0" w:space="0" w:color="auto"/>
        <w:left w:val="none" w:sz="0" w:space="0" w:color="auto"/>
        <w:bottom w:val="none" w:sz="0" w:space="0" w:color="auto"/>
        <w:right w:val="none" w:sz="0" w:space="0" w:color="auto"/>
      </w:divBdr>
    </w:div>
    <w:div w:id="1639645235">
      <w:bodyDiv w:val="1"/>
      <w:marLeft w:val="0"/>
      <w:marRight w:val="0"/>
      <w:marTop w:val="0"/>
      <w:marBottom w:val="0"/>
      <w:divBdr>
        <w:top w:val="none" w:sz="0" w:space="0" w:color="auto"/>
        <w:left w:val="none" w:sz="0" w:space="0" w:color="auto"/>
        <w:bottom w:val="none" w:sz="0" w:space="0" w:color="auto"/>
        <w:right w:val="none" w:sz="0" w:space="0" w:color="auto"/>
      </w:divBdr>
    </w:div>
    <w:div w:id="1647053523">
      <w:bodyDiv w:val="1"/>
      <w:marLeft w:val="0"/>
      <w:marRight w:val="0"/>
      <w:marTop w:val="0"/>
      <w:marBottom w:val="0"/>
      <w:divBdr>
        <w:top w:val="none" w:sz="0" w:space="0" w:color="auto"/>
        <w:left w:val="none" w:sz="0" w:space="0" w:color="auto"/>
        <w:bottom w:val="none" w:sz="0" w:space="0" w:color="auto"/>
        <w:right w:val="none" w:sz="0" w:space="0" w:color="auto"/>
      </w:divBdr>
    </w:div>
    <w:div w:id="1737432659">
      <w:bodyDiv w:val="1"/>
      <w:marLeft w:val="0"/>
      <w:marRight w:val="0"/>
      <w:marTop w:val="0"/>
      <w:marBottom w:val="0"/>
      <w:divBdr>
        <w:top w:val="none" w:sz="0" w:space="0" w:color="auto"/>
        <w:left w:val="none" w:sz="0" w:space="0" w:color="auto"/>
        <w:bottom w:val="none" w:sz="0" w:space="0" w:color="auto"/>
        <w:right w:val="none" w:sz="0" w:space="0" w:color="auto"/>
      </w:divBdr>
    </w:div>
    <w:div w:id="1865942798">
      <w:bodyDiv w:val="1"/>
      <w:marLeft w:val="0"/>
      <w:marRight w:val="0"/>
      <w:marTop w:val="0"/>
      <w:marBottom w:val="0"/>
      <w:divBdr>
        <w:top w:val="none" w:sz="0" w:space="0" w:color="auto"/>
        <w:left w:val="none" w:sz="0" w:space="0" w:color="auto"/>
        <w:bottom w:val="none" w:sz="0" w:space="0" w:color="auto"/>
        <w:right w:val="none" w:sz="0" w:space="0" w:color="auto"/>
      </w:divBdr>
    </w:div>
    <w:div w:id="1914313508">
      <w:bodyDiv w:val="1"/>
      <w:marLeft w:val="0"/>
      <w:marRight w:val="0"/>
      <w:marTop w:val="0"/>
      <w:marBottom w:val="0"/>
      <w:divBdr>
        <w:top w:val="none" w:sz="0" w:space="0" w:color="auto"/>
        <w:left w:val="none" w:sz="0" w:space="0" w:color="auto"/>
        <w:bottom w:val="none" w:sz="0" w:space="0" w:color="auto"/>
        <w:right w:val="none" w:sz="0" w:space="0" w:color="auto"/>
      </w:divBdr>
    </w:div>
    <w:div w:id="2069910346">
      <w:bodyDiv w:val="1"/>
      <w:marLeft w:val="0"/>
      <w:marRight w:val="0"/>
      <w:marTop w:val="0"/>
      <w:marBottom w:val="0"/>
      <w:divBdr>
        <w:top w:val="none" w:sz="0" w:space="0" w:color="auto"/>
        <w:left w:val="none" w:sz="0" w:space="0" w:color="auto"/>
        <w:bottom w:val="none" w:sz="0" w:space="0" w:color="auto"/>
        <w:right w:val="none" w:sz="0" w:space="0" w:color="auto"/>
      </w:divBdr>
    </w:div>
    <w:div w:id="20823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rmanpropertypartners.de/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6042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OFB-Brief Frankfurt</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OFB-Brief Frankfurt</dc:title>
  <dc:subject/>
  <dc:creator>Keller, Yvonne</dc:creator>
  <cp:keywords/>
  <cp:lastModifiedBy>Corinna Fühner</cp:lastModifiedBy>
  <cp:revision>18</cp:revision>
  <cp:lastPrinted>2022-03-30T15:12:00Z</cp:lastPrinted>
  <dcterms:created xsi:type="dcterms:W3CDTF">2026-03-31T14:24:00Z</dcterms:created>
  <dcterms:modified xsi:type="dcterms:W3CDTF">2026-07-01T09:25:00Z</dcterms:modified>
</cp:coreProperties>
</file>