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2A44A2FB"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r w:rsidR="008575C5">
        <w:rPr>
          <w:rFonts w:ascii="Arial" w:eastAsia="Arial" w:hAnsi="Arial" w:cs="Arial"/>
          <w:b/>
          <w:color w:val="000000"/>
          <w:sz w:val="20"/>
          <w:szCs w:val="20"/>
        </w:rPr>
        <w:br/>
      </w:r>
    </w:p>
    <w:bookmarkEnd w:id="3"/>
    <w:p w14:paraId="0FB9FA28" w14:textId="2EBDA3AF" w:rsidR="008575C5" w:rsidRDefault="008575C5" w:rsidP="008575C5">
      <w:pPr>
        <w:spacing w:after="160" w:line="276" w:lineRule="auto"/>
        <w:rPr>
          <w:b/>
          <w:bCs/>
          <w:sz w:val="28"/>
          <w:szCs w:val="28"/>
        </w:rPr>
      </w:pPr>
      <w:r w:rsidRPr="665EF720">
        <w:rPr>
          <w:b/>
          <w:bCs/>
          <w:sz w:val="28"/>
          <w:szCs w:val="28"/>
        </w:rPr>
        <w:t xml:space="preserve">Aygül Özkan als Sachverständige in der Anhörung </w:t>
      </w:r>
      <w:r>
        <w:rPr>
          <w:b/>
          <w:bCs/>
          <w:sz w:val="28"/>
          <w:szCs w:val="28"/>
        </w:rPr>
        <w:t>„</w:t>
      </w:r>
      <w:r w:rsidRPr="665EF720">
        <w:rPr>
          <w:b/>
          <w:bCs/>
          <w:sz w:val="28"/>
          <w:szCs w:val="28"/>
        </w:rPr>
        <w:t>Bau-Turbo</w:t>
      </w:r>
      <w:r>
        <w:rPr>
          <w:b/>
          <w:bCs/>
          <w:sz w:val="28"/>
          <w:szCs w:val="28"/>
        </w:rPr>
        <w:t>“</w:t>
      </w:r>
      <w:r w:rsidRPr="665EF720">
        <w:rPr>
          <w:b/>
          <w:bCs/>
          <w:sz w:val="28"/>
          <w:szCs w:val="28"/>
        </w:rPr>
        <w:t xml:space="preserve">: </w:t>
      </w:r>
      <w:r>
        <w:br/>
      </w:r>
      <w:r w:rsidRPr="665EF720">
        <w:rPr>
          <w:b/>
          <w:bCs/>
          <w:sz w:val="28"/>
          <w:szCs w:val="28"/>
        </w:rPr>
        <w:t>Jetzt sind die Kommunen in der Pflicht</w:t>
      </w:r>
      <w:r>
        <w:rPr>
          <w:b/>
          <w:bCs/>
          <w:sz w:val="28"/>
          <w:szCs w:val="28"/>
        </w:rPr>
        <w:tab/>
      </w:r>
      <w:r>
        <w:rPr>
          <w:b/>
          <w:bCs/>
          <w:sz w:val="28"/>
          <w:szCs w:val="28"/>
        </w:rPr>
        <w:br/>
      </w:r>
    </w:p>
    <w:p w14:paraId="6CBE8C8C" w14:textId="3AF953FB" w:rsidR="008575C5" w:rsidRPr="008575C5" w:rsidRDefault="008575C5" w:rsidP="008575C5">
      <w:pPr>
        <w:spacing w:after="160" w:line="276" w:lineRule="auto"/>
        <w:rPr>
          <w:sz w:val="22"/>
        </w:rPr>
      </w:pPr>
      <w:r w:rsidRPr="008575C5">
        <w:rPr>
          <w:b/>
          <w:bCs/>
          <w:sz w:val="22"/>
        </w:rPr>
        <w:t xml:space="preserve">Berlin, 9.9.2025 </w:t>
      </w:r>
      <w:r>
        <w:rPr>
          <w:b/>
          <w:bCs/>
          <w:sz w:val="22"/>
        </w:rPr>
        <w:t xml:space="preserve">– </w:t>
      </w:r>
      <w:r w:rsidRPr="008575C5">
        <w:rPr>
          <w:sz w:val="22"/>
        </w:rPr>
        <w:t>Der Zentrale Immobilien</w:t>
      </w:r>
      <w:r>
        <w:rPr>
          <w:sz w:val="22"/>
        </w:rPr>
        <w:t xml:space="preserve"> A</w:t>
      </w:r>
      <w:r w:rsidRPr="008575C5">
        <w:rPr>
          <w:sz w:val="22"/>
        </w:rPr>
        <w:t>usschuss</w:t>
      </w:r>
      <w:r>
        <w:rPr>
          <w:sz w:val="22"/>
        </w:rPr>
        <w:t xml:space="preserve"> e.V.</w:t>
      </w:r>
      <w:r w:rsidRPr="008575C5">
        <w:rPr>
          <w:sz w:val="22"/>
        </w:rPr>
        <w:t xml:space="preserve"> (ZIA) begrüßt bei der Anhörung der Sachverständigen im Bundestagausschuss für Wohnen, Stadtentwicklung, Bauwesen und Kommunen das grundsätzliche Ziel der Bundesregierung, mit dem Gesetzesentwurf zur Beschleunigung des Wohnungsbaus und der Wohnraumsicherung („Bau-Turbo“) die Schaffung von bezahlbarem Wohnraum deutlich zu stärken. </w:t>
      </w:r>
    </w:p>
    <w:p w14:paraId="6522C3A7" w14:textId="77777777" w:rsidR="008575C5" w:rsidRPr="008575C5" w:rsidRDefault="008575C5" w:rsidP="008575C5">
      <w:pPr>
        <w:spacing w:after="160" w:line="276" w:lineRule="auto"/>
        <w:rPr>
          <w:color w:val="000000" w:themeColor="text1"/>
          <w:sz w:val="22"/>
        </w:rPr>
      </w:pPr>
      <w:r w:rsidRPr="008575C5">
        <w:rPr>
          <w:sz w:val="22"/>
        </w:rPr>
        <w:t>„Der Gesetzesentwurf ist ein wichtiger erster Schritt“, so Aygül Özkan, ZIA-Hauptgeschäftsführerin. „</w:t>
      </w:r>
      <w:r w:rsidRPr="008575C5">
        <w:rPr>
          <w:color w:val="000000" w:themeColor="text1"/>
          <w:sz w:val="22"/>
        </w:rPr>
        <w:t xml:space="preserve">Er bringt dringend benötigte Erleichterungen und kann wichtige Impulse für den Wohnungsneubau setzen. Jetzt kommt es darauf an, dass Bundestag und Bundesrat das Gesetz schnell verabschieden – mit allen Möglichkeiten zur Fristverkürzung.” </w:t>
      </w:r>
    </w:p>
    <w:p w14:paraId="01B8D3FC" w14:textId="42EB383E" w:rsidR="008575C5" w:rsidRPr="008575C5" w:rsidRDefault="008575C5" w:rsidP="008575C5">
      <w:pPr>
        <w:spacing w:after="160" w:line="276" w:lineRule="auto"/>
        <w:rPr>
          <w:sz w:val="22"/>
        </w:rPr>
      </w:pPr>
      <w:r w:rsidRPr="008575C5">
        <w:rPr>
          <w:sz w:val="22"/>
        </w:rPr>
        <w:t xml:space="preserve">Gleichzeitig warnt der ZIA vor Risiken, die den Beschleunigungseffekt in der Praxis </w:t>
      </w:r>
      <w:r w:rsidR="005E2DC8" w:rsidRPr="008575C5">
        <w:rPr>
          <w:sz w:val="22"/>
        </w:rPr>
        <w:t>zunichtemachen</w:t>
      </w:r>
      <w:r w:rsidRPr="008575C5">
        <w:rPr>
          <w:sz w:val="22"/>
        </w:rPr>
        <w:t xml:space="preserve"> könnten: Kritikpunkte sind insbesondere die Befristung der Sonderregelung bis 2030 und die Neueinordnung und Ausweitung des Zustimmungsvorbehalts der Gemeinden. </w:t>
      </w:r>
    </w:p>
    <w:p w14:paraId="2AA916C2" w14:textId="77777777" w:rsidR="008575C5" w:rsidRPr="008575C5" w:rsidRDefault="008575C5" w:rsidP="008575C5">
      <w:pPr>
        <w:spacing w:after="160" w:line="276" w:lineRule="auto"/>
        <w:ind w:firstLine="0"/>
        <w:rPr>
          <w:sz w:val="22"/>
        </w:rPr>
      </w:pPr>
      <w:r w:rsidRPr="008575C5">
        <w:rPr>
          <w:sz w:val="22"/>
        </w:rPr>
        <w:t>„Was als Beschleunigung gedacht ist, könnte in der Praxis Bürokratie-Aufwand bedeuten und als Bremse wirken. Es muss klar sein, dass die Kommunen den Bau-Turbo nun auch anwenden müssen. Außerdem muss d</w:t>
      </w:r>
      <w:r w:rsidRPr="008575C5">
        <w:rPr>
          <w:color w:val="000000" w:themeColor="text1"/>
          <w:sz w:val="22"/>
        </w:rPr>
        <w:t>er Bau-Turbo auch über 2030 hinaus Bestand haben, damit er auch wirklich Wirkung entfalten kann,</w:t>
      </w:r>
      <w:r w:rsidRPr="008575C5">
        <w:rPr>
          <w:sz w:val="22"/>
        </w:rPr>
        <w:t xml:space="preserve">“ betont Özkan. </w:t>
      </w:r>
    </w:p>
    <w:p w14:paraId="33DACA66" w14:textId="2F4A8A22" w:rsidR="008575C5" w:rsidRPr="008575C5" w:rsidRDefault="008575C5" w:rsidP="008575C5">
      <w:pPr>
        <w:spacing w:after="160" w:line="276" w:lineRule="auto"/>
        <w:rPr>
          <w:color w:val="000000" w:themeColor="text1"/>
          <w:sz w:val="22"/>
        </w:rPr>
      </w:pPr>
      <w:r w:rsidRPr="008575C5">
        <w:rPr>
          <w:sz w:val="22"/>
        </w:rPr>
        <w:t xml:space="preserve">„Die Immobilienwirtschaft braucht ein starkes Signal für Investitionen in bezahlbaren Wohnraum. Der Bau-Turbo ist ein guter Ansatz, doch er muss ergänzt werden: Wir brauchen auch eine Absenkung der Baustandards und eine Überarbeitung der KfW-Förderbedingungen“, so Özkan weiter. </w:t>
      </w:r>
      <w:r w:rsidR="004A689E">
        <w:rPr>
          <w:sz w:val="22"/>
        </w:rPr>
        <w:t>„</w:t>
      </w:r>
      <w:r w:rsidRPr="008575C5">
        <w:rPr>
          <w:color w:val="000000" w:themeColor="text1"/>
          <w:sz w:val="22"/>
        </w:rPr>
        <w:t xml:space="preserve">Und wenn wir den Wohnungsbau wirklich ankurbeln wollen, müssen wir auch die viel zu hohe Staatsquote von 37 Prozent reduzieren.”  Insbesondere die hohen Grunderwerbssteuern, vielfältige Gebühren und ein dichtes Netz an Vorgaben und Restriktionen tragen erheblich zu den Gesamtkosten des Wohnungsbaus bei. </w:t>
      </w:r>
    </w:p>
    <w:p w14:paraId="6B938531" w14:textId="77777777" w:rsidR="008575C5" w:rsidRPr="008575C5" w:rsidRDefault="008575C5" w:rsidP="008575C5">
      <w:pPr>
        <w:spacing w:after="160" w:line="276" w:lineRule="auto"/>
        <w:ind w:left="0" w:firstLine="0"/>
        <w:rPr>
          <w:rFonts w:eastAsia="Aptos"/>
          <w:sz w:val="22"/>
        </w:rPr>
      </w:pPr>
    </w:p>
    <w:p w14:paraId="15699659" w14:textId="77777777" w:rsidR="008575C5" w:rsidRPr="008575C5" w:rsidRDefault="008575C5" w:rsidP="008575C5">
      <w:pPr>
        <w:pStyle w:val="StandardWeb"/>
        <w:tabs>
          <w:tab w:val="left" w:pos="2948"/>
        </w:tabs>
        <w:spacing w:before="0" w:beforeAutospacing="0" w:after="0" w:afterAutospacing="0" w:line="360" w:lineRule="auto"/>
        <w:ind w:hanging="10"/>
        <w:jc w:val="both"/>
        <w:rPr>
          <w:rFonts w:ascii="Arial" w:eastAsia="Arial Nova" w:hAnsi="Arial" w:cs="Arial"/>
          <w:sz w:val="22"/>
          <w:szCs w:val="22"/>
        </w:rPr>
      </w:pPr>
      <w:r w:rsidRPr="008575C5">
        <w:rPr>
          <w:rFonts w:ascii="Arial" w:eastAsia="Arial Nova" w:hAnsi="Arial" w:cs="Arial"/>
          <w:sz w:val="22"/>
          <w:szCs w:val="22"/>
        </w:rPr>
        <w:t xml:space="preserve">Die Stellungnahme des ZIA: </w:t>
      </w:r>
      <w:hyperlink r:id="rId10">
        <w:r w:rsidRPr="008575C5">
          <w:rPr>
            <w:rStyle w:val="Hyperlink"/>
            <w:rFonts w:ascii="Arial" w:eastAsia="Arial Nova" w:hAnsi="Arial" w:cs="Arial"/>
            <w:sz w:val="22"/>
            <w:szCs w:val="22"/>
          </w:rPr>
          <w:t>21(24</w:t>
        </w:r>
        <w:r w:rsidRPr="008575C5">
          <w:rPr>
            <w:rStyle w:val="Hyperlink"/>
            <w:rFonts w:ascii="Arial" w:eastAsia="Arial Nova" w:hAnsi="Arial" w:cs="Arial"/>
            <w:sz w:val="22"/>
            <w:szCs w:val="22"/>
          </w:rPr>
          <w:t>)</w:t>
        </w:r>
        <w:r w:rsidRPr="008575C5">
          <w:rPr>
            <w:rStyle w:val="Hyperlink"/>
            <w:rFonts w:ascii="Arial" w:eastAsia="Arial Nova" w:hAnsi="Arial" w:cs="Arial"/>
            <w:sz w:val="22"/>
            <w:szCs w:val="22"/>
          </w:rPr>
          <w:t>013-A</w:t>
        </w:r>
      </w:hyperlink>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1AFB3E55" w14:textId="77777777" w:rsidR="00583602" w:rsidRPr="00D543C7" w:rsidRDefault="00583602" w:rsidP="00583602">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77777777" w:rsidR="00583602" w:rsidRDefault="00583602" w:rsidP="00583602">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lastRenderedPageBreak/>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5B5920CC"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11" w:history="1">
        <w:r w:rsidRPr="00D543C7">
          <w:rPr>
            <w:rStyle w:val="Hyperlink"/>
            <w:sz w:val="18"/>
            <w:szCs w:val="18"/>
          </w:rPr>
          <w:t>sandra.kuehberger@zia-deutschland.de</w:t>
        </w:r>
      </w:hyperlink>
      <w:r w:rsidRPr="00D543C7">
        <w:rPr>
          <w:color w:val="000000" w:themeColor="text1"/>
          <w:sz w:val="18"/>
          <w:szCs w:val="18"/>
        </w:rPr>
        <w:t xml:space="preserve">  </w:t>
      </w:r>
      <w:r w:rsidRPr="00D543C7">
        <w:rPr>
          <w:sz w:val="18"/>
          <w:szCs w:val="18"/>
        </w:rPr>
        <w:t xml:space="preserve">Internet: </w:t>
      </w:r>
      <w:hyperlink r:id="rId12">
        <w:r w:rsidRPr="00D543C7">
          <w:rPr>
            <w:color w:val="0000FF"/>
            <w:sz w:val="18"/>
            <w:szCs w:val="18"/>
            <w:u w:val="single" w:color="0000FF"/>
          </w:rPr>
          <w:t>www.zia</w:t>
        </w:r>
      </w:hyperlink>
      <w:hyperlink r:id="rId13">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0D41AD">
      <w:pgSz w:w="11906" w:h="16838"/>
      <w:pgMar w:top="1418" w:right="107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7"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361DF4"/>
    <w:multiLevelType w:val="hybridMultilevel"/>
    <w:tmpl w:val="96E8E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116057">
    <w:abstractNumId w:val="21"/>
  </w:num>
  <w:num w:numId="2" w16cid:durableId="415590738">
    <w:abstractNumId w:val="25"/>
  </w:num>
  <w:num w:numId="3" w16cid:durableId="2146122325">
    <w:abstractNumId w:val="18"/>
  </w:num>
  <w:num w:numId="4" w16cid:durableId="1461071620">
    <w:abstractNumId w:val="3"/>
  </w:num>
  <w:num w:numId="5" w16cid:durableId="1009916385">
    <w:abstractNumId w:val="12"/>
  </w:num>
  <w:num w:numId="6" w16cid:durableId="1624002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3"/>
  </w:num>
  <w:num w:numId="8" w16cid:durableId="24525621">
    <w:abstractNumId w:val="14"/>
  </w:num>
  <w:num w:numId="9" w16cid:durableId="594750438">
    <w:abstractNumId w:val="31"/>
  </w:num>
  <w:num w:numId="10" w16cid:durableId="65539674">
    <w:abstractNumId w:val="27"/>
  </w:num>
  <w:num w:numId="11" w16cid:durableId="862132865">
    <w:abstractNumId w:val="5"/>
  </w:num>
  <w:num w:numId="12" w16cid:durableId="122576113">
    <w:abstractNumId w:val="2"/>
  </w:num>
  <w:num w:numId="13" w16cid:durableId="570583070">
    <w:abstractNumId w:val="24"/>
  </w:num>
  <w:num w:numId="14" w16cid:durableId="1814521895">
    <w:abstractNumId w:val="9"/>
  </w:num>
  <w:num w:numId="15" w16cid:durableId="51975277">
    <w:abstractNumId w:val="10"/>
  </w:num>
  <w:num w:numId="16" w16cid:durableId="332268063">
    <w:abstractNumId w:val="30"/>
  </w:num>
  <w:num w:numId="17" w16cid:durableId="2051494276">
    <w:abstractNumId w:val="15"/>
  </w:num>
  <w:num w:numId="18" w16cid:durableId="1761372059">
    <w:abstractNumId w:val="28"/>
  </w:num>
  <w:num w:numId="19" w16cid:durableId="435254258">
    <w:abstractNumId w:val="8"/>
  </w:num>
  <w:num w:numId="20" w16cid:durableId="1055474343">
    <w:abstractNumId w:val="19"/>
  </w:num>
  <w:num w:numId="21" w16cid:durableId="563025213">
    <w:abstractNumId w:val="20"/>
  </w:num>
  <w:num w:numId="22" w16cid:durableId="1338849526">
    <w:abstractNumId w:val="0"/>
  </w:num>
  <w:num w:numId="23" w16cid:durableId="878787763">
    <w:abstractNumId w:val="22"/>
  </w:num>
  <w:num w:numId="24" w16cid:durableId="1574848052">
    <w:abstractNumId w:val="32"/>
  </w:num>
  <w:num w:numId="25" w16cid:durableId="651910575">
    <w:abstractNumId w:val="6"/>
  </w:num>
  <w:num w:numId="26" w16cid:durableId="1731079087">
    <w:abstractNumId w:val="26"/>
  </w:num>
  <w:num w:numId="27" w16cid:durableId="1209221074">
    <w:abstractNumId w:val="7"/>
  </w:num>
  <w:num w:numId="28" w16cid:durableId="2143889419">
    <w:abstractNumId w:val="11"/>
  </w:num>
  <w:num w:numId="29" w16cid:durableId="735477492">
    <w:abstractNumId w:val="13"/>
  </w:num>
  <w:num w:numId="30" w16cid:durableId="953102067">
    <w:abstractNumId w:val="17"/>
  </w:num>
  <w:num w:numId="31" w16cid:durableId="506793263">
    <w:abstractNumId w:val="29"/>
  </w:num>
  <w:num w:numId="32" w16cid:durableId="1894193830">
    <w:abstractNumId w:val="33"/>
  </w:num>
  <w:num w:numId="33" w16cid:durableId="1623876877">
    <w:abstractNumId w:val="1"/>
  </w:num>
  <w:num w:numId="34" w16cid:durableId="415791065">
    <w:abstractNumId w:val="4"/>
  </w:num>
  <w:num w:numId="35" w16cid:durableId="358432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6A7"/>
    <w:rsid w:val="000C7765"/>
    <w:rsid w:val="000D0503"/>
    <w:rsid w:val="000D068B"/>
    <w:rsid w:val="000D1292"/>
    <w:rsid w:val="000D1601"/>
    <w:rsid w:val="000D41AD"/>
    <w:rsid w:val="000D51BD"/>
    <w:rsid w:val="000D55F6"/>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50EB"/>
    <w:rsid w:val="001056FE"/>
    <w:rsid w:val="001109DA"/>
    <w:rsid w:val="00111D9F"/>
    <w:rsid w:val="0011227C"/>
    <w:rsid w:val="00113A6C"/>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E1533"/>
    <w:rsid w:val="001E7313"/>
    <w:rsid w:val="001F0BBB"/>
    <w:rsid w:val="001F20A2"/>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06F5E"/>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4C6"/>
    <w:rsid w:val="00287D1F"/>
    <w:rsid w:val="00292F50"/>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1245C"/>
    <w:rsid w:val="00312B92"/>
    <w:rsid w:val="00323E70"/>
    <w:rsid w:val="00323EB8"/>
    <w:rsid w:val="003247C0"/>
    <w:rsid w:val="00332AEE"/>
    <w:rsid w:val="00336303"/>
    <w:rsid w:val="00341C63"/>
    <w:rsid w:val="003439CA"/>
    <w:rsid w:val="0034528F"/>
    <w:rsid w:val="00346E7A"/>
    <w:rsid w:val="00347BCA"/>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634A"/>
    <w:rsid w:val="003F0334"/>
    <w:rsid w:val="003F29F8"/>
    <w:rsid w:val="003F2CB1"/>
    <w:rsid w:val="003F4A17"/>
    <w:rsid w:val="003F5BEA"/>
    <w:rsid w:val="003F7AE2"/>
    <w:rsid w:val="004020D4"/>
    <w:rsid w:val="0040524B"/>
    <w:rsid w:val="00407F96"/>
    <w:rsid w:val="00411A48"/>
    <w:rsid w:val="0042173E"/>
    <w:rsid w:val="0042766D"/>
    <w:rsid w:val="00427B96"/>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284C"/>
    <w:rsid w:val="0047358C"/>
    <w:rsid w:val="00473B3F"/>
    <w:rsid w:val="004743C3"/>
    <w:rsid w:val="004774E4"/>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689E"/>
    <w:rsid w:val="004A7310"/>
    <w:rsid w:val="004B1109"/>
    <w:rsid w:val="004B35C8"/>
    <w:rsid w:val="004B3F69"/>
    <w:rsid w:val="004B4BC7"/>
    <w:rsid w:val="004B7294"/>
    <w:rsid w:val="004C12D8"/>
    <w:rsid w:val="004C12DD"/>
    <w:rsid w:val="004C19ED"/>
    <w:rsid w:val="004C51C3"/>
    <w:rsid w:val="004D16F0"/>
    <w:rsid w:val="004D439E"/>
    <w:rsid w:val="004D4D2C"/>
    <w:rsid w:val="004D4ED2"/>
    <w:rsid w:val="004D5C89"/>
    <w:rsid w:val="004D5CE0"/>
    <w:rsid w:val="004D6166"/>
    <w:rsid w:val="004D6AC2"/>
    <w:rsid w:val="004E183F"/>
    <w:rsid w:val="004E44FD"/>
    <w:rsid w:val="004E6175"/>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5560"/>
    <w:rsid w:val="005477BE"/>
    <w:rsid w:val="00550553"/>
    <w:rsid w:val="00551120"/>
    <w:rsid w:val="00551D19"/>
    <w:rsid w:val="00553358"/>
    <w:rsid w:val="005541E7"/>
    <w:rsid w:val="00554B10"/>
    <w:rsid w:val="00554BDD"/>
    <w:rsid w:val="005568EB"/>
    <w:rsid w:val="0056093B"/>
    <w:rsid w:val="005633D9"/>
    <w:rsid w:val="0056345A"/>
    <w:rsid w:val="00563485"/>
    <w:rsid w:val="005655E1"/>
    <w:rsid w:val="0057296C"/>
    <w:rsid w:val="00573119"/>
    <w:rsid w:val="00573CB0"/>
    <w:rsid w:val="00575CAE"/>
    <w:rsid w:val="00580055"/>
    <w:rsid w:val="00581A33"/>
    <w:rsid w:val="00582506"/>
    <w:rsid w:val="00583602"/>
    <w:rsid w:val="005840DF"/>
    <w:rsid w:val="00585110"/>
    <w:rsid w:val="00586D6B"/>
    <w:rsid w:val="005872D7"/>
    <w:rsid w:val="0059000C"/>
    <w:rsid w:val="00590EA6"/>
    <w:rsid w:val="005917FD"/>
    <w:rsid w:val="00592E02"/>
    <w:rsid w:val="0059525A"/>
    <w:rsid w:val="005A0FD1"/>
    <w:rsid w:val="005A2244"/>
    <w:rsid w:val="005A2302"/>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2DC8"/>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59F9"/>
    <w:rsid w:val="006E5D97"/>
    <w:rsid w:val="006E6665"/>
    <w:rsid w:val="006E6D2D"/>
    <w:rsid w:val="006E6F06"/>
    <w:rsid w:val="006E7CB8"/>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5F0"/>
    <w:rsid w:val="007917FB"/>
    <w:rsid w:val="00792789"/>
    <w:rsid w:val="00795D27"/>
    <w:rsid w:val="007A1574"/>
    <w:rsid w:val="007A1B65"/>
    <w:rsid w:val="007A294C"/>
    <w:rsid w:val="007A3090"/>
    <w:rsid w:val="007A5B22"/>
    <w:rsid w:val="007A5D48"/>
    <w:rsid w:val="007A5DCD"/>
    <w:rsid w:val="007A67CE"/>
    <w:rsid w:val="007B4094"/>
    <w:rsid w:val="007B6371"/>
    <w:rsid w:val="007C1BE2"/>
    <w:rsid w:val="007C1F33"/>
    <w:rsid w:val="007C234F"/>
    <w:rsid w:val="007C2B95"/>
    <w:rsid w:val="007C4204"/>
    <w:rsid w:val="007C5234"/>
    <w:rsid w:val="007C659A"/>
    <w:rsid w:val="007C6968"/>
    <w:rsid w:val="007D173C"/>
    <w:rsid w:val="007D4289"/>
    <w:rsid w:val="007D55DD"/>
    <w:rsid w:val="007D585C"/>
    <w:rsid w:val="007E6FE0"/>
    <w:rsid w:val="007E704A"/>
    <w:rsid w:val="007F2C57"/>
    <w:rsid w:val="007F2DF3"/>
    <w:rsid w:val="007F575C"/>
    <w:rsid w:val="007F5DC7"/>
    <w:rsid w:val="007F7B66"/>
    <w:rsid w:val="008002B3"/>
    <w:rsid w:val="00800630"/>
    <w:rsid w:val="00800CC9"/>
    <w:rsid w:val="008025CC"/>
    <w:rsid w:val="008155C9"/>
    <w:rsid w:val="008167FE"/>
    <w:rsid w:val="008173B1"/>
    <w:rsid w:val="00817E8F"/>
    <w:rsid w:val="00820D6E"/>
    <w:rsid w:val="00830841"/>
    <w:rsid w:val="00831500"/>
    <w:rsid w:val="00831D42"/>
    <w:rsid w:val="00833C71"/>
    <w:rsid w:val="00834C2F"/>
    <w:rsid w:val="008357E4"/>
    <w:rsid w:val="00836E05"/>
    <w:rsid w:val="00842586"/>
    <w:rsid w:val="008436AE"/>
    <w:rsid w:val="00845C6A"/>
    <w:rsid w:val="008472FD"/>
    <w:rsid w:val="0084795C"/>
    <w:rsid w:val="0085493B"/>
    <w:rsid w:val="00854C09"/>
    <w:rsid w:val="00854D7D"/>
    <w:rsid w:val="00857239"/>
    <w:rsid w:val="008575C5"/>
    <w:rsid w:val="008604BE"/>
    <w:rsid w:val="0086101E"/>
    <w:rsid w:val="00861B56"/>
    <w:rsid w:val="008627A5"/>
    <w:rsid w:val="00864E7D"/>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F0A"/>
    <w:rsid w:val="00896BD2"/>
    <w:rsid w:val="00897C09"/>
    <w:rsid w:val="008A3BC2"/>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0E17"/>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5DD5"/>
    <w:rsid w:val="00956A52"/>
    <w:rsid w:val="009576A2"/>
    <w:rsid w:val="00962789"/>
    <w:rsid w:val="00962866"/>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7E5D"/>
    <w:rsid w:val="00A2101A"/>
    <w:rsid w:val="00A23A97"/>
    <w:rsid w:val="00A23D7F"/>
    <w:rsid w:val="00A25D5D"/>
    <w:rsid w:val="00A25EF3"/>
    <w:rsid w:val="00A267C9"/>
    <w:rsid w:val="00A26D24"/>
    <w:rsid w:val="00A274F3"/>
    <w:rsid w:val="00A302DC"/>
    <w:rsid w:val="00A346CC"/>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6DE8"/>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4D"/>
    <w:rsid w:val="00B0349E"/>
    <w:rsid w:val="00B05897"/>
    <w:rsid w:val="00B06FBF"/>
    <w:rsid w:val="00B0791B"/>
    <w:rsid w:val="00B145C9"/>
    <w:rsid w:val="00B147EA"/>
    <w:rsid w:val="00B15D79"/>
    <w:rsid w:val="00B22EA2"/>
    <w:rsid w:val="00B30EB2"/>
    <w:rsid w:val="00B33D09"/>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40DE7"/>
    <w:rsid w:val="00C4172D"/>
    <w:rsid w:val="00C41EB7"/>
    <w:rsid w:val="00C45E5A"/>
    <w:rsid w:val="00C46AF0"/>
    <w:rsid w:val="00C4712B"/>
    <w:rsid w:val="00C50A2E"/>
    <w:rsid w:val="00C538F4"/>
    <w:rsid w:val="00C53DE3"/>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A207D"/>
    <w:rsid w:val="00CA4AFA"/>
    <w:rsid w:val="00CA5BFC"/>
    <w:rsid w:val="00CB03EE"/>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5DAB"/>
    <w:rsid w:val="00CE5E65"/>
    <w:rsid w:val="00CF19A5"/>
    <w:rsid w:val="00CF2DB2"/>
    <w:rsid w:val="00CF5BDC"/>
    <w:rsid w:val="00CF5E8E"/>
    <w:rsid w:val="00CF6049"/>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70CB"/>
    <w:rsid w:val="00D90589"/>
    <w:rsid w:val="00D90DA1"/>
    <w:rsid w:val="00D91A12"/>
    <w:rsid w:val="00D91C93"/>
    <w:rsid w:val="00D9247A"/>
    <w:rsid w:val="00DA1221"/>
    <w:rsid w:val="00DA1CDF"/>
    <w:rsid w:val="00DA29D5"/>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E5676"/>
    <w:rsid w:val="00DF49E6"/>
    <w:rsid w:val="00E027C2"/>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8EE"/>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142F"/>
    <w:rsid w:val="00E941E7"/>
    <w:rsid w:val="00E955DD"/>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2178"/>
    <w:rsid w:val="00EE5C1C"/>
    <w:rsid w:val="00EE66BF"/>
    <w:rsid w:val="00EE7455"/>
    <w:rsid w:val="00EF10E5"/>
    <w:rsid w:val="00EF22B1"/>
    <w:rsid w:val="00EF4069"/>
    <w:rsid w:val="00EF5B81"/>
    <w:rsid w:val="00EF5EA6"/>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2E69"/>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794B"/>
    <w:rsid w:val="0A6D6D61"/>
    <w:rsid w:val="0DC5DB62"/>
    <w:rsid w:val="18D41F7C"/>
    <w:rsid w:val="26AA4518"/>
    <w:rsid w:val="35039066"/>
    <w:rsid w:val="3A4E6D6B"/>
    <w:rsid w:val="3C99FCE4"/>
    <w:rsid w:val="5AE8912B"/>
    <w:rsid w:val="6382FE35"/>
    <w:rsid w:val="688EEAD9"/>
    <w:rsid w:val="68F1C991"/>
    <w:rsid w:val="6EC16853"/>
    <w:rsid w:val="7D31C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D5688862-C6C9-41F3-88F7-26CA7EB8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paragraph" w:customStyle="1" w:styleId="paragraph">
    <w:name w:val="paragraph"/>
    <w:basedOn w:val="Standard"/>
    <w:rsid w:val="00836E0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ichtaufgelsteErwhnung">
    <w:name w:val="Unresolved Mention"/>
    <w:basedOn w:val="Absatz-Standardschriftart"/>
    <w:uiPriority w:val="99"/>
    <w:semiHidden/>
    <w:unhideWhenUsed/>
    <w:rsid w:val="0054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bundestag.de/resource/blob/1102628/Stellungnahme-SV-Oezkan.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7</cp:revision>
  <cp:lastPrinted>2025-09-04T07:34:00Z</cp:lastPrinted>
  <dcterms:created xsi:type="dcterms:W3CDTF">2024-03-18T09:01:00Z</dcterms:created>
  <dcterms:modified xsi:type="dcterms:W3CDTF">2025-09-09T08:46:00Z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