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DD7B" w14:textId="77777777" w:rsidR="00846EC9" w:rsidRPr="00846EC9" w:rsidRDefault="00846EC9" w:rsidP="00F53D40">
      <w:pPr>
        <w:pStyle w:val="Title"/>
        <w:spacing w:after="0"/>
        <w:ind w:right="163"/>
        <w:rPr>
          <w:rFonts w:asciiTheme="majorHAnsi" w:hAnsiTheme="majorHAnsi"/>
          <w:i w:val="0"/>
          <w:sz w:val="20"/>
          <w:szCs w:val="20"/>
          <w:lang w:val="de-CH"/>
        </w:rPr>
      </w:pPr>
    </w:p>
    <w:p w14:paraId="74358A32" w14:textId="6E7670CC" w:rsidR="005D5039" w:rsidRPr="000A57AD" w:rsidRDefault="005D5039" w:rsidP="005D5039">
      <w:pPr>
        <w:pStyle w:val="Title"/>
        <w:spacing w:after="0"/>
        <w:ind w:right="163"/>
        <w:rPr>
          <w:rFonts w:asciiTheme="majorHAnsi" w:hAnsiTheme="majorHAnsi"/>
          <w:sz w:val="20"/>
          <w:szCs w:val="20"/>
        </w:rPr>
      </w:pPr>
      <w:r>
        <w:rPr>
          <w:rFonts w:asciiTheme="majorHAnsi" w:hAnsiTheme="majorHAnsi"/>
          <w:sz w:val="20"/>
          <w:szCs w:val="20"/>
        </w:rPr>
        <w:t>Communiqué de presse</w:t>
      </w:r>
    </w:p>
    <w:p w14:paraId="50D242D6" w14:textId="77777777" w:rsidR="00CD50A6" w:rsidRPr="000A57AD" w:rsidRDefault="00CD50A6" w:rsidP="00CD50A6"/>
    <w:tbl>
      <w:tblPr>
        <w:tblW w:w="0" w:type="auto"/>
        <w:tblLayout w:type="fixed"/>
        <w:tblLook w:val="0000" w:firstRow="0" w:lastRow="0" w:firstColumn="0" w:lastColumn="0" w:noHBand="0" w:noVBand="0"/>
      </w:tblPr>
      <w:tblGrid>
        <w:gridCol w:w="2268"/>
        <w:gridCol w:w="6804"/>
      </w:tblGrid>
      <w:tr w:rsidR="005D5039" w:rsidRPr="006C74F5" w14:paraId="4BAB23DC" w14:textId="77777777" w:rsidTr="00CC077F">
        <w:tc>
          <w:tcPr>
            <w:tcW w:w="2268" w:type="dxa"/>
          </w:tcPr>
          <w:p w14:paraId="4503992C" w14:textId="32B4BBD7" w:rsidR="005D5039" w:rsidRPr="006C74F5" w:rsidRDefault="005D5039" w:rsidP="00CC077F">
            <w:pPr>
              <w:rPr>
                <w:rFonts w:asciiTheme="minorHAnsi" w:hAnsiTheme="minorHAnsi" w:cstheme="minorHAnsi"/>
                <w:szCs w:val="20"/>
              </w:rPr>
            </w:pPr>
            <w:r>
              <w:rPr>
                <w:rFonts w:asciiTheme="minorHAnsi" w:hAnsiTheme="minorHAnsi"/>
                <w:szCs w:val="20"/>
              </w:rPr>
              <w:t>Date</w:t>
            </w:r>
          </w:p>
        </w:tc>
        <w:tc>
          <w:tcPr>
            <w:tcW w:w="6804" w:type="dxa"/>
          </w:tcPr>
          <w:p w14:paraId="36181450" w14:textId="6E89E752" w:rsidR="005D5039" w:rsidRPr="006C74F5" w:rsidRDefault="005D5039" w:rsidP="00CC077F">
            <w:pPr>
              <w:rPr>
                <w:rFonts w:asciiTheme="minorHAnsi" w:hAnsiTheme="minorHAnsi" w:cstheme="minorHAnsi"/>
                <w:szCs w:val="20"/>
              </w:rPr>
            </w:pPr>
            <w:r>
              <w:rPr>
                <w:rFonts w:asciiTheme="minorHAnsi" w:hAnsiTheme="minorHAnsi"/>
                <w:szCs w:val="20"/>
              </w:rPr>
              <w:t>3</w:t>
            </w:r>
            <w:r w:rsidR="00D53FE7">
              <w:rPr>
                <w:rFonts w:asciiTheme="minorHAnsi" w:hAnsiTheme="minorHAnsi"/>
                <w:szCs w:val="20"/>
              </w:rPr>
              <w:t>1</w:t>
            </w:r>
            <w:bookmarkStart w:id="0" w:name="_GoBack"/>
            <w:bookmarkEnd w:id="0"/>
            <w:r>
              <w:rPr>
                <w:rFonts w:asciiTheme="minorHAnsi" w:hAnsiTheme="minorHAnsi"/>
                <w:szCs w:val="20"/>
              </w:rPr>
              <w:t xml:space="preserve"> juillet 2020</w:t>
            </w:r>
          </w:p>
          <w:p w14:paraId="54D0070B" w14:textId="77777777" w:rsidR="005D5039" w:rsidRPr="006C74F5" w:rsidRDefault="005D5039" w:rsidP="00CC077F">
            <w:pPr>
              <w:rPr>
                <w:rFonts w:asciiTheme="minorHAnsi" w:hAnsiTheme="minorHAnsi" w:cstheme="minorHAnsi"/>
                <w:szCs w:val="20"/>
              </w:rPr>
            </w:pPr>
          </w:p>
        </w:tc>
      </w:tr>
      <w:tr w:rsidR="005D5039" w:rsidRPr="006C74F5" w14:paraId="1DCFD9C4" w14:textId="77777777" w:rsidTr="00CC077F">
        <w:tc>
          <w:tcPr>
            <w:tcW w:w="2268" w:type="dxa"/>
          </w:tcPr>
          <w:p w14:paraId="7F8B9A37" w14:textId="77777777" w:rsidR="005D5039" w:rsidRPr="006C74F5" w:rsidRDefault="005D5039" w:rsidP="00CC077F">
            <w:pPr>
              <w:rPr>
                <w:rFonts w:asciiTheme="minorHAnsi" w:hAnsiTheme="minorHAnsi" w:cstheme="minorHAnsi"/>
                <w:szCs w:val="20"/>
              </w:rPr>
            </w:pPr>
            <w:r>
              <w:rPr>
                <w:rFonts w:asciiTheme="minorHAnsi" w:hAnsiTheme="minorHAnsi"/>
                <w:szCs w:val="20"/>
              </w:rPr>
              <w:t>Contact</w:t>
            </w:r>
          </w:p>
        </w:tc>
        <w:tc>
          <w:tcPr>
            <w:tcW w:w="6804" w:type="dxa"/>
          </w:tcPr>
          <w:p w14:paraId="29A83461" w14:textId="7A60ABAC" w:rsidR="005D5039" w:rsidRPr="006C74F5" w:rsidRDefault="00CD50A6" w:rsidP="00CC077F">
            <w:pPr>
              <w:tabs>
                <w:tab w:val="left" w:pos="1440"/>
              </w:tabs>
              <w:rPr>
                <w:rFonts w:asciiTheme="minorHAnsi" w:hAnsiTheme="minorHAnsi" w:cstheme="minorHAnsi"/>
                <w:szCs w:val="20"/>
              </w:rPr>
            </w:pPr>
            <w:r>
              <w:rPr>
                <w:rFonts w:asciiTheme="minorHAnsi" w:hAnsiTheme="minorHAnsi"/>
                <w:szCs w:val="20"/>
              </w:rPr>
              <w:t>Stéphanie Tobler</w:t>
            </w:r>
          </w:p>
          <w:p w14:paraId="4BCFBD4E" w14:textId="10ED84D4" w:rsidR="00CD50A6" w:rsidRPr="006C74F5" w:rsidRDefault="005D5039" w:rsidP="00CC077F">
            <w:pPr>
              <w:tabs>
                <w:tab w:val="left" w:pos="1440"/>
              </w:tabs>
              <w:rPr>
                <w:rFonts w:asciiTheme="minorHAnsi" w:hAnsiTheme="minorHAnsi" w:cstheme="minorHAnsi"/>
                <w:szCs w:val="20"/>
              </w:rPr>
            </w:pPr>
            <w:r>
              <w:rPr>
                <w:rFonts w:asciiTheme="minorHAnsi" w:hAnsiTheme="minorHAnsi"/>
                <w:szCs w:val="20"/>
              </w:rPr>
              <w:t>Communications intégrées</w:t>
            </w:r>
            <w:r>
              <w:rPr>
                <w:rFonts w:asciiTheme="minorHAnsi" w:hAnsiTheme="minorHAnsi"/>
                <w:szCs w:val="20"/>
              </w:rPr>
              <w:br/>
              <w:t>PwC Suisse</w:t>
            </w:r>
          </w:p>
          <w:p w14:paraId="33F01E86" w14:textId="0290B415" w:rsidR="005D5039" w:rsidRPr="006C74F5" w:rsidRDefault="005D5039" w:rsidP="00CC077F">
            <w:pPr>
              <w:tabs>
                <w:tab w:val="left" w:pos="1440"/>
              </w:tabs>
              <w:rPr>
                <w:rFonts w:asciiTheme="minorHAnsi" w:hAnsiTheme="minorHAnsi" w:cstheme="minorHAnsi"/>
                <w:szCs w:val="20"/>
              </w:rPr>
            </w:pPr>
            <w:r>
              <w:rPr>
                <w:rFonts w:asciiTheme="minorHAnsi" w:hAnsiTheme="minorHAnsi"/>
                <w:szCs w:val="20"/>
              </w:rPr>
              <w:t>+</w:t>
            </w:r>
            <w:r>
              <w:rPr>
                <w:rFonts w:asciiTheme="minorHAnsi" w:hAnsiTheme="minorHAnsi"/>
              </w:rPr>
              <w:t xml:space="preserve">41 </w:t>
            </w:r>
            <w:r>
              <w:rPr>
                <w:rFonts w:asciiTheme="minorHAnsi" w:hAnsiTheme="minorHAnsi"/>
                <w:szCs w:val="20"/>
              </w:rPr>
              <w:t>58 792 18 16</w:t>
            </w:r>
            <w:r>
              <w:rPr>
                <w:rFonts w:asciiTheme="minorHAnsi" w:hAnsiTheme="minorHAnsi"/>
                <w:szCs w:val="20"/>
              </w:rPr>
              <w:br/>
              <w:t>stephanie.tobler.mucznik@ch.pwc.com</w:t>
            </w:r>
            <w:r w:rsidR="000A57AD" w:rsidRPr="006C74F5">
              <w:rPr>
                <w:rFonts w:asciiTheme="minorHAnsi" w:hAnsiTheme="minorHAnsi" w:cstheme="minorHAnsi"/>
                <w:szCs w:val="20"/>
              </w:rPr>
              <w:fldChar w:fldCharType="begin"/>
            </w:r>
            <w:r w:rsidR="000A57AD" w:rsidRPr="006C74F5">
              <w:rPr>
                <w:rFonts w:asciiTheme="minorHAnsi" w:hAnsiTheme="minorHAnsi" w:cstheme="minorHAnsi"/>
                <w:szCs w:val="20"/>
              </w:rPr>
              <w:instrText xml:space="preserve">stephanie.tobler.mucznik@ch.pwc.com" </w:instrText>
            </w:r>
            <w:r w:rsidR="000A57AD" w:rsidRPr="006C74F5">
              <w:rPr>
                <w:rFonts w:asciiTheme="minorHAnsi" w:hAnsiTheme="minorHAnsi" w:cstheme="minorHAnsi"/>
                <w:szCs w:val="20"/>
              </w:rPr>
              <w:fldChar w:fldCharType="separate"/>
            </w:r>
            <w:r w:rsidR="000A57AD" w:rsidRPr="006C74F5">
              <w:rPr>
                <w:rFonts w:asciiTheme="minorHAnsi" w:hAnsiTheme="minorHAnsi" w:cstheme="minorHAnsi"/>
              </w:rPr>
              <w:t>stephanie.tobler.mucznik@ch.pwc.com</w:t>
            </w:r>
            <w:r w:rsidR="000A57AD" w:rsidRPr="006C74F5">
              <w:rPr>
                <w:rFonts w:asciiTheme="minorHAnsi" w:hAnsiTheme="minorHAnsi" w:cstheme="minorHAnsi"/>
                <w:szCs w:val="20"/>
              </w:rPr>
              <w:fldChar w:fldCharType="end"/>
            </w:r>
          </w:p>
        </w:tc>
      </w:tr>
      <w:tr w:rsidR="005D5039" w:rsidRPr="006C74F5" w14:paraId="309D3643" w14:textId="77777777" w:rsidTr="00CC077F">
        <w:tc>
          <w:tcPr>
            <w:tcW w:w="2268" w:type="dxa"/>
          </w:tcPr>
          <w:p w14:paraId="49E1FAEF" w14:textId="444AC4EF" w:rsidR="005D5039" w:rsidRPr="006C74F5" w:rsidRDefault="005D5039" w:rsidP="00CC077F">
            <w:pPr>
              <w:ind w:right="163"/>
              <w:rPr>
                <w:rFonts w:asciiTheme="minorHAnsi" w:hAnsiTheme="minorHAnsi" w:cstheme="minorHAnsi"/>
                <w:szCs w:val="20"/>
              </w:rPr>
            </w:pPr>
          </w:p>
        </w:tc>
        <w:tc>
          <w:tcPr>
            <w:tcW w:w="6804" w:type="dxa"/>
          </w:tcPr>
          <w:p w14:paraId="15C13865" w14:textId="77777777" w:rsidR="005D5039" w:rsidRPr="006C74F5" w:rsidRDefault="005D5039" w:rsidP="00CC077F">
            <w:pPr>
              <w:ind w:right="163"/>
              <w:rPr>
                <w:rFonts w:asciiTheme="minorHAnsi" w:hAnsiTheme="minorHAnsi" w:cstheme="minorHAnsi"/>
                <w:szCs w:val="20"/>
              </w:rPr>
            </w:pPr>
          </w:p>
        </w:tc>
      </w:tr>
    </w:tbl>
    <w:p w14:paraId="6480651E" w14:textId="1A7A6D9B" w:rsidR="00A53FEE" w:rsidRPr="006C74F5" w:rsidRDefault="00A53FEE" w:rsidP="00F53D40">
      <w:pPr>
        <w:pStyle w:val="Title"/>
        <w:spacing w:after="0"/>
        <w:ind w:right="163"/>
        <w:jc w:val="center"/>
        <w:rPr>
          <w:rFonts w:asciiTheme="majorHAnsi" w:hAnsiTheme="majorHAnsi"/>
          <w:i w:val="0"/>
          <w:szCs w:val="24"/>
        </w:rPr>
      </w:pPr>
    </w:p>
    <w:p w14:paraId="367B6AA8" w14:textId="150EF2CB" w:rsidR="00AB7A48" w:rsidRPr="006C74F5" w:rsidRDefault="00212E27" w:rsidP="00AB7A48">
      <w:pPr>
        <w:spacing w:line="240" w:lineRule="auto"/>
        <w:rPr>
          <w:rFonts w:asciiTheme="majorHAnsi" w:hAnsiTheme="majorHAnsi" w:cstheme="minorHAnsi"/>
          <w:i/>
          <w:szCs w:val="20"/>
        </w:rPr>
      </w:pPr>
      <w:r>
        <w:rPr>
          <w:rFonts w:asciiTheme="majorHAnsi" w:hAnsiTheme="majorHAnsi"/>
          <w:i/>
          <w:szCs w:val="20"/>
        </w:rPr>
        <w:t xml:space="preserve">Classement </w:t>
      </w:r>
      <w:r w:rsidR="00AB7A48">
        <w:rPr>
          <w:rFonts w:asciiTheme="majorHAnsi" w:hAnsiTheme="majorHAnsi"/>
          <w:i/>
          <w:szCs w:val="20"/>
        </w:rPr>
        <w:t xml:space="preserve">Global Top 100 </w:t>
      </w:r>
      <w:r>
        <w:rPr>
          <w:rFonts w:asciiTheme="majorHAnsi" w:hAnsiTheme="majorHAnsi"/>
          <w:i/>
          <w:szCs w:val="20"/>
        </w:rPr>
        <w:t>des entreprises les mieux valorisées</w:t>
      </w:r>
      <w:r w:rsidR="00AB7A48">
        <w:rPr>
          <w:rFonts w:asciiTheme="majorHAnsi" w:hAnsiTheme="majorHAnsi"/>
          <w:i/>
          <w:szCs w:val="20"/>
        </w:rPr>
        <w:t> – Édition de juin 2020 par PwC</w:t>
      </w:r>
    </w:p>
    <w:p w14:paraId="23B5D03E" w14:textId="77777777" w:rsidR="00AB7A48" w:rsidRPr="006C74F5" w:rsidRDefault="00AB7A48" w:rsidP="00AB7A48">
      <w:pPr>
        <w:spacing w:line="240" w:lineRule="auto"/>
        <w:rPr>
          <w:rFonts w:asciiTheme="majorHAnsi" w:hAnsiTheme="majorHAnsi" w:cstheme="minorHAnsi"/>
          <w:i/>
          <w:szCs w:val="20"/>
        </w:rPr>
      </w:pPr>
    </w:p>
    <w:p w14:paraId="2E8D1411" w14:textId="3778F5D3" w:rsidR="00AB7A48" w:rsidRPr="006C74F5" w:rsidRDefault="00AB7A48" w:rsidP="00AB7A48">
      <w:pPr>
        <w:spacing w:line="240" w:lineRule="auto"/>
        <w:rPr>
          <w:b/>
          <w:sz w:val="30"/>
          <w:szCs w:val="30"/>
        </w:rPr>
      </w:pPr>
      <w:r>
        <w:rPr>
          <w:b/>
          <w:sz w:val="30"/>
          <w:szCs w:val="30"/>
        </w:rPr>
        <w:t>Le Global Top 100 rebondit par rapport au creux de mars 2020, mais la volatilité reste élevée, selon l’analyse de PwC</w:t>
      </w:r>
    </w:p>
    <w:p w14:paraId="13A1156B" w14:textId="25C42684" w:rsidR="00343708" w:rsidRPr="008A4670" w:rsidRDefault="00343708" w:rsidP="008A4670">
      <w:pPr>
        <w:spacing w:line="240" w:lineRule="auto"/>
        <w:rPr>
          <w:b/>
          <w:szCs w:val="20"/>
        </w:rPr>
      </w:pPr>
    </w:p>
    <w:p w14:paraId="700D1C6E" w14:textId="064C9208" w:rsidR="00AB7A48" w:rsidRPr="008A4670" w:rsidRDefault="00AB7A48" w:rsidP="008A4670">
      <w:pPr>
        <w:pStyle w:val="ListParagraph"/>
        <w:numPr>
          <w:ilvl w:val="0"/>
          <w:numId w:val="1"/>
        </w:numPr>
        <w:spacing w:line="240" w:lineRule="auto"/>
        <w:jc w:val="both"/>
        <w:rPr>
          <w:rFonts w:asciiTheme="minorHAnsi" w:hAnsiTheme="minorHAnsi" w:cstheme="minorHAnsi"/>
          <w:b/>
          <w:i/>
          <w:szCs w:val="20"/>
        </w:rPr>
      </w:pPr>
      <w:r w:rsidRPr="008A4670">
        <w:rPr>
          <w:rFonts w:asciiTheme="minorHAnsi" w:hAnsiTheme="minorHAnsi"/>
          <w:b/>
          <w:i/>
          <w:szCs w:val="20"/>
        </w:rPr>
        <w:t>La capitalisation boursière du Global Top 100 en juin 2020 n’était que 1 % (soit 335</w:t>
      </w:r>
      <w:r w:rsidR="00B23761" w:rsidRPr="008A4670">
        <w:rPr>
          <w:rFonts w:asciiTheme="minorHAnsi" w:hAnsiTheme="minorHAnsi"/>
          <w:b/>
          <w:i/>
          <w:szCs w:val="20"/>
        </w:rPr>
        <w:t> </w:t>
      </w:r>
      <w:r w:rsidRPr="008A4670">
        <w:rPr>
          <w:rFonts w:asciiTheme="minorHAnsi" w:hAnsiTheme="minorHAnsi"/>
          <w:b/>
          <w:i/>
          <w:szCs w:val="20"/>
        </w:rPr>
        <w:t>milliards de dollars) en deçà du niveau de décembre 2019</w:t>
      </w:r>
    </w:p>
    <w:p w14:paraId="42088B77" w14:textId="7FB47EC1" w:rsidR="00AB7A48" w:rsidRPr="008A4670" w:rsidRDefault="00AB7A48" w:rsidP="008A4670">
      <w:pPr>
        <w:pStyle w:val="ListParagraph"/>
        <w:numPr>
          <w:ilvl w:val="0"/>
          <w:numId w:val="1"/>
        </w:numPr>
        <w:spacing w:line="240" w:lineRule="auto"/>
        <w:jc w:val="both"/>
        <w:rPr>
          <w:rFonts w:asciiTheme="minorHAnsi" w:hAnsiTheme="minorHAnsi" w:cstheme="minorHAnsi"/>
          <w:b/>
          <w:i/>
          <w:szCs w:val="20"/>
        </w:rPr>
      </w:pPr>
      <w:r w:rsidRPr="008A4670">
        <w:rPr>
          <w:rFonts w:asciiTheme="minorHAnsi" w:hAnsiTheme="minorHAnsi"/>
          <w:b/>
          <w:i/>
          <w:szCs w:val="20"/>
        </w:rPr>
        <w:t>En juin 2020, 87 des 100 premières entreprises mondiales avaient enregistré une hausse de leur capitalisation boursière par rapport à mars, contre seulement dix de janvier à mars 2020</w:t>
      </w:r>
    </w:p>
    <w:p w14:paraId="7D8FB32D" w14:textId="519021F3" w:rsidR="00AB7A48" w:rsidRPr="008A4670" w:rsidRDefault="00C706A6" w:rsidP="008A4670">
      <w:pPr>
        <w:pStyle w:val="ListParagraph"/>
        <w:numPr>
          <w:ilvl w:val="0"/>
          <w:numId w:val="1"/>
        </w:numPr>
        <w:spacing w:line="240" w:lineRule="auto"/>
        <w:jc w:val="both"/>
        <w:rPr>
          <w:rFonts w:asciiTheme="minorHAnsi" w:hAnsiTheme="minorHAnsi" w:cstheme="minorHAnsi"/>
          <w:b/>
          <w:i/>
          <w:szCs w:val="20"/>
        </w:rPr>
      </w:pPr>
      <w:r w:rsidRPr="008A4670">
        <w:rPr>
          <w:rFonts w:asciiTheme="minorHAnsi" w:hAnsiTheme="minorHAnsi"/>
          <w:b/>
          <w:i/>
          <w:szCs w:val="20"/>
        </w:rPr>
        <w:t xml:space="preserve">Trois </w:t>
      </w:r>
      <w:r w:rsidR="002F26CB" w:rsidRPr="008A4670">
        <w:rPr>
          <w:rFonts w:asciiTheme="minorHAnsi" w:hAnsiTheme="minorHAnsi"/>
          <w:b/>
          <w:i/>
          <w:szCs w:val="20"/>
        </w:rPr>
        <w:t xml:space="preserve">grandes entreprises </w:t>
      </w:r>
      <w:r w:rsidR="00AB7A48" w:rsidRPr="008A4670">
        <w:rPr>
          <w:rFonts w:asciiTheme="minorHAnsi" w:hAnsiTheme="minorHAnsi"/>
          <w:b/>
          <w:i/>
          <w:szCs w:val="20"/>
        </w:rPr>
        <w:t>suisses figurent dans le Global Top 100 : Nestlé (13) et Roche (14) ont conservé leur position dans le top 20, Novartis est passée de la 25</w:t>
      </w:r>
      <w:r w:rsidR="00AB7A48" w:rsidRPr="008A4670">
        <w:rPr>
          <w:rFonts w:asciiTheme="minorHAnsi" w:hAnsiTheme="minorHAnsi"/>
          <w:b/>
          <w:i/>
          <w:szCs w:val="20"/>
          <w:vertAlign w:val="superscript"/>
        </w:rPr>
        <w:t>e</w:t>
      </w:r>
      <w:r w:rsidR="00AB7A48" w:rsidRPr="008A4670">
        <w:rPr>
          <w:rFonts w:asciiTheme="minorHAnsi" w:hAnsiTheme="minorHAnsi"/>
          <w:b/>
          <w:i/>
          <w:szCs w:val="20"/>
        </w:rPr>
        <w:t xml:space="preserve"> à la 29</w:t>
      </w:r>
      <w:r w:rsidR="00AB7A48" w:rsidRPr="008A4670">
        <w:rPr>
          <w:rFonts w:asciiTheme="minorHAnsi" w:hAnsiTheme="minorHAnsi"/>
          <w:b/>
          <w:i/>
          <w:szCs w:val="20"/>
          <w:vertAlign w:val="superscript"/>
        </w:rPr>
        <w:t>e</w:t>
      </w:r>
      <w:r w:rsidR="00AB7A48" w:rsidRPr="008A4670">
        <w:rPr>
          <w:rFonts w:asciiTheme="minorHAnsi" w:hAnsiTheme="minorHAnsi"/>
          <w:b/>
          <w:i/>
          <w:szCs w:val="20"/>
        </w:rPr>
        <w:t> place</w:t>
      </w:r>
    </w:p>
    <w:p w14:paraId="09178C70" w14:textId="77777777" w:rsidR="00C450D9" w:rsidRPr="008A4670" w:rsidRDefault="00C450D9" w:rsidP="008A4670">
      <w:pPr>
        <w:spacing w:line="240" w:lineRule="auto"/>
        <w:rPr>
          <w:rFonts w:asciiTheme="minorHAnsi" w:hAnsiTheme="minorHAnsi" w:cstheme="minorHAnsi"/>
          <w:szCs w:val="20"/>
        </w:rPr>
      </w:pPr>
    </w:p>
    <w:p w14:paraId="667F0B10" w14:textId="420049A0" w:rsidR="00AB7A48" w:rsidRPr="008A4670" w:rsidRDefault="00FA1242" w:rsidP="008A4670">
      <w:pPr>
        <w:spacing w:line="240" w:lineRule="auto"/>
        <w:rPr>
          <w:rFonts w:asciiTheme="minorHAnsi" w:hAnsiTheme="minorHAnsi" w:cstheme="minorHAnsi"/>
          <w:szCs w:val="20"/>
        </w:rPr>
      </w:pPr>
      <w:r w:rsidRPr="008A4670">
        <w:rPr>
          <w:rFonts w:asciiTheme="minorHAnsi" w:hAnsiTheme="minorHAnsi"/>
          <w:szCs w:val="20"/>
        </w:rPr>
        <w:t>Zurich, le 3</w:t>
      </w:r>
      <w:r w:rsidR="00D53FE7">
        <w:rPr>
          <w:rFonts w:asciiTheme="minorHAnsi" w:hAnsiTheme="minorHAnsi"/>
          <w:szCs w:val="20"/>
        </w:rPr>
        <w:t>1</w:t>
      </w:r>
      <w:r w:rsidRPr="008A4670">
        <w:rPr>
          <w:rFonts w:asciiTheme="minorHAnsi" w:hAnsiTheme="minorHAnsi"/>
          <w:szCs w:val="20"/>
        </w:rPr>
        <w:t xml:space="preserve"> juillet 2020 – Les</w:t>
      </w:r>
      <w:r w:rsidRPr="008A4670">
        <w:rPr>
          <w:szCs w:val="20"/>
        </w:rPr>
        <w:t xml:space="preserve"> </w:t>
      </w:r>
      <w:r w:rsidRPr="008A4670">
        <w:rPr>
          <w:rFonts w:asciiTheme="minorHAnsi" w:hAnsiTheme="minorHAnsi"/>
          <w:szCs w:val="20"/>
        </w:rPr>
        <w:t xml:space="preserve">marchés boursiers mondiaux ont connu un fort rebond par rapport aux planchers observés en mars 2020, mais la volatilité reste élevée, selon une nouvelle mise à jour trimestrielle du </w:t>
      </w:r>
      <w:r w:rsidR="00212E27" w:rsidRPr="008A4670">
        <w:rPr>
          <w:rFonts w:asciiTheme="minorHAnsi" w:hAnsiTheme="minorHAnsi"/>
          <w:szCs w:val="20"/>
        </w:rPr>
        <w:t xml:space="preserve">classement </w:t>
      </w:r>
      <w:r w:rsidRPr="008A4670">
        <w:rPr>
          <w:rFonts w:asciiTheme="minorHAnsi" w:hAnsiTheme="minorHAnsi"/>
          <w:szCs w:val="20"/>
        </w:rPr>
        <w:t xml:space="preserve">Global Top 100 </w:t>
      </w:r>
      <w:r w:rsidR="00212E27" w:rsidRPr="008A4670">
        <w:rPr>
          <w:rFonts w:asciiTheme="minorHAnsi" w:hAnsiTheme="minorHAnsi"/>
          <w:szCs w:val="20"/>
        </w:rPr>
        <w:t>des entreprises les mieux valorisées</w:t>
      </w:r>
      <w:r w:rsidR="008A4670" w:rsidRPr="008A4670">
        <w:rPr>
          <w:rFonts w:asciiTheme="minorHAnsi" w:hAnsiTheme="minorHAnsi"/>
          <w:szCs w:val="20"/>
        </w:rPr>
        <w:t xml:space="preserve"> </w:t>
      </w:r>
      <w:r w:rsidRPr="008A4670">
        <w:rPr>
          <w:rFonts w:asciiTheme="minorHAnsi" w:hAnsiTheme="minorHAnsi"/>
          <w:szCs w:val="20"/>
        </w:rPr>
        <w:t>en termes de capitalisation boursière, publié par PwC.</w:t>
      </w:r>
    </w:p>
    <w:p w14:paraId="32D85415" w14:textId="77777777" w:rsidR="00AB7A48" w:rsidRPr="008A4670" w:rsidRDefault="00AB7A48" w:rsidP="008A4670">
      <w:pPr>
        <w:spacing w:line="240" w:lineRule="auto"/>
        <w:rPr>
          <w:rFonts w:asciiTheme="minorHAnsi" w:hAnsiTheme="minorHAnsi" w:cstheme="minorHAnsi"/>
          <w:szCs w:val="20"/>
        </w:rPr>
      </w:pPr>
    </w:p>
    <w:p w14:paraId="6C3F86DA" w14:textId="46523048" w:rsidR="00AB7A48" w:rsidRPr="008A4670" w:rsidRDefault="00AB7A48" w:rsidP="008A4670">
      <w:pPr>
        <w:spacing w:line="240" w:lineRule="auto"/>
        <w:rPr>
          <w:rFonts w:asciiTheme="minorHAnsi" w:hAnsiTheme="minorHAnsi" w:cstheme="minorHAnsi"/>
          <w:szCs w:val="20"/>
        </w:rPr>
      </w:pPr>
      <w:r w:rsidRPr="008A4670">
        <w:rPr>
          <w:rFonts w:asciiTheme="minorHAnsi" w:hAnsiTheme="minorHAnsi"/>
          <w:szCs w:val="20"/>
        </w:rPr>
        <w:t>Le rapport signale que, très rapidement, les résultats décevants publiés au premier semestre 2020 pourraient entraîner une réévaluation des risques de récession et des valorisations boursières associées. Après avoir diminué de 15% (soit 3905 milliards de dollars) de décembre 2019 à mars 2020, la capitalisation boursière du Global Top 100 en juin 2020 n’était que 1% (soit 335 milliards de dollars) en deçà du niveau de décembre 2019.</w:t>
      </w:r>
    </w:p>
    <w:p w14:paraId="5C254192" w14:textId="77777777" w:rsidR="00AB7A48" w:rsidRPr="008A4670" w:rsidRDefault="00AB7A48" w:rsidP="008A4670">
      <w:pPr>
        <w:spacing w:line="240" w:lineRule="auto"/>
        <w:rPr>
          <w:rFonts w:asciiTheme="minorHAnsi" w:hAnsiTheme="minorHAnsi" w:cstheme="minorHAnsi"/>
          <w:szCs w:val="20"/>
        </w:rPr>
      </w:pPr>
    </w:p>
    <w:p w14:paraId="1C5158EE" w14:textId="109E6445" w:rsidR="00AB7A48" w:rsidRPr="008A4670" w:rsidRDefault="00AB7A48" w:rsidP="008A4670">
      <w:pPr>
        <w:spacing w:line="240" w:lineRule="auto"/>
        <w:rPr>
          <w:rFonts w:asciiTheme="minorHAnsi" w:hAnsiTheme="minorHAnsi" w:cstheme="minorHAnsi"/>
          <w:szCs w:val="20"/>
        </w:rPr>
      </w:pPr>
      <w:r w:rsidRPr="008A4670">
        <w:rPr>
          <w:rFonts w:asciiTheme="minorHAnsi" w:hAnsiTheme="minorHAnsi"/>
          <w:szCs w:val="20"/>
        </w:rPr>
        <w:t xml:space="preserve">En comparaison, au 30 juin 2020, l’indice MSCI World (représentant la performance des grandes et moyennes capitalisations </w:t>
      </w:r>
      <w:r w:rsidR="00674E08" w:rsidRPr="008A4670">
        <w:rPr>
          <w:rFonts w:asciiTheme="minorHAnsi" w:hAnsiTheme="minorHAnsi"/>
          <w:szCs w:val="20"/>
        </w:rPr>
        <w:t xml:space="preserve">à travers </w:t>
      </w:r>
      <w:r w:rsidRPr="008A4670">
        <w:rPr>
          <w:rFonts w:asciiTheme="minorHAnsi" w:hAnsiTheme="minorHAnsi"/>
          <w:szCs w:val="20"/>
        </w:rPr>
        <w:t xml:space="preserve">23 marchés développés) était 7% en deçà du niveau de décembre </w:t>
      </w:r>
      <w:r w:rsidR="00D53FE7" w:rsidRPr="008A4670">
        <w:rPr>
          <w:rFonts w:asciiTheme="minorHAnsi" w:hAnsiTheme="minorHAnsi"/>
          <w:szCs w:val="20"/>
        </w:rPr>
        <w:t>2019,</w:t>
      </w:r>
      <w:r w:rsidR="00D53FE7" w:rsidRPr="008A4670">
        <w:rPr>
          <w:rFonts w:asciiTheme="minorHAnsi" w:hAnsiTheme="minorHAnsi" w:cstheme="minorHAnsi"/>
          <w:szCs w:val="20"/>
          <w:lang w:val="fr-CH"/>
        </w:rPr>
        <w:t xml:space="preserve"> après</w:t>
      </w:r>
      <w:r w:rsidR="001F6989" w:rsidRPr="008A4670">
        <w:rPr>
          <w:rFonts w:asciiTheme="minorHAnsi" w:hAnsiTheme="minorHAnsi" w:cstheme="minorHAnsi"/>
          <w:szCs w:val="20"/>
          <w:lang w:val="fr-CH"/>
        </w:rPr>
        <w:t xml:space="preserve"> avoir rattrapé la plupart du retard accumulé au premier trimestre 2020</w:t>
      </w:r>
      <w:r w:rsidR="001F6989" w:rsidRPr="008A4670" w:rsidDel="001F6989">
        <w:rPr>
          <w:rFonts w:asciiTheme="minorHAnsi" w:hAnsiTheme="minorHAnsi"/>
          <w:szCs w:val="20"/>
        </w:rPr>
        <w:t xml:space="preserve"> </w:t>
      </w:r>
    </w:p>
    <w:p w14:paraId="05AE4DF0" w14:textId="0AF0926F" w:rsidR="0062151A" w:rsidRPr="008A4670" w:rsidRDefault="0062151A" w:rsidP="008A4670">
      <w:pPr>
        <w:spacing w:line="240" w:lineRule="auto"/>
        <w:rPr>
          <w:rFonts w:asciiTheme="minorHAnsi" w:eastAsiaTheme="minorHAnsi" w:hAnsiTheme="minorHAnsi" w:cstheme="minorHAnsi"/>
          <w:color w:val="000000"/>
          <w:szCs w:val="20"/>
        </w:rPr>
      </w:pPr>
    </w:p>
    <w:p w14:paraId="2661D3C5" w14:textId="498F8723" w:rsidR="0062151A" w:rsidRPr="008A4670" w:rsidRDefault="0062151A" w:rsidP="008A4670">
      <w:pPr>
        <w:spacing w:line="240" w:lineRule="auto"/>
        <w:rPr>
          <w:rFonts w:asciiTheme="minorHAnsi" w:eastAsiaTheme="minorHAnsi" w:hAnsiTheme="minorHAnsi" w:cstheme="minorHAnsi"/>
          <w:color w:val="000000"/>
          <w:szCs w:val="20"/>
        </w:rPr>
      </w:pPr>
      <w:r w:rsidRPr="008A4670">
        <w:rPr>
          <w:rFonts w:asciiTheme="minorHAnsi" w:hAnsiTheme="minorHAnsi"/>
          <w:color w:val="000000"/>
          <w:szCs w:val="20"/>
        </w:rPr>
        <w:t xml:space="preserve">Peter </w:t>
      </w:r>
      <w:proofErr w:type="spellStart"/>
      <w:r w:rsidRPr="008A4670">
        <w:rPr>
          <w:rFonts w:asciiTheme="minorHAnsi" w:hAnsiTheme="minorHAnsi"/>
          <w:color w:val="000000"/>
          <w:szCs w:val="20"/>
        </w:rPr>
        <w:t>Kasahara</w:t>
      </w:r>
      <w:proofErr w:type="spellEnd"/>
      <w:r w:rsidRPr="008A4670">
        <w:rPr>
          <w:rFonts w:asciiTheme="minorHAnsi" w:hAnsiTheme="minorHAnsi"/>
          <w:color w:val="000000"/>
          <w:szCs w:val="20"/>
        </w:rPr>
        <w:t xml:space="preserve">, associé et responsable de PwC Digital and Customer </w:t>
      </w:r>
      <w:proofErr w:type="spellStart"/>
      <w:r w:rsidRPr="008A4670">
        <w:rPr>
          <w:rFonts w:asciiTheme="minorHAnsi" w:hAnsiTheme="minorHAnsi"/>
          <w:color w:val="000000"/>
          <w:szCs w:val="20"/>
        </w:rPr>
        <w:t>Centric</w:t>
      </w:r>
      <w:proofErr w:type="spellEnd"/>
      <w:r w:rsidRPr="008A4670">
        <w:rPr>
          <w:rFonts w:asciiTheme="minorHAnsi" w:hAnsiTheme="minorHAnsi"/>
          <w:color w:val="000000"/>
          <w:szCs w:val="20"/>
        </w:rPr>
        <w:t xml:space="preserve"> Transformation chez PwC Suisse, explique : « Les plus grandes entreprises du monde offrent une </w:t>
      </w:r>
      <w:r w:rsidR="00C706A6" w:rsidRPr="008A4670">
        <w:rPr>
          <w:rFonts w:asciiTheme="minorHAnsi" w:hAnsiTheme="minorHAnsi"/>
          <w:color w:val="000000"/>
          <w:szCs w:val="20"/>
        </w:rPr>
        <w:t xml:space="preserve">certaine </w:t>
      </w:r>
      <w:r w:rsidRPr="008A4670">
        <w:rPr>
          <w:rFonts w:asciiTheme="minorHAnsi" w:hAnsiTheme="minorHAnsi"/>
          <w:color w:val="000000"/>
          <w:szCs w:val="20"/>
        </w:rPr>
        <w:t xml:space="preserve">sécurité aux investisseurs, ce qui est également vrai pour les </w:t>
      </w:r>
      <w:r w:rsidR="001F6989" w:rsidRPr="008A4670">
        <w:rPr>
          <w:rFonts w:asciiTheme="minorHAnsi" w:hAnsiTheme="minorHAnsi"/>
          <w:color w:val="000000"/>
          <w:szCs w:val="20"/>
        </w:rPr>
        <w:t xml:space="preserve">trois </w:t>
      </w:r>
      <w:r w:rsidR="00C706A6" w:rsidRPr="008A4670">
        <w:rPr>
          <w:rFonts w:asciiTheme="minorHAnsi" w:hAnsiTheme="minorHAnsi"/>
          <w:color w:val="000000"/>
          <w:szCs w:val="20"/>
        </w:rPr>
        <w:t>grandes entreprises</w:t>
      </w:r>
      <w:r w:rsidRPr="008A4670">
        <w:rPr>
          <w:rFonts w:asciiTheme="minorHAnsi" w:hAnsiTheme="minorHAnsi"/>
          <w:color w:val="000000"/>
          <w:szCs w:val="20"/>
        </w:rPr>
        <w:t xml:space="preserve"> suisses du Global Top 100. Nestlé (13) et Roche (14) ont conservé leur position dans le top 20</w:t>
      </w:r>
      <w:r w:rsidR="00C706A6" w:rsidRPr="008A4670">
        <w:rPr>
          <w:rFonts w:asciiTheme="minorHAnsi" w:hAnsiTheme="minorHAnsi"/>
          <w:color w:val="000000"/>
          <w:szCs w:val="20"/>
        </w:rPr>
        <w:t xml:space="preserve"> et</w:t>
      </w:r>
      <w:r w:rsidRPr="008A4670">
        <w:rPr>
          <w:rFonts w:asciiTheme="minorHAnsi" w:hAnsiTheme="minorHAnsi"/>
          <w:color w:val="000000"/>
          <w:szCs w:val="20"/>
        </w:rPr>
        <w:t xml:space="preserve"> Novartis est passée de la 25</w:t>
      </w:r>
      <w:r w:rsidRPr="008A4670">
        <w:rPr>
          <w:rFonts w:asciiTheme="minorHAnsi" w:hAnsiTheme="minorHAnsi"/>
          <w:color w:val="000000"/>
          <w:szCs w:val="20"/>
          <w:vertAlign w:val="superscript"/>
        </w:rPr>
        <w:t>e</w:t>
      </w:r>
      <w:r w:rsidRPr="008A4670">
        <w:rPr>
          <w:rFonts w:asciiTheme="minorHAnsi" w:hAnsiTheme="minorHAnsi"/>
          <w:color w:val="000000"/>
          <w:szCs w:val="20"/>
        </w:rPr>
        <w:t xml:space="preserve"> à la 29</w:t>
      </w:r>
      <w:r w:rsidRPr="008A4670">
        <w:rPr>
          <w:rFonts w:asciiTheme="minorHAnsi" w:hAnsiTheme="minorHAnsi"/>
          <w:color w:val="000000"/>
          <w:szCs w:val="20"/>
          <w:vertAlign w:val="superscript"/>
        </w:rPr>
        <w:t>e</w:t>
      </w:r>
      <w:r w:rsidRPr="008A4670">
        <w:rPr>
          <w:rFonts w:asciiTheme="minorHAnsi" w:hAnsiTheme="minorHAnsi"/>
          <w:color w:val="000000"/>
          <w:szCs w:val="20"/>
        </w:rPr>
        <w:t xml:space="preserve"> place, se faisant dépasser par </w:t>
      </w:r>
      <w:proofErr w:type="spellStart"/>
      <w:r w:rsidRPr="008A4670">
        <w:rPr>
          <w:rFonts w:asciiTheme="minorHAnsi" w:hAnsiTheme="minorHAnsi"/>
          <w:color w:val="000000"/>
          <w:szCs w:val="20"/>
        </w:rPr>
        <w:t>Nvidia</w:t>
      </w:r>
      <w:proofErr w:type="spellEnd"/>
      <w:r w:rsidRPr="008A4670">
        <w:rPr>
          <w:rFonts w:asciiTheme="minorHAnsi" w:hAnsiTheme="minorHAnsi"/>
          <w:color w:val="000000"/>
          <w:szCs w:val="20"/>
        </w:rPr>
        <w:t xml:space="preserve">, </w:t>
      </w:r>
      <w:proofErr w:type="spellStart"/>
      <w:r w:rsidRPr="008A4670">
        <w:rPr>
          <w:rFonts w:asciiTheme="minorHAnsi" w:hAnsiTheme="minorHAnsi"/>
          <w:color w:val="000000"/>
          <w:szCs w:val="20"/>
        </w:rPr>
        <w:t>Kweichow</w:t>
      </w:r>
      <w:proofErr w:type="spellEnd"/>
      <w:r w:rsidRPr="008A4670">
        <w:rPr>
          <w:rFonts w:asciiTheme="minorHAnsi" w:hAnsiTheme="minorHAnsi"/>
          <w:color w:val="000000"/>
          <w:szCs w:val="20"/>
        </w:rPr>
        <w:t xml:space="preserve"> </w:t>
      </w:r>
      <w:proofErr w:type="spellStart"/>
      <w:r w:rsidRPr="008A4670">
        <w:rPr>
          <w:rFonts w:asciiTheme="minorHAnsi" w:hAnsiTheme="minorHAnsi"/>
          <w:color w:val="000000"/>
          <w:szCs w:val="20"/>
        </w:rPr>
        <w:t>Moutai</w:t>
      </w:r>
      <w:proofErr w:type="spellEnd"/>
      <w:r w:rsidRPr="008A4670">
        <w:rPr>
          <w:rFonts w:asciiTheme="minorHAnsi" w:hAnsiTheme="minorHAnsi"/>
          <w:color w:val="000000"/>
          <w:szCs w:val="20"/>
        </w:rPr>
        <w:t xml:space="preserve">, Home </w:t>
      </w:r>
      <w:proofErr w:type="spellStart"/>
      <w:r w:rsidRPr="008A4670">
        <w:rPr>
          <w:rFonts w:asciiTheme="minorHAnsi" w:hAnsiTheme="minorHAnsi"/>
          <w:color w:val="000000"/>
          <w:szCs w:val="20"/>
        </w:rPr>
        <w:t>Depot</w:t>
      </w:r>
      <w:proofErr w:type="spellEnd"/>
      <w:r w:rsidRPr="008A4670">
        <w:rPr>
          <w:rFonts w:asciiTheme="minorHAnsi" w:hAnsiTheme="minorHAnsi"/>
          <w:color w:val="000000"/>
          <w:szCs w:val="20"/>
        </w:rPr>
        <w:t xml:space="preserve"> et LVMH. Cela reflète la tendance selon laquelle les sociétés de technologie </w:t>
      </w:r>
      <w:r w:rsidR="00C706A6" w:rsidRPr="008A4670">
        <w:rPr>
          <w:rFonts w:asciiTheme="minorHAnsi" w:hAnsiTheme="minorHAnsi"/>
          <w:color w:val="000000"/>
          <w:szCs w:val="20"/>
        </w:rPr>
        <w:t xml:space="preserve">ainsi que </w:t>
      </w:r>
      <w:r w:rsidRPr="008A4670">
        <w:rPr>
          <w:rFonts w:asciiTheme="minorHAnsi" w:hAnsiTheme="minorHAnsi"/>
          <w:color w:val="000000"/>
          <w:szCs w:val="20"/>
        </w:rPr>
        <w:t xml:space="preserve">de biens de consommation et de services sont un moteur </w:t>
      </w:r>
      <w:r w:rsidR="00C706A6" w:rsidRPr="008A4670">
        <w:rPr>
          <w:rFonts w:asciiTheme="minorHAnsi" w:hAnsiTheme="minorHAnsi"/>
          <w:color w:val="000000"/>
          <w:szCs w:val="20"/>
        </w:rPr>
        <w:t xml:space="preserve">essentiel </w:t>
      </w:r>
      <w:r w:rsidRPr="008A4670">
        <w:rPr>
          <w:rFonts w:asciiTheme="minorHAnsi" w:hAnsiTheme="minorHAnsi"/>
          <w:color w:val="000000"/>
          <w:szCs w:val="20"/>
        </w:rPr>
        <w:t xml:space="preserve">de la surperformance du Global Top 100 par rapport à l’indice du marché dans son ensemble. </w:t>
      </w:r>
      <w:r w:rsidR="00C706A6" w:rsidRPr="008A4670">
        <w:rPr>
          <w:rFonts w:asciiTheme="minorHAnsi" w:hAnsiTheme="minorHAnsi"/>
          <w:color w:val="000000"/>
          <w:szCs w:val="20"/>
        </w:rPr>
        <w:t>Par conséquent</w:t>
      </w:r>
      <w:r w:rsidRPr="008A4670">
        <w:rPr>
          <w:rFonts w:asciiTheme="minorHAnsi" w:hAnsiTheme="minorHAnsi"/>
          <w:color w:val="000000"/>
          <w:szCs w:val="20"/>
        </w:rPr>
        <w:t xml:space="preserve">, les entreprises ayant </w:t>
      </w:r>
      <w:r w:rsidR="00C706A6" w:rsidRPr="008A4670">
        <w:rPr>
          <w:rFonts w:asciiTheme="minorHAnsi" w:hAnsiTheme="minorHAnsi"/>
          <w:color w:val="000000"/>
          <w:szCs w:val="20"/>
        </w:rPr>
        <w:t xml:space="preserve">une offre </w:t>
      </w:r>
      <w:r w:rsidR="001F6989" w:rsidRPr="008A4670">
        <w:rPr>
          <w:rFonts w:asciiTheme="minorHAnsi" w:hAnsiTheme="minorHAnsi"/>
          <w:color w:val="000000"/>
          <w:szCs w:val="20"/>
        </w:rPr>
        <w:t>qui allie</w:t>
      </w:r>
      <w:r w:rsidR="00C706A6" w:rsidRPr="008A4670">
        <w:rPr>
          <w:rFonts w:asciiTheme="minorHAnsi" w:hAnsiTheme="minorHAnsi"/>
          <w:color w:val="000000"/>
          <w:szCs w:val="20"/>
        </w:rPr>
        <w:t xml:space="preserve"> </w:t>
      </w:r>
      <w:r w:rsidRPr="008A4670">
        <w:rPr>
          <w:rFonts w:asciiTheme="minorHAnsi" w:hAnsiTheme="minorHAnsi"/>
          <w:color w:val="000000"/>
          <w:szCs w:val="20"/>
        </w:rPr>
        <w:t xml:space="preserve">la technologie, les biens de consommation et les services pourraient </w:t>
      </w:r>
      <w:r w:rsidR="00C706A6" w:rsidRPr="008A4670">
        <w:rPr>
          <w:rFonts w:asciiTheme="minorHAnsi" w:hAnsiTheme="minorHAnsi"/>
          <w:color w:val="000000"/>
          <w:szCs w:val="20"/>
        </w:rPr>
        <w:t>se trouver dans une position idéale</w:t>
      </w:r>
      <w:r w:rsidRPr="008A4670">
        <w:rPr>
          <w:rFonts w:asciiTheme="minorHAnsi" w:hAnsiTheme="minorHAnsi"/>
          <w:color w:val="000000"/>
          <w:szCs w:val="20"/>
        </w:rPr>
        <w:t> ».</w:t>
      </w:r>
    </w:p>
    <w:p w14:paraId="7016528E" w14:textId="428AE572" w:rsidR="00B23761" w:rsidRPr="008A4670" w:rsidRDefault="00B23761" w:rsidP="008A4670">
      <w:pPr>
        <w:spacing w:line="240" w:lineRule="auto"/>
        <w:rPr>
          <w:rFonts w:asciiTheme="minorHAnsi" w:hAnsiTheme="minorHAnsi" w:cstheme="minorHAnsi"/>
          <w:szCs w:val="20"/>
        </w:rPr>
      </w:pPr>
      <w:r w:rsidRPr="008A4670">
        <w:rPr>
          <w:rFonts w:asciiTheme="minorHAnsi" w:hAnsiTheme="minorHAnsi" w:cstheme="minorHAnsi"/>
          <w:szCs w:val="20"/>
        </w:rPr>
        <w:br w:type="page"/>
      </w:r>
    </w:p>
    <w:p w14:paraId="490CB501" w14:textId="77777777" w:rsidR="00AB7A48" w:rsidRPr="008A4670" w:rsidRDefault="00AB7A48" w:rsidP="008A4670">
      <w:pPr>
        <w:spacing w:line="240" w:lineRule="auto"/>
        <w:rPr>
          <w:rFonts w:asciiTheme="majorHAnsi" w:hAnsiTheme="majorHAnsi" w:cstheme="minorHAnsi"/>
          <w:b/>
          <w:szCs w:val="20"/>
        </w:rPr>
      </w:pPr>
      <w:r w:rsidRPr="008A4670">
        <w:rPr>
          <w:rFonts w:asciiTheme="majorHAnsi" w:hAnsiTheme="majorHAnsi"/>
          <w:b/>
          <w:szCs w:val="20"/>
        </w:rPr>
        <w:lastRenderedPageBreak/>
        <w:t>Analyse régionale</w:t>
      </w:r>
    </w:p>
    <w:p w14:paraId="24E17422" w14:textId="649CB02B" w:rsidR="00AB7A48" w:rsidRPr="008A4670" w:rsidRDefault="00AB7A48" w:rsidP="008A4670">
      <w:pPr>
        <w:numPr>
          <w:ilvl w:val="0"/>
          <w:numId w:val="2"/>
        </w:numPr>
        <w:spacing w:line="240" w:lineRule="auto"/>
        <w:rPr>
          <w:rFonts w:asciiTheme="minorHAnsi" w:hAnsiTheme="minorHAnsi" w:cstheme="minorHAnsi"/>
          <w:szCs w:val="20"/>
        </w:rPr>
      </w:pPr>
      <w:r w:rsidRPr="008A4670">
        <w:rPr>
          <w:rFonts w:asciiTheme="minorHAnsi" w:hAnsiTheme="minorHAnsi"/>
          <w:szCs w:val="20"/>
        </w:rPr>
        <w:t>Les entreprises</w:t>
      </w:r>
      <w:r w:rsidR="000F51BF" w:rsidRPr="008A4670">
        <w:rPr>
          <w:rFonts w:asciiTheme="minorHAnsi" w:hAnsiTheme="minorHAnsi"/>
          <w:szCs w:val="20"/>
        </w:rPr>
        <w:t xml:space="preserve"> du Global Top 100</w:t>
      </w:r>
      <w:r w:rsidRPr="008A4670">
        <w:rPr>
          <w:rFonts w:asciiTheme="minorHAnsi" w:hAnsiTheme="minorHAnsi"/>
          <w:szCs w:val="20"/>
        </w:rPr>
        <w:t xml:space="preserve"> </w:t>
      </w:r>
      <w:r w:rsidR="000F51BF" w:rsidRPr="008A4670">
        <w:rPr>
          <w:rFonts w:asciiTheme="minorHAnsi" w:hAnsiTheme="minorHAnsi"/>
          <w:szCs w:val="20"/>
        </w:rPr>
        <w:t xml:space="preserve">basées aux </w:t>
      </w:r>
      <w:r w:rsidRPr="008A4670">
        <w:rPr>
          <w:rFonts w:asciiTheme="minorHAnsi" w:hAnsiTheme="minorHAnsi"/>
          <w:szCs w:val="20"/>
        </w:rPr>
        <w:t>États-Unis</w:t>
      </w:r>
      <w:r w:rsidR="000F51BF" w:rsidRPr="008A4670">
        <w:rPr>
          <w:rFonts w:asciiTheme="minorHAnsi" w:hAnsiTheme="minorHAnsi"/>
          <w:szCs w:val="20"/>
        </w:rPr>
        <w:t xml:space="preserve"> ainsi qu’en</w:t>
      </w:r>
      <w:r w:rsidRPr="008A4670">
        <w:rPr>
          <w:rFonts w:asciiTheme="minorHAnsi" w:hAnsiTheme="minorHAnsi"/>
          <w:szCs w:val="20"/>
        </w:rPr>
        <w:t xml:space="preserve"> Chine et </w:t>
      </w:r>
      <w:r w:rsidR="000F51BF" w:rsidRPr="008A4670">
        <w:rPr>
          <w:rFonts w:asciiTheme="minorHAnsi" w:hAnsiTheme="minorHAnsi"/>
          <w:szCs w:val="20"/>
        </w:rPr>
        <w:t xml:space="preserve">dans </w:t>
      </w:r>
      <w:r w:rsidRPr="008A4670">
        <w:rPr>
          <w:rFonts w:asciiTheme="minorHAnsi" w:hAnsiTheme="minorHAnsi"/>
          <w:szCs w:val="20"/>
        </w:rPr>
        <w:t xml:space="preserve">ses régions ont </w:t>
      </w:r>
      <w:r w:rsidR="000F51BF" w:rsidRPr="008A4670">
        <w:rPr>
          <w:rFonts w:asciiTheme="minorHAnsi" w:hAnsiTheme="minorHAnsi"/>
          <w:szCs w:val="20"/>
        </w:rPr>
        <w:t xml:space="preserve">rattrapé </w:t>
      </w:r>
      <w:r w:rsidRPr="008A4670">
        <w:rPr>
          <w:rFonts w:asciiTheme="minorHAnsi" w:hAnsiTheme="minorHAnsi"/>
          <w:szCs w:val="20"/>
        </w:rPr>
        <w:t xml:space="preserve">les pertes subies au premier trimestre de mars à juin </w:t>
      </w:r>
      <w:proofErr w:type="gramStart"/>
      <w:r w:rsidRPr="008A4670">
        <w:rPr>
          <w:rFonts w:asciiTheme="minorHAnsi" w:hAnsiTheme="minorHAnsi"/>
          <w:szCs w:val="20"/>
        </w:rPr>
        <w:t>2020</w:t>
      </w:r>
      <w:r w:rsidR="000F51BF" w:rsidRPr="008A4670">
        <w:rPr>
          <w:rFonts w:asciiTheme="minorHAnsi" w:hAnsiTheme="minorHAnsi"/>
          <w:szCs w:val="20"/>
        </w:rPr>
        <w:t xml:space="preserve">, </w:t>
      </w:r>
      <w:r w:rsidRPr="008A4670">
        <w:rPr>
          <w:rFonts w:asciiTheme="minorHAnsi" w:hAnsiTheme="minorHAnsi"/>
          <w:szCs w:val="20"/>
        </w:rPr>
        <w:t xml:space="preserve"> à</w:t>
      </w:r>
      <w:proofErr w:type="gramEnd"/>
      <w:r w:rsidRPr="008A4670">
        <w:rPr>
          <w:rFonts w:asciiTheme="minorHAnsi" w:hAnsiTheme="minorHAnsi"/>
          <w:szCs w:val="20"/>
        </w:rPr>
        <w:t xml:space="preserve"> la différence de l’Europe et du reste du monde. </w:t>
      </w:r>
    </w:p>
    <w:p w14:paraId="7831021B" w14:textId="77777777" w:rsidR="00AB7A48" w:rsidRPr="008A4670" w:rsidRDefault="00AB7A48" w:rsidP="008A4670">
      <w:pPr>
        <w:numPr>
          <w:ilvl w:val="0"/>
          <w:numId w:val="2"/>
        </w:numPr>
        <w:spacing w:line="240" w:lineRule="auto"/>
        <w:rPr>
          <w:rFonts w:asciiTheme="minorHAnsi" w:hAnsiTheme="minorHAnsi" w:cstheme="minorHAnsi"/>
          <w:szCs w:val="20"/>
        </w:rPr>
      </w:pPr>
      <w:r w:rsidRPr="008A4670">
        <w:rPr>
          <w:rFonts w:asciiTheme="minorHAnsi" w:hAnsiTheme="minorHAnsi"/>
          <w:szCs w:val="20"/>
        </w:rPr>
        <w:t>Les entreprises technologiques ont contribué à une augmentation de 21% de la capitalisation boursière des entreprises américaines de mars à juin 2020.</w:t>
      </w:r>
    </w:p>
    <w:p w14:paraId="0B2ACA23" w14:textId="530DAF6A" w:rsidR="00AB7A48" w:rsidRPr="008A4670" w:rsidRDefault="00AB7A48" w:rsidP="008A4670">
      <w:pPr>
        <w:numPr>
          <w:ilvl w:val="0"/>
          <w:numId w:val="2"/>
        </w:numPr>
        <w:spacing w:line="240" w:lineRule="auto"/>
        <w:rPr>
          <w:rFonts w:asciiTheme="minorHAnsi" w:hAnsiTheme="minorHAnsi" w:cstheme="minorHAnsi"/>
          <w:szCs w:val="20"/>
        </w:rPr>
      </w:pPr>
      <w:r w:rsidRPr="008A4670">
        <w:rPr>
          <w:rFonts w:asciiTheme="minorHAnsi" w:hAnsiTheme="minorHAnsi"/>
          <w:szCs w:val="20"/>
        </w:rPr>
        <w:t xml:space="preserve">La performance de la Chine et de ses régions a bénéficié </w:t>
      </w:r>
      <w:r w:rsidR="00212E27" w:rsidRPr="008A4670">
        <w:rPr>
          <w:rFonts w:asciiTheme="minorHAnsi" w:hAnsiTheme="minorHAnsi"/>
          <w:szCs w:val="20"/>
        </w:rPr>
        <w:t xml:space="preserve">depuis décembre 2019 </w:t>
      </w:r>
      <w:r w:rsidR="001F6989" w:rsidRPr="008A4670">
        <w:rPr>
          <w:rFonts w:asciiTheme="minorHAnsi" w:hAnsiTheme="minorHAnsi"/>
          <w:szCs w:val="20"/>
        </w:rPr>
        <w:t>de son avance pour</w:t>
      </w:r>
      <w:r w:rsidRPr="008A4670">
        <w:rPr>
          <w:rFonts w:asciiTheme="minorHAnsi" w:hAnsiTheme="minorHAnsi"/>
          <w:szCs w:val="20"/>
        </w:rPr>
        <w:t xml:space="preserve"> </w:t>
      </w:r>
      <w:r w:rsidR="001F6989" w:rsidRPr="008A4670">
        <w:rPr>
          <w:rFonts w:asciiTheme="minorHAnsi" w:hAnsiTheme="minorHAnsi"/>
          <w:szCs w:val="20"/>
        </w:rPr>
        <w:t xml:space="preserve">se remettre </w:t>
      </w:r>
      <w:r w:rsidRPr="008A4670">
        <w:rPr>
          <w:rFonts w:asciiTheme="minorHAnsi" w:hAnsiTheme="minorHAnsi"/>
          <w:szCs w:val="20"/>
        </w:rPr>
        <w:t xml:space="preserve">des effets du </w:t>
      </w:r>
      <w:r w:rsidR="000F51BF" w:rsidRPr="008A4670">
        <w:rPr>
          <w:rFonts w:asciiTheme="minorHAnsi" w:hAnsiTheme="minorHAnsi"/>
          <w:szCs w:val="20"/>
        </w:rPr>
        <w:t>COVID</w:t>
      </w:r>
      <w:r w:rsidRPr="008A4670">
        <w:rPr>
          <w:rFonts w:asciiTheme="minorHAnsi" w:hAnsiTheme="minorHAnsi"/>
          <w:szCs w:val="20"/>
        </w:rPr>
        <w:t xml:space="preserve">-19 et d’une forte composante de technologie et </w:t>
      </w:r>
      <w:r w:rsidR="001F6989" w:rsidRPr="008A4670">
        <w:rPr>
          <w:rFonts w:asciiTheme="minorHAnsi" w:hAnsiTheme="minorHAnsi"/>
          <w:szCs w:val="20"/>
        </w:rPr>
        <w:t xml:space="preserve">d’e-commerce </w:t>
      </w:r>
      <w:r w:rsidRPr="008A4670">
        <w:rPr>
          <w:rFonts w:asciiTheme="minorHAnsi" w:hAnsiTheme="minorHAnsi"/>
          <w:szCs w:val="20"/>
        </w:rPr>
        <w:t xml:space="preserve">(services aux consommateurs). </w:t>
      </w:r>
    </w:p>
    <w:p w14:paraId="03994BCD" w14:textId="77777777" w:rsidR="00AB7A48" w:rsidRPr="008A4670" w:rsidRDefault="00AB7A48" w:rsidP="008A4670">
      <w:pPr>
        <w:spacing w:line="240" w:lineRule="auto"/>
        <w:rPr>
          <w:rFonts w:asciiTheme="minorHAnsi" w:hAnsiTheme="minorHAnsi" w:cstheme="minorHAnsi"/>
          <w:szCs w:val="20"/>
        </w:rPr>
      </w:pPr>
    </w:p>
    <w:p w14:paraId="2AFDBBF5" w14:textId="77777777" w:rsidR="00AB7A48" w:rsidRPr="008A4670" w:rsidRDefault="00AB7A48" w:rsidP="008A4670">
      <w:pPr>
        <w:spacing w:line="240" w:lineRule="auto"/>
        <w:rPr>
          <w:rFonts w:asciiTheme="majorHAnsi" w:hAnsiTheme="majorHAnsi" w:cstheme="minorHAnsi"/>
          <w:b/>
          <w:szCs w:val="20"/>
        </w:rPr>
      </w:pPr>
      <w:r w:rsidRPr="008A4670">
        <w:rPr>
          <w:rFonts w:asciiTheme="majorHAnsi" w:hAnsiTheme="majorHAnsi"/>
          <w:b/>
          <w:szCs w:val="20"/>
        </w:rPr>
        <w:t>Faits marquants concernant les entreprises</w:t>
      </w:r>
    </w:p>
    <w:p w14:paraId="3C52C7F3" w14:textId="7F9D18F9" w:rsidR="00D4376F" w:rsidRPr="008A4670" w:rsidRDefault="00AB7A48" w:rsidP="008A4670">
      <w:pPr>
        <w:numPr>
          <w:ilvl w:val="0"/>
          <w:numId w:val="3"/>
        </w:numPr>
        <w:spacing w:line="240" w:lineRule="auto"/>
        <w:rPr>
          <w:rFonts w:asciiTheme="minorHAnsi" w:hAnsiTheme="minorHAnsi" w:cstheme="minorHAnsi"/>
          <w:szCs w:val="20"/>
        </w:rPr>
      </w:pPr>
      <w:r w:rsidRPr="008A4670">
        <w:rPr>
          <w:rFonts w:asciiTheme="minorHAnsi" w:hAnsiTheme="minorHAnsi"/>
          <w:szCs w:val="20"/>
        </w:rPr>
        <w:t xml:space="preserve">En juin 2020, 87 entreprises du Global Top 100 ont enregistré une augmentation de leur capitalisation boursière de mars à juin 2020, contre seulement dix de janvier à mars. </w:t>
      </w:r>
    </w:p>
    <w:p w14:paraId="49B39CEC" w14:textId="77777777" w:rsidR="00AB7A48" w:rsidRPr="008A4670" w:rsidRDefault="00AB7A48" w:rsidP="008A4670">
      <w:pPr>
        <w:numPr>
          <w:ilvl w:val="0"/>
          <w:numId w:val="3"/>
        </w:numPr>
        <w:spacing w:line="240" w:lineRule="auto"/>
        <w:rPr>
          <w:rFonts w:asciiTheme="minorHAnsi" w:hAnsiTheme="minorHAnsi" w:cstheme="minorHAnsi"/>
          <w:szCs w:val="20"/>
        </w:rPr>
      </w:pPr>
      <w:r w:rsidRPr="008A4670">
        <w:rPr>
          <w:rFonts w:asciiTheme="minorHAnsi" w:hAnsiTheme="minorHAnsi"/>
          <w:szCs w:val="20"/>
        </w:rPr>
        <w:t>Dix entreprises classées dans le Global Top 100 en mars 2020 ne figurent plus dans la liste de juin 2020.</w:t>
      </w:r>
    </w:p>
    <w:p w14:paraId="71C6C1FC" w14:textId="77777777" w:rsidR="00D53FE7" w:rsidRPr="00D53FE7" w:rsidRDefault="00D53FE7" w:rsidP="00D53FE7">
      <w:pPr>
        <w:spacing w:line="240" w:lineRule="auto"/>
        <w:ind w:left="360"/>
        <w:rPr>
          <w:color w:val="000000" w:themeColor="text1"/>
          <w:szCs w:val="20"/>
        </w:rPr>
      </w:pPr>
    </w:p>
    <w:p w14:paraId="4CA60A9D" w14:textId="7BB53532" w:rsidR="00D53FE7" w:rsidRPr="00D53FE7" w:rsidRDefault="00D53FE7" w:rsidP="00D53FE7">
      <w:pPr>
        <w:spacing w:line="240" w:lineRule="auto"/>
        <w:rPr>
          <w:b/>
          <w:color w:val="000000" w:themeColor="text1"/>
          <w:szCs w:val="20"/>
        </w:rPr>
      </w:pPr>
      <w:r w:rsidRPr="00D53FE7">
        <w:rPr>
          <w:b/>
          <w:color w:val="000000" w:themeColor="text1"/>
          <w:szCs w:val="20"/>
        </w:rPr>
        <w:t>Télécharger</w:t>
      </w:r>
    </w:p>
    <w:p w14:paraId="18F2189B" w14:textId="77777777" w:rsidR="00D53FE7" w:rsidRPr="00D53FE7" w:rsidRDefault="00D53FE7" w:rsidP="00D53FE7">
      <w:pPr>
        <w:spacing w:line="240" w:lineRule="auto"/>
        <w:rPr>
          <w:rFonts w:asciiTheme="minorHAnsi" w:hAnsiTheme="minorHAnsi" w:cstheme="minorHAnsi"/>
          <w:szCs w:val="20"/>
        </w:rPr>
      </w:pPr>
      <w:r w:rsidRPr="00D53FE7">
        <w:rPr>
          <w:rFonts w:asciiTheme="minorHAnsi" w:hAnsiTheme="minorHAnsi" w:cstheme="minorHAnsi"/>
          <w:szCs w:val="20"/>
        </w:rPr>
        <w:t xml:space="preserve">Vous pouvez consulter le classement Global Top 100 des entreprises les mieux valorisées – Édition de </w:t>
      </w:r>
      <w:r w:rsidRPr="00D53FE7">
        <w:rPr>
          <w:rFonts w:asciiTheme="minorHAnsi" w:hAnsiTheme="minorHAnsi" w:cstheme="minorHAnsi"/>
          <w:b/>
          <w:szCs w:val="20"/>
        </w:rPr>
        <w:t>juin 2020</w:t>
      </w:r>
      <w:r w:rsidRPr="00D53FE7">
        <w:rPr>
          <w:rFonts w:asciiTheme="minorHAnsi" w:hAnsiTheme="minorHAnsi" w:cstheme="minorHAnsi"/>
          <w:szCs w:val="20"/>
        </w:rPr>
        <w:t xml:space="preserve"> (en anglais) par PwC ici</w:t>
      </w:r>
      <w:r w:rsidRPr="00D53FE7">
        <w:rPr>
          <w:szCs w:val="20"/>
        </w:rPr>
        <w:t xml:space="preserve"> </w:t>
      </w:r>
      <w:hyperlink r:id="rId8" w:tgtFrame="_blank" w:history="1">
        <w:r w:rsidRPr="00D53FE7">
          <w:rPr>
            <w:rStyle w:val="Hyperlink"/>
            <w:rFonts w:ascii="Arial" w:hAnsi="Arial"/>
            <w:color w:val="3367D6"/>
            <w:szCs w:val="20"/>
            <w:shd w:val="clear" w:color="auto" w:fill="FFFFFF"/>
          </w:rPr>
          <w:t>https://www.pwc.com/gx/en/audit-services/publications/assets/global-top-100-companies-june-2020-update.pdf</w:t>
        </w:r>
      </w:hyperlink>
    </w:p>
    <w:p w14:paraId="4D57A36F" w14:textId="718A7398" w:rsidR="006A34AE" w:rsidRPr="008A4670" w:rsidRDefault="006A34AE" w:rsidP="008A4670">
      <w:pPr>
        <w:spacing w:line="240" w:lineRule="auto"/>
        <w:jc w:val="both"/>
        <w:rPr>
          <w:rFonts w:asciiTheme="minorHAnsi" w:hAnsiTheme="minorHAnsi" w:cstheme="minorHAnsi"/>
          <w:szCs w:val="20"/>
        </w:rPr>
      </w:pPr>
    </w:p>
    <w:p w14:paraId="6781905E" w14:textId="7DFA03BA" w:rsidR="00AB7A48" w:rsidRPr="008A4670" w:rsidRDefault="00AB7A48" w:rsidP="008A4670">
      <w:pPr>
        <w:spacing w:line="240" w:lineRule="auto"/>
        <w:rPr>
          <w:b/>
          <w:color w:val="000000" w:themeColor="text1"/>
          <w:szCs w:val="20"/>
        </w:rPr>
      </w:pPr>
      <w:r w:rsidRPr="008A4670">
        <w:rPr>
          <w:b/>
          <w:color w:val="000000" w:themeColor="text1"/>
          <w:szCs w:val="20"/>
        </w:rPr>
        <w:t>Remarque à l’intention des rédacteurs</w:t>
      </w:r>
    </w:p>
    <w:p w14:paraId="34924FD3" w14:textId="0AB6A128" w:rsidR="00E355C7" w:rsidRDefault="00AB7A48" w:rsidP="008A4670">
      <w:pPr>
        <w:spacing w:line="240" w:lineRule="auto"/>
        <w:rPr>
          <w:rStyle w:val="Hyperlink"/>
          <w:rFonts w:asciiTheme="minorHAnsi" w:hAnsiTheme="minorHAnsi" w:cstheme="minorHAnsi"/>
        </w:rPr>
      </w:pPr>
      <w:r w:rsidRPr="008A4670">
        <w:rPr>
          <w:rFonts w:asciiTheme="minorHAnsi" w:hAnsiTheme="minorHAnsi"/>
          <w:szCs w:val="20"/>
        </w:rPr>
        <w:t xml:space="preserve">L’édition annuelle du Global Top 100 a été publiée en </w:t>
      </w:r>
      <w:r w:rsidRPr="008A4670">
        <w:rPr>
          <w:rFonts w:asciiTheme="minorHAnsi" w:hAnsiTheme="minorHAnsi"/>
          <w:b/>
          <w:szCs w:val="20"/>
        </w:rPr>
        <w:t>mai 2020</w:t>
      </w:r>
      <w:r w:rsidRPr="008A4670">
        <w:rPr>
          <w:rFonts w:asciiTheme="minorHAnsi" w:hAnsiTheme="minorHAnsi"/>
          <w:szCs w:val="20"/>
        </w:rPr>
        <w:t xml:space="preserve">. Compte tenu des perspectives incertaines relatives aux marchés, alors que le monde évoluait vers et dans un environnement post </w:t>
      </w:r>
      <w:r w:rsidR="000F51BF" w:rsidRPr="008A4670">
        <w:rPr>
          <w:rFonts w:asciiTheme="minorHAnsi" w:hAnsiTheme="minorHAnsi"/>
          <w:szCs w:val="20"/>
        </w:rPr>
        <w:t>COVID</w:t>
      </w:r>
      <w:r w:rsidRPr="008A4670">
        <w:rPr>
          <w:rFonts w:asciiTheme="minorHAnsi" w:hAnsiTheme="minorHAnsi"/>
          <w:szCs w:val="20"/>
        </w:rPr>
        <w:t>-19, nous nous sommes engagés à fournir des mises à jour synthétiques trimestrielles pour suivre l’évolution du Global Top 100</w:t>
      </w:r>
      <w:r w:rsidR="008A4670">
        <w:rPr>
          <w:rFonts w:asciiTheme="minorHAnsi" w:hAnsiTheme="minorHAnsi"/>
          <w:szCs w:val="20"/>
        </w:rPr>
        <w:t xml:space="preserve"> </w:t>
      </w:r>
      <w:hyperlink r:id="rId9" w:history="1">
        <w:r w:rsidR="008A4670" w:rsidRPr="00CF209A">
          <w:rPr>
            <w:rStyle w:val="Hyperlink"/>
            <w:rFonts w:asciiTheme="minorHAnsi" w:hAnsiTheme="minorHAnsi" w:cstheme="minorHAnsi"/>
          </w:rPr>
          <w:t>https://www.pwc.com/gx/en/audit-services/publications/assets/global-top-100-companies-2020.pdf</w:t>
        </w:r>
      </w:hyperlink>
    </w:p>
    <w:p w14:paraId="56BF14E2" w14:textId="77777777" w:rsidR="00D57849" w:rsidRPr="00D53FE7" w:rsidRDefault="00D57849" w:rsidP="008A4670">
      <w:pPr>
        <w:spacing w:line="240" w:lineRule="auto"/>
        <w:rPr>
          <w:color w:val="000000" w:themeColor="text1"/>
          <w:szCs w:val="20"/>
        </w:rPr>
      </w:pPr>
    </w:p>
    <w:p w14:paraId="7B90F5DE" w14:textId="77777777" w:rsidR="00470263" w:rsidRPr="008A4670" w:rsidRDefault="00470263" w:rsidP="008A4670">
      <w:pPr>
        <w:spacing w:line="240" w:lineRule="auto"/>
        <w:rPr>
          <w:b/>
          <w:color w:val="000000" w:themeColor="text1"/>
          <w:szCs w:val="20"/>
        </w:rPr>
      </w:pPr>
      <w:r w:rsidRPr="008A4670">
        <w:rPr>
          <w:b/>
          <w:color w:val="000000" w:themeColor="text1"/>
          <w:szCs w:val="20"/>
        </w:rPr>
        <w:t xml:space="preserve">Share </w:t>
      </w:r>
    </w:p>
    <w:p w14:paraId="2FA8CCA9" w14:textId="168FC233" w:rsidR="006F6CE1" w:rsidRPr="008A4670" w:rsidRDefault="006F6CE1" w:rsidP="008A4670">
      <w:pPr>
        <w:spacing w:line="240" w:lineRule="auto"/>
        <w:rPr>
          <w:rFonts w:asciiTheme="minorHAnsi" w:hAnsiTheme="minorHAnsi" w:cstheme="minorHAnsi"/>
          <w:szCs w:val="20"/>
        </w:rPr>
      </w:pPr>
      <w:r w:rsidRPr="008A4670">
        <w:rPr>
          <w:rFonts w:asciiTheme="minorHAnsi" w:hAnsiTheme="minorHAnsi"/>
          <w:szCs w:val="20"/>
        </w:rPr>
        <w:t xml:space="preserve">Vous trouverez nos communiqués de presse </w:t>
      </w:r>
      <w:r w:rsidR="00212E27" w:rsidRPr="008A4670">
        <w:rPr>
          <w:rFonts w:asciiTheme="minorHAnsi" w:hAnsiTheme="minorHAnsi"/>
          <w:szCs w:val="20"/>
        </w:rPr>
        <w:t>sur</w:t>
      </w:r>
      <w:r w:rsidRPr="008A4670">
        <w:rPr>
          <w:rFonts w:asciiTheme="minorHAnsi" w:hAnsiTheme="minorHAnsi"/>
          <w:szCs w:val="20"/>
        </w:rPr>
        <w:t xml:space="preserve"> la page</w:t>
      </w:r>
      <w:r w:rsidRPr="008A4670">
        <w:rPr>
          <w:szCs w:val="20"/>
        </w:rPr>
        <w:t xml:space="preserve"> </w:t>
      </w:r>
      <w:hyperlink r:id="rId10" w:history="1">
        <w:r w:rsidRPr="008A4670">
          <w:rPr>
            <w:rStyle w:val="Hyperlink"/>
            <w:rFonts w:asciiTheme="minorHAnsi" w:hAnsiTheme="minorHAnsi"/>
            <w:szCs w:val="20"/>
          </w:rPr>
          <w:t>www.pwc.ch/fr/centre-de-presse</w:t>
        </w:r>
      </w:hyperlink>
      <w:r w:rsidRPr="008A4670">
        <w:rPr>
          <w:rFonts w:asciiTheme="minorHAnsi" w:hAnsiTheme="minorHAnsi"/>
          <w:szCs w:val="20"/>
        </w:rPr>
        <w:t>.</w:t>
      </w:r>
    </w:p>
    <w:p w14:paraId="2E32C907" w14:textId="55028E3E" w:rsidR="00A219D8" w:rsidRPr="008A4670" w:rsidRDefault="00A219D8" w:rsidP="008A4670">
      <w:pPr>
        <w:tabs>
          <w:tab w:val="left" w:pos="1734"/>
        </w:tabs>
        <w:spacing w:line="240" w:lineRule="auto"/>
        <w:outlineLvl w:val="0"/>
        <w:rPr>
          <w:rFonts w:asciiTheme="majorHAnsi" w:eastAsia="Georgia" w:hAnsiTheme="majorHAnsi" w:cs="Georgia"/>
          <w:b/>
          <w:szCs w:val="20"/>
        </w:rPr>
      </w:pPr>
    </w:p>
    <w:p w14:paraId="17F930D1" w14:textId="2419DCB8" w:rsidR="000349A2" w:rsidRPr="008A4670" w:rsidRDefault="000349A2" w:rsidP="008A4670">
      <w:pPr>
        <w:spacing w:line="240" w:lineRule="auto"/>
        <w:rPr>
          <w:b/>
          <w:szCs w:val="20"/>
        </w:rPr>
      </w:pPr>
      <w:r w:rsidRPr="008A4670">
        <w:rPr>
          <w:b/>
          <w:szCs w:val="20"/>
        </w:rPr>
        <w:t xml:space="preserve">Au </w:t>
      </w:r>
      <w:r w:rsidR="001F6989" w:rsidRPr="008A4670">
        <w:rPr>
          <w:b/>
          <w:szCs w:val="20"/>
        </w:rPr>
        <w:t>propos</w:t>
      </w:r>
      <w:r w:rsidR="00212E27" w:rsidRPr="008A4670">
        <w:rPr>
          <w:b/>
          <w:szCs w:val="20"/>
        </w:rPr>
        <w:t xml:space="preserve"> </w:t>
      </w:r>
      <w:r w:rsidRPr="008A4670">
        <w:rPr>
          <w:b/>
          <w:szCs w:val="20"/>
        </w:rPr>
        <w:t>de PwC</w:t>
      </w:r>
    </w:p>
    <w:p w14:paraId="1DB544AE" w14:textId="3132EA9E" w:rsidR="000349A2" w:rsidRPr="008A4670" w:rsidRDefault="000349A2" w:rsidP="008A4670">
      <w:pPr>
        <w:spacing w:line="240" w:lineRule="auto"/>
        <w:rPr>
          <w:rFonts w:asciiTheme="minorHAnsi" w:hAnsiTheme="minorHAnsi" w:cstheme="minorHAnsi"/>
          <w:color w:val="000000" w:themeColor="text1"/>
          <w:szCs w:val="20"/>
        </w:rPr>
      </w:pPr>
      <w:r w:rsidRPr="008A4670">
        <w:rPr>
          <w:rFonts w:asciiTheme="minorHAnsi" w:hAnsiTheme="minorHAnsi"/>
          <w:color w:val="000000" w:themeColor="text1"/>
          <w:szCs w:val="20"/>
        </w:rPr>
        <w:t xml:space="preserve">Le but de PwC est de développer la confiance dans la société et de résoudre des problèmes importants. Nous sommes un réseau d’entreprises situées dans 157 pays et comptant plus de 276 000 collaborateurs qui s’engagent à fournir des services </w:t>
      </w:r>
      <w:r w:rsidR="00212E27" w:rsidRPr="008A4670">
        <w:rPr>
          <w:rFonts w:asciiTheme="minorHAnsi" w:hAnsiTheme="minorHAnsi"/>
          <w:color w:val="000000" w:themeColor="text1"/>
          <w:szCs w:val="20"/>
        </w:rPr>
        <w:t xml:space="preserve">de qualité </w:t>
      </w:r>
      <w:r w:rsidRPr="008A4670">
        <w:rPr>
          <w:rFonts w:asciiTheme="minorHAnsi" w:hAnsiTheme="minorHAnsi"/>
          <w:color w:val="000000" w:themeColor="text1"/>
          <w:szCs w:val="20"/>
        </w:rPr>
        <w:t>en matière d’assurance, de conseil économique et fiscal. PwC Suisse compte plus de 3300 collaborateurs et associés répartis sur 14 sites en Suisse et un dans la Principauté de Liechtenstein. Pour</w:t>
      </w:r>
      <w:r w:rsidRPr="008A4670">
        <w:rPr>
          <w:szCs w:val="20"/>
        </w:rPr>
        <w:t xml:space="preserve"> en </w:t>
      </w:r>
      <w:r w:rsidRPr="008A4670">
        <w:rPr>
          <w:rFonts w:asciiTheme="minorHAnsi" w:hAnsiTheme="minorHAnsi"/>
          <w:color w:val="000000" w:themeColor="text1"/>
          <w:szCs w:val="20"/>
        </w:rPr>
        <w:t xml:space="preserve">savoir plus et </w:t>
      </w:r>
      <w:r w:rsidR="00212E27" w:rsidRPr="008A4670">
        <w:rPr>
          <w:rFonts w:asciiTheme="minorHAnsi" w:hAnsiTheme="minorHAnsi"/>
          <w:color w:val="000000" w:themeColor="text1"/>
          <w:szCs w:val="20"/>
        </w:rPr>
        <w:t xml:space="preserve">partager avec nous ce </w:t>
      </w:r>
      <w:r w:rsidRPr="008A4670">
        <w:rPr>
          <w:rFonts w:asciiTheme="minorHAnsi" w:hAnsiTheme="minorHAnsi"/>
          <w:color w:val="000000" w:themeColor="text1"/>
          <w:szCs w:val="20"/>
        </w:rPr>
        <w:t>qui compte pour vous, rendez-vous sur</w:t>
      </w:r>
      <w:r w:rsidRPr="008A4670">
        <w:rPr>
          <w:szCs w:val="20"/>
        </w:rPr>
        <w:t xml:space="preserve"> notre site </w:t>
      </w:r>
      <w:hyperlink r:id="rId11" w:history="1">
        <w:r w:rsidRPr="008A4670">
          <w:rPr>
            <w:rStyle w:val="Hyperlink"/>
            <w:rFonts w:asciiTheme="minorHAnsi" w:hAnsiTheme="minorHAnsi"/>
            <w:color w:val="000000" w:themeColor="text1"/>
            <w:szCs w:val="20"/>
          </w:rPr>
          <w:t>www.pwc.ch.</w:t>
        </w:r>
      </w:hyperlink>
    </w:p>
    <w:p w14:paraId="4E187FEE" w14:textId="77777777" w:rsidR="000349A2" w:rsidRPr="008A4670" w:rsidRDefault="000349A2" w:rsidP="008A4670">
      <w:pPr>
        <w:spacing w:line="240" w:lineRule="auto"/>
        <w:rPr>
          <w:rFonts w:asciiTheme="minorHAnsi" w:hAnsiTheme="minorHAnsi" w:cstheme="minorHAnsi"/>
          <w:color w:val="000000" w:themeColor="text1"/>
          <w:szCs w:val="20"/>
        </w:rPr>
      </w:pPr>
    </w:p>
    <w:p w14:paraId="1CF0BA8F" w14:textId="77777777" w:rsidR="000349A2" w:rsidRPr="008A4670" w:rsidRDefault="000349A2" w:rsidP="008A4670">
      <w:pPr>
        <w:spacing w:line="240" w:lineRule="auto"/>
        <w:rPr>
          <w:rFonts w:asciiTheme="minorHAnsi" w:hAnsiTheme="minorHAnsi" w:cstheme="minorHAnsi"/>
          <w:color w:val="000000" w:themeColor="text1"/>
          <w:szCs w:val="20"/>
        </w:rPr>
      </w:pPr>
      <w:r w:rsidRPr="008A4670">
        <w:rPr>
          <w:rFonts w:asciiTheme="minorHAnsi" w:hAnsiTheme="minorHAnsi"/>
          <w:color w:val="000000" w:themeColor="text1"/>
          <w:szCs w:val="20"/>
        </w:rPr>
        <w:t xml:space="preserve">« PwC » fait référence au réseau international de PwC et/ou à une ou plusieurs de ses entreprises membres, chacune étant une personne morale différente. Pour plus d’informations, veuillez consulter la page </w:t>
      </w:r>
      <w:hyperlink r:id="rId12" w:history="1">
        <w:r w:rsidRPr="008A4670">
          <w:rPr>
            <w:rStyle w:val="Hyperlink"/>
            <w:rFonts w:asciiTheme="minorHAnsi" w:hAnsiTheme="minorHAnsi"/>
            <w:szCs w:val="20"/>
          </w:rPr>
          <w:t>www.pwc.com/structure</w:t>
        </w:r>
      </w:hyperlink>
      <w:r w:rsidRPr="008A4670">
        <w:rPr>
          <w:rFonts w:asciiTheme="minorHAnsi" w:hAnsiTheme="minorHAnsi"/>
          <w:color w:val="000000" w:themeColor="text1"/>
          <w:szCs w:val="20"/>
        </w:rPr>
        <w:t>.</w:t>
      </w:r>
    </w:p>
    <w:p w14:paraId="7AB1F461" w14:textId="77777777" w:rsidR="000349A2" w:rsidRPr="008A4670" w:rsidRDefault="000349A2" w:rsidP="008A4670">
      <w:pPr>
        <w:tabs>
          <w:tab w:val="left" w:pos="1734"/>
        </w:tabs>
        <w:spacing w:line="240" w:lineRule="auto"/>
        <w:outlineLvl w:val="0"/>
        <w:rPr>
          <w:rFonts w:asciiTheme="majorHAnsi" w:eastAsia="Georgia" w:hAnsiTheme="majorHAnsi" w:cs="Georgia"/>
          <w:b/>
          <w:szCs w:val="20"/>
        </w:rPr>
      </w:pPr>
    </w:p>
    <w:sectPr w:rsidR="000349A2" w:rsidRPr="008A4670" w:rsidSect="007B0AD0">
      <w:headerReference w:type="even" r:id="rId13"/>
      <w:headerReference w:type="default" r:id="rId14"/>
      <w:footerReference w:type="even" r:id="rId15"/>
      <w:footerReference w:type="default" r:id="rId16"/>
      <w:headerReference w:type="first" r:id="rId17"/>
      <w:pgSz w:w="11907" w:h="16839"/>
      <w:pgMar w:top="2835" w:right="1134" w:bottom="567" w:left="1984"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733E" w14:textId="77777777" w:rsidR="00A50818" w:rsidRDefault="00A50818">
      <w:pPr>
        <w:spacing w:line="240" w:lineRule="auto"/>
      </w:pPr>
      <w:r>
        <w:separator/>
      </w:r>
    </w:p>
  </w:endnote>
  <w:endnote w:type="continuationSeparator" w:id="0">
    <w:p w14:paraId="07340352" w14:textId="77777777" w:rsidR="00A50818" w:rsidRDefault="00A508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45 Light">
    <w:charset w:val="00"/>
    <w:family w:val="swiss"/>
    <w:pitch w:val="variable"/>
    <w:sig w:usb0="A00000AF" w:usb1="5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DDBD1" w14:textId="77777777" w:rsidR="00D85DC2" w:rsidRDefault="00D679CE">
    <w:pPr>
      <w:pStyle w:val="Footer"/>
    </w:pPr>
    <w:r>
      <w:fldChar w:fldCharType="begin"/>
    </w:r>
    <w:r>
      <w:instrText xml:space="preserve"> PAGE  \* MERGEFORMAT </w:instrText>
    </w:r>
    <w:r>
      <w:fldChar w:fldCharType="separate"/>
    </w:r>
    <w:r w:rsidR="00D85DC2">
      <w:t>4</w:t>
    </w:r>
    <w:r>
      <w:fldChar w:fldCharType="end"/>
    </w:r>
    <w:r>
      <w:t xml:space="preserve"> de </w:t>
    </w:r>
    <w:r w:rsidR="003221D6">
      <w:fldChar w:fldCharType="begin"/>
    </w:r>
    <w:r w:rsidR="003221D6">
      <w:instrText xml:space="preserve"> NUMPAGES  \* MERGEFORMAT </w:instrText>
    </w:r>
    <w:r w:rsidR="003221D6">
      <w:fldChar w:fldCharType="separate"/>
    </w:r>
    <w:r w:rsidR="00D85DC2">
      <w:t>3</w:t>
    </w:r>
    <w:r w:rsidR="003221D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EBBD6" w14:textId="7677EFFE" w:rsidR="00D85DC2" w:rsidRDefault="00D679CE">
    <w:pPr>
      <w:pStyle w:val="Footer"/>
    </w:pPr>
    <w:r>
      <w:fldChar w:fldCharType="begin"/>
    </w:r>
    <w:r>
      <w:instrText xml:space="preserve"> PAGE  \* MERGEFORMAT </w:instrText>
    </w:r>
    <w:r>
      <w:fldChar w:fldCharType="separate"/>
    </w:r>
    <w:r w:rsidR="00661BF5">
      <w:t>2</w:t>
    </w:r>
    <w:r>
      <w:fldChar w:fldCharType="end"/>
    </w:r>
    <w:r>
      <w:t xml:space="preserve"> de </w:t>
    </w:r>
    <w:r w:rsidR="003221D6">
      <w:fldChar w:fldCharType="begin"/>
    </w:r>
    <w:r w:rsidR="003221D6">
      <w:instrText xml:space="preserve"> NUMPAGES  \* MERGEFORMAT </w:instrText>
    </w:r>
    <w:r w:rsidR="003221D6">
      <w:fldChar w:fldCharType="separate"/>
    </w:r>
    <w:r w:rsidR="00661BF5">
      <w:t>2</w:t>
    </w:r>
    <w:r w:rsidR="003221D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8B213" w14:textId="77777777" w:rsidR="00A50818" w:rsidRDefault="00A50818">
      <w:pPr>
        <w:spacing w:line="240" w:lineRule="auto"/>
      </w:pPr>
      <w:r>
        <w:separator/>
      </w:r>
    </w:p>
  </w:footnote>
  <w:footnote w:type="continuationSeparator" w:id="0">
    <w:p w14:paraId="7D8D904C" w14:textId="77777777" w:rsidR="00A50818" w:rsidRDefault="00A508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0244" w14:textId="77777777" w:rsidR="00D85DC2" w:rsidRDefault="00D85DC2">
    <w:pPr>
      <w:pStyle w:val="Header"/>
    </w:pPr>
    <w:r>
      <w:rPr>
        <w:noProof/>
      </w:rPr>
      <w:drawing>
        <wp:anchor distT="0" distB="0" distL="114300" distR="114300" simplePos="0" relativeHeight="251661312" behindDoc="0" locked="1" layoutInCell="1" allowOverlap="1" wp14:anchorId="798402AE" wp14:editId="5867D1FC">
          <wp:simplePos x="0" y="0"/>
          <wp:positionH relativeFrom="page">
            <wp:posOffset>431165</wp:posOffset>
          </wp:positionH>
          <wp:positionV relativeFrom="page">
            <wp:posOffset>490855</wp:posOffset>
          </wp:positionV>
          <wp:extent cx="1410970" cy="12687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63BFA944" w14:textId="77777777" w:rsidR="00D85DC2" w:rsidRDefault="00D85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6ECCF" w14:textId="77777777" w:rsidR="00D85DC2" w:rsidRDefault="00D85DC2">
    <w:pPr>
      <w:pStyle w:val="Header"/>
    </w:pPr>
    <w:r>
      <w:rPr>
        <w:noProof/>
      </w:rPr>
      <w:drawing>
        <wp:anchor distT="0" distB="0" distL="114300" distR="114300" simplePos="0" relativeHeight="251660288" behindDoc="0" locked="1" layoutInCell="1" allowOverlap="1" wp14:anchorId="21EF854B" wp14:editId="7CD9526D">
          <wp:simplePos x="0" y="0"/>
          <wp:positionH relativeFrom="page">
            <wp:posOffset>431165</wp:posOffset>
          </wp:positionH>
          <wp:positionV relativeFrom="page">
            <wp:posOffset>490855</wp:posOffset>
          </wp:positionV>
          <wp:extent cx="1410970" cy="1268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14:paraId="6C87A081" w14:textId="41AF245D" w:rsidR="00D85DC2" w:rsidRDefault="00D85D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3C2CB" w14:textId="65CA717C" w:rsidR="00D85DC2" w:rsidRDefault="00D85DC2">
    <w:pPr>
      <w:pStyle w:val="Header"/>
    </w:pPr>
    <w:r>
      <w:rPr>
        <w:noProof/>
      </w:rPr>
      <w:drawing>
        <wp:anchor distT="0" distB="0" distL="114300" distR="114300" simplePos="0" relativeHeight="251659264" behindDoc="0" locked="1" layoutInCell="1" allowOverlap="1" wp14:anchorId="383C2B0A" wp14:editId="22707EBC">
          <wp:simplePos x="0" y="0"/>
          <wp:positionH relativeFrom="page">
            <wp:posOffset>431165</wp:posOffset>
          </wp:positionH>
          <wp:positionV relativeFrom="page">
            <wp:posOffset>490855</wp:posOffset>
          </wp:positionV>
          <wp:extent cx="1410970" cy="1268730"/>
          <wp:effectExtent l="0" t="0" r="0" b="0"/>
          <wp:wrapNone/>
          <wp:docPr id="6"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B781C"/>
    <w:multiLevelType w:val="multilevel"/>
    <w:tmpl w:val="518A8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E43770"/>
    <w:multiLevelType w:val="multilevel"/>
    <w:tmpl w:val="F7D2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C003CB"/>
    <w:multiLevelType w:val="hybridMultilevel"/>
    <w:tmpl w:val="7818D76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71"/>
    <w:rsid w:val="00001B9C"/>
    <w:rsid w:val="00005E18"/>
    <w:rsid w:val="00011C43"/>
    <w:rsid w:val="0001285B"/>
    <w:rsid w:val="00014002"/>
    <w:rsid w:val="00017E57"/>
    <w:rsid w:val="00026E9F"/>
    <w:rsid w:val="00027EFE"/>
    <w:rsid w:val="00030581"/>
    <w:rsid w:val="000348CD"/>
    <w:rsid w:val="000349A2"/>
    <w:rsid w:val="0003542B"/>
    <w:rsid w:val="000450F1"/>
    <w:rsid w:val="00045EE6"/>
    <w:rsid w:val="0004759A"/>
    <w:rsid w:val="00050ECD"/>
    <w:rsid w:val="0005475F"/>
    <w:rsid w:val="00057B46"/>
    <w:rsid w:val="00062A89"/>
    <w:rsid w:val="00062AB4"/>
    <w:rsid w:val="000664AB"/>
    <w:rsid w:val="00072983"/>
    <w:rsid w:val="00073C65"/>
    <w:rsid w:val="00073EEC"/>
    <w:rsid w:val="000762B2"/>
    <w:rsid w:val="00082DB9"/>
    <w:rsid w:val="00085004"/>
    <w:rsid w:val="000865D2"/>
    <w:rsid w:val="000868AB"/>
    <w:rsid w:val="0009558C"/>
    <w:rsid w:val="000A3AA5"/>
    <w:rsid w:val="000A4DEB"/>
    <w:rsid w:val="000A57AD"/>
    <w:rsid w:val="000A6CBF"/>
    <w:rsid w:val="000A7CB4"/>
    <w:rsid w:val="000B1AC9"/>
    <w:rsid w:val="000B76C3"/>
    <w:rsid w:val="000B7F33"/>
    <w:rsid w:val="000C4C9C"/>
    <w:rsid w:val="000C6532"/>
    <w:rsid w:val="000D0701"/>
    <w:rsid w:val="000D337C"/>
    <w:rsid w:val="000D371D"/>
    <w:rsid w:val="000D3786"/>
    <w:rsid w:val="000D62A3"/>
    <w:rsid w:val="000E356E"/>
    <w:rsid w:val="000E3C47"/>
    <w:rsid w:val="000F201B"/>
    <w:rsid w:val="000F51BF"/>
    <w:rsid w:val="000F731D"/>
    <w:rsid w:val="000F7AE0"/>
    <w:rsid w:val="001000EF"/>
    <w:rsid w:val="001002E3"/>
    <w:rsid w:val="001005C9"/>
    <w:rsid w:val="00104F71"/>
    <w:rsid w:val="00106EA6"/>
    <w:rsid w:val="0010715C"/>
    <w:rsid w:val="00107D7F"/>
    <w:rsid w:val="001109AE"/>
    <w:rsid w:val="00112342"/>
    <w:rsid w:val="0011518B"/>
    <w:rsid w:val="00117871"/>
    <w:rsid w:val="00117D68"/>
    <w:rsid w:val="001226D2"/>
    <w:rsid w:val="0013154D"/>
    <w:rsid w:val="00132D9A"/>
    <w:rsid w:val="001425A4"/>
    <w:rsid w:val="00142CB6"/>
    <w:rsid w:val="00150D3C"/>
    <w:rsid w:val="001641F7"/>
    <w:rsid w:val="001664D6"/>
    <w:rsid w:val="001701D6"/>
    <w:rsid w:val="00171CF8"/>
    <w:rsid w:val="00174328"/>
    <w:rsid w:val="001824CA"/>
    <w:rsid w:val="00187453"/>
    <w:rsid w:val="00190AB3"/>
    <w:rsid w:val="00193117"/>
    <w:rsid w:val="001A0D91"/>
    <w:rsid w:val="001A1679"/>
    <w:rsid w:val="001A6CEA"/>
    <w:rsid w:val="001B0179"/>
    <w:rsid w:val="001B1081"/>
    <w:rsid w:val="001B53BD"/>
    <w:rsid w:val="001B65EB"/>
    <w:rsid w:val="001C1B06"/>
    <w:rsid w:val="001C2740"/>
    <w:rsid w:val="001C55FF"/>
    <w:rsid w:val="001C685E"/>
    <w:rsid w:val="001D088C"/>
    <w:rsid w:val="001D1731"/>
    <w:rsid w:val="001D1E65"/>
    <w:rsid w:val="001D2AD2"/>
    <w:rsid w:val="001D3801"/>
    <w:rsid w:val="001D3F76"/>
    <w:rsid w:val="001D4671"/>
    <w:rsid w:val="001D4BAC"/>
    <w:rsid w:val="001E03A6"/>
    <w:rsid w:val="001E2D01"/>
    <w:rsid w:val="001E4BBB"/>
    <w:rsid w:val="001F248C"/>
    <w:rsid w:val="001F2EF8"/>
    <w:rsid w:val="001F314D"/>
    <w:rsid w:val="001F5C19"/>
    <w:rsid w:val="001F6989"/>
    <w:rsid w:val="00200D53"/>
    <w:rsid w:val="002071BB"/>
    <w:rsid w:val="00212E27"/>
    <w:rsid w:val="00214CD1"/>
    <w:rsid w:val="002165D8"/>
    <w:rsid w:val="00220636"/>
    <w:rsid w:val="00220E30"/>
    <w:rsid w:val="00220EC0"/>
    <w:rsid w:val="0022244B"/>
    <w:rsid w:val="00223988"/>
    <w:rsid w:val="00223ACD"/>
    <w:rsid w:val="00224A7D"/>
    <w:rsid w:val="002250B9"/>
    <w:rsid w:val="00230E5C"/>
    <w:rsid w:val="002338AB"/>
    <w:rsid w:val="002340E8"/>
    <w:rsid w:val="002357FE"/>
    <w:rsid w:val="00236E2B"/>
    <w:rsid w:val="00236E59"/>
    <w:rsid w:val="002373FA"/>
    <w:rsid w:val="002427D8"/>
    <w:rsid w:val="00244BCD"/>
    <w:rsid w:val="00245AC8"/>
    <w:rsid w:val="00250F32"/>
    <w:rsid w:val="002515B3"/>
    <w:rsid w:val="002519D7"/>
    <w:rsid w:val="00251F25"/>
    <w:rsid w:val="00252F35"/>
    <w:rsid w:val="002576D1"/>
    <w:rsid w:val="002607B2"/>
    <w:rsid w:val="00267E96"/>
    <w:rsid w:val="002702D9"/>
    <w:rsid w:val="00271D95"/>
    <w:rsid w:val="002727EB"/>
    <w:rsid w:val="0027297E"/>
    <w:rsid w:val="00277A04"/>
    <w:rsid w:val="00280351"/>
    <w:rsid w:val="00280919"/>
    <w:rsid w:val="00284582"/>
    <w:rsid w:val="00284B97"/>
    <w:rsid w:val="00285097"/>
    <w:rsid w:val="00295424"/>
    <w:rsid w:val="00296364"/>
    <w:rsid w:val="002A18EA"/>
    <w:rsid w:val="002A32EF"/>
    <w:rsid w:val="002B0CC3"/>
    <w:rsid w:val="002B1526"/>
    <w:rsid w:val="002B6D15"/>
    <w:rsid w:val="002C2EA1"/>
    <w:rsid w:val="002C2FD5"/>
    <w:rsid w:val="002C55A9"/>
    <w:rsid w:val="002C603F"/>
    <w:rsid w:val="002D0102"/>
    <w:rsid w:val="002D3BC7"/>
    <w:rsid w:val="002D5D85"/>
    <w:rsid w:val="002E35B6"/>
    <w:rsid w:val="002E61D8"/>
    <w:rsid w:val="002E67C7"/>
    <w:rsid w:val="002E7246"/>
    <w:rsid w:val="002F26CB"/>
    <w:rsid w:val="002F6255"/>
    <w:rsid w:val="002F73FA"/>
    <w:rsid w:val="00304EB5"/>
    <w:rsid w:val="00310423"/>
    <w:rsid w:val="00311184"/>
    <w:rsid w:val="00316F54"/>
    <w:rsid w:val="00321198"/>
    <w:rsid w:val="003220E8"/>
    <w:rsid w:val="003221D6"/>
    <w:rsid w:val="00322569"/>
    <w:rsid w:val="0032546C"/>
    <w:rsid w:val="00325762"/>
    <w:rsid w:val="003270BE"/>
    <w:rsid w:val="003307DD"/>
    <w:rsid w:val="00331805"/>
    <w:rsid w:val="00334D92"/>
    <w:rsid w:val="003355B5"/>
    <w:rsid w:val="00335C84"/>
    <w:rsid w:val="003405F7"/>
    <w:rsid w:val="00341CFB"/>
    <w:rsid w:val="00343708"/>
    <w:rsid w:val="00343F97"/>
    <w:rsid w:val="00345BEA"/>
    <w:rsid w:val="00346231"/>
    <w:rsid w:val="00352872"/>
    <w:rsid w:val="00354F0A"/>
    <w:rsid w:val="003637AE"/>
    <w:rsid w:val="00364B59"/>
    <w:rsid w:val="0036611C"/>
    <w:rsid w:val="00373D5C"/>
    <w:rsid w:val="0037581A"/>
    <w:rsid w:val="00375ADB"/>
    <w:rsid w:val="00375E6F"/>
    <w:rsid w:val="00380DCF"/>
    <w:rsid w:val="003816C1"/>
    <w:rsid w:val="00381D7D"/>
    <w:rsid w:val="003832C1"/>
    <w:rsid w:val="003925FA"/>
    <w:rsid w:val="00394CAB"/>
    <w:rsid w:val="00395FB0"/>
    <w:rsid w:val="003964A0"/>
    <w:rsid w:val="003A18DA"/>
    <w:rsid w:val="003A453F"/>
    <w:rsid w:val="003A776F"/>
    <w:rsid w:val="003B0EF7"/>
    <w:rsid w:val="003B19DC"/>
    <w:rsid w:val="003B227C"/>
    <w:rsid w:val="003B2F83"/>
    <w:rsid w:val="003C2442"/>
    <w:rsid w:val="003C3260"/>
    <w:rsid w:val="003C3EDC"/>
    <w:rsid w:val="003C759C"/>
    <w:rsid w:val="003D0990"/>
    <w:rsid w:val="003D6C61"/>
    <w:rsid w:val="003E7443"/>
    <w:rsid w:val="003E7E45"/>
    <w:rsid w:val="003F02F8"/>
    <w:rsid w:val="003F2A6C"/>
    <w:rsid w:val="003F2FA4"/>
    <w:rsid w:val="003F31EA"/>
    <w:rsid w:val="003F57C6"/>
    <w:rsid w:val="003F613F"/>
    <w:rsid w:val="00403125"/>
    <w:rsid w:val="00404163"/>
    <w:rsid w:val="00405E5B"/>
    <w:rsid w:val="00406A4E"/>
    <w:rsid w:val="004139EC"/>
    <w:rsid w:val="00414492"/>
    <w:rsid w:val="004149D8"/>
    <w:rsid w:val="004152CE"/>
    <w:rsid w:val="00422227"/>
    <w:rsid w:val="00422704"/>
    <w:rsid w:val="004230B2"/>
    <w:rsid w:val="0042781D"/>
    <w:rsid w:val="004304CE"/>
    <w:rsid w:val="004322A7"/>
    <w:rsid w:val="00432B77"/>
    <w:rsid w:val="00432BE2"/>
    <w:rsid w:val="00435395"/>
    <w:rsid w:val="004504AE"/>
    <w:rsid w:val="00450BFC"/>
    <w:rsid w:val="0045142E"/>
    <w:rsid w:val="004574ED"/>
    <w:rsid w:val="004616D4"/>
    <w:rsid w:val="00462F4E"/>
    <w:rsid w:val="00463550"/>
    <w:rsid w:val="00470263"/>
    <w:rsid w:val="00470945"/>
    <w:rsid w:val="00473001"/>
    <w:rsid w:val="00473567"/>
    <w:rsid w:val="00475C89"/>
    <w:rsid w:val="004764DE"/>
    <w:rsid w:val="00480148"/>
    <w:rsid w:val="0048039F"/>
    <w:rsid w:val="00482A76"/>
    <w:rsid w:val="0049659F"/>
    <w:rsid w:val="004A03B5"/>
    <w:rsid w:val="004A0FAA"/>
    <w:rsid w:val="004A2A23"/>
    <w:rsid w:val="004A6B10"/>
    <w:rsid w:val="004B0D2B"/>
    <w:rsid w:val="004B3C6F"/>
    <w:rsid w:val="004B4EFE"/>
    <w:rsid w:val="004B5492"/>
    <w:rsid w:val="004B5532"/>
    <w:rsid w:val="004B7380"/>
    <w:rsid w:val="004C5192"/>
    <w:rsid w:val="004C6191"/>
    <w:rsid w:val="004D2BA9"/>
    <w:rsid w:val="004D7B1E"/>
    <w:rsid w:val="004E104F"/>
    <w:rsid w:val="004E1247"/>
    <w:rsid w:val="004E1F78"/>
    <w:rsid w:val="004E32B3"/>
    <w:rsid w:val="004E63BB"/>
    <w:rsid w:val="004F0C93"/>
    <w:rsid w:val="004F105C"/>
    <w:rsid w:val="004F1447"/>
    <w:rsid w:val="004F37B6"/>
    <w:rsid w:val="004F57E3"/>
    <w:rsid w:val="0050568D"/>
    <w:rsid w:val="00511020"/>
    <w:rsid w:val="00511DB9"/>
    <w:rsid w:val="0051269E"/>
    <w:rsid w:val="00514F93"/>
    <w:rsid w:val="005204B4"/>
    <w:rsid w:val="00524710"/>
    <w:rsid w:val="00524CC4"/>
    <w:rsid w:val="00524FF4"/>
    <w:rsid w:val="005251A9"/>
    <w:rsid w:val="0052564E"/>
    <w:rsid w:val="00527F54"/>
    <w:rsid w:val="005316FF"/>
    <w:rsid w:val="00535152"/>
    <w:rsid w:val="00535EF8"/>
    <w:rsid w:val="00542116"/>
    <w:rsid w:val="005443A7"/>
    <w:rsid w:val="00545018"/>
    <w:rsid w:val="0054747A"/>
    <w:rsid w:val="0054754D"/>
    <w:rsid w:val="00550E0B"/>
    <w:rsid w:val="00551509"/>
    <w:rsid w:val="00551B3F"/>
    <w:rsid w:val="0055504E"/>
    <w:rsid w:val="00555B1C"/>
    <w:rsid w:val="00557DEA"/>
    <w:rsid w:val="00561EC0"/>
    <w:rsid w:val="005623CF"/>
    <w:rsid w:val="00564579"/>
    <w:rsid w:val="00571272"/>
    <w:rsid w:val="00572D04"/>
    <w:rsid w:val="005775F8"/>
    <w:rsid w:val="00584A4B"/>
    <w:rsid w:val="00596AFF"/>
    <w:rsid w:val="005A05A2"/>
    <w:rsid w:val="005A1C7D"/>
    <w:rsid w:val="005A2CFF"/>
    <w:rsid w:val="005B157D"/>
    <w:rsid w:val="005B215D"/>
    <w:rsid w:val="005B3D78"/>
    <w:rsid w:val="005B4244"/>
    <w:rsid w:val="005B5688"/>
    <w:rsid w:val="005B76ED"/>
    <w:rsid w:val="005B78D8"/>
    <w:rsid w:val="005B7AE2"/>
    <w:rsid w:val="005C0FAB"/>
    <w:rsid w:val="005C679E"/>
    <w:rsid w:val="005C6871"/>
    <w:rsid w:val="005D2946"/>
    <w:rsid w:val="005D5039"/>
    <w:rsid w:val="005D5ADD"/>
    <w:rsid w:val="005E2153"/>
    <w:rsid w:val="005E3F55"/>
    <w:rsid w:val="005E530B"/>
    <w:rsid w:val="005E7A9F"/>
    <w:rsid w:val="005F05A2"/>
    <w:rsid w:val="005F0778"/>
    <w:rsid w:val="005F2D80"/>
    <w:rsid w:val="005F5AA8"/>
    <w:rsid w:val="005F5D16"/>
    <w:rsid w:val="00602235"/>
    <w:rsid w:val="006043E0"/>
    <w:rsid w:val="00606314"/>
    <w:rsid w:val="00607064"/>
    <w:rsid w:val="00611391"/>
    <w:rsid w:val="00612D23"/>
    <w:rsid w:val="00615363"/>
    <w:rsid w:val="0061668E"/>
    <w:rsid w:val="006207D0"/>
    <w:rsid w:val="0062151A"/>
    <w:rsid w:val="00623471"/>
    <w:rsid w:val="00626F7F"/>
    <w:rsid w:val="00627761"/>
    <w:rsid w:val="00630A00"/>
    <w:rsid w:val="006332DF"/>
    <w:rsid w:val="00636D80"/>
    <w:rsid w:val="00642552"/>
    <w:rsid w:val="0064409C"/>
    <w:rsid w:val="00644677"/>
    <w:rsid w:val="00646C98"/>
    <w:rsid w:val="00647055"/>
    <w:rsid w:val="00647764"/>
    <w:rsid w:val="00651BF9"/>
    <w:rsid w:val="006544E9"/>
    <w:rsid w:val="00661BF5"/>
    <w:rsid w:val="00661D16"/>
    <w:rsid w:val="00662229"/>
    <w:rsid w:val="006708B5"/>
    <w:rsid w:val="00671174"/>
    <w:rsid w:val="00672E06"/>
    <w:rsid w:val="00674389"/>
    <w:rsid w:val="00674E08"/>
    <w:rsid w:val="00675970"/>
    <w:rsid w:val="00676FDA"/>
    <w:rsid w:val="006772DF"/>
    <w:rsid w:val="006806B7"/>
    <w:rsid w:val="00683350"/>
    <w:rsid w:val="006856D7"/>
    <w:rsid w:val="00687171"/>
    <w:rsid w:val="00690D1E"/>
    <w:rsid w:val="00690E4F"/>
    <w:rsid w:val="00692020"/>
    <w:rsid w:val="00693006"/>
    <w:rsid w:val="00696C07"/>
    <w:rsid w:val="006A06CF"/>
    <w:rsid w:val="006A34AE"/>
    <w:rsid w:val="006A5124"/>
    <w:rsid w:val="006A6C2B"/>
    <w:rsid w:val="006B2C3B"/>
    <w:rsid w:val="006B604C"/>
    <w:rsid w:val="006C2001"/>
    <w:rsid w:val="006C3F4C"/>
    <w:rsid w:val="006C6350"/>
    <w:rsid w:val="006C68FE"/>
    <w:rsid w:val="006C6D24"/>
    <w:rsid w:val="006C74F5"/>
    <w:rsid w:val="006D5034"/>
    <w:rsid w:val="006E2C49"/>
    <w:rsid w:val="006E44DB"/>
    <w:rsid w:val="006E53A4"/>
    <w:rsid w:val="006E54F5"/>
    <w:rsid w:val="006E5C34"/>
    <w:rsid w:val="006F0033"/>
    <w:rsid w:val="006F632C"/>
    <w:rsid w:val="006F6CE1"/>
    <w:rsid w:val="007031A8"/>
    <w:rsid w:val="00703A4A"/>
    <w:rsid w:val="00705E54"/>
    <w:rsid w:val="007067C9"/>
    <w:rsid w:val="00711B3E"/>
    <w:rsid w:val="00711DAD"/>
    <w:rsid w:val="007175D4"/>
    <w:rsid w:val="00723A5B"/>
    <w:rsid w:val="0072555A"/>
    <w:rsid w:val="0073048B"/>
    <w:rsid w:val="00732004"/>
    <w:rsid w:val="00733636"/>
    <w:rsid w:val="00734A76"/>
    <w:rsid w:val="007355E0"/>
    <w:rsid w:val="0073768C"/>
    <w:rsid w:val="00737B6C"/>
    <w:rsid w:val="007422F4"/>
    <w:rsid w:val="00743F81"/>
    <w:rsid w:val="0074747F"/>
    <w:rsid w:val="0075045A"/>
    <w:rsid w:val="007516ED"/>
    <w:rsid w:val="00754CB2"/>
    <w:rsid w:val="007615A9"/>
    <w:rsid w:val="00762BE6"/>
    <w:rsid w:val="007666CE"/>
    <w:rsid w:val="00767403"/>
    <w:rsid w:val="00767A10"/>
    <w:rsid w:val="00773A94"/>
    <w:rsid w:val="00776239"/>
    <w:rsid w:val="00776F06"/>
    <w:rsid w:val="00783182"/>
    <w:rsid w:val="0078562C"/>
    <w:rsid w:val="007859E3"/>
    <w:rsid w:val="0078771C"/>
    <w:rsid w:val="00787EB4"/>
    <w:rsid w:val="00791BFB"/>
    <w:rsid w:val="007942BD"/>
    <w:rsid w:val="00795290"/>
    <w:rsid w:val="007B0AD0"/>
    <w:rsid w:val="007B54D9"/>
    <w:rsid w:val="007C03CB"/>
    <w:rsid w:val="007C09FD"/>
    <w:rsid w:val="007C19ED"/>
    <w:rsid w:val="007C2CCC"/>
    <w:rsid w:val="007C4429"/>
    <w:rsid w:val="007D4837"/>
    <w:rsid w:val="007D4944"/>
    <w:rsid w:val="007D7478"/>
    <w:rsid w:val="007D7C32"/>
    <w:rsid w:val="007E2406"/>
    <w:rsid w:val="007E469F"/>
    <w:rsid w:val="007E55C2"/>
    <w:rsid w:val="007E68A8"/>
    <w:rsid w:val="007E7B61"/>
    <w:rsid w:val="007F1686"/>
    <w:rsid w:val="007F3263"/>
    <w:rsid w:val="007F5C8C"/>
    <w:rsid w:val="007F5CB2"/>
    <w:rsid w:val="007F7C93"/>
    <w:rsid w:val="008016D4"/>
    <w:rsid w:val="00803D27"/>
    <w:rsid w:val="00805FB0"/>
    <w:rsid w:val="00810933"/>
    <w:rsid w:val="008161C3"/>
    <w:rsid w:val="00817C05"/>
    <w:rsid w:val="008208AC"/>
    <w:rsid w:val="0082639C"/>
    <w:rsid w:val="00830D9F"/>
    <w:rsid w:val="008335BC"/>
    <w:rsid w:val="008346F7"/>
    <w:rsid w:val="00834747"/>
    <w:rsid w:val="00835FDD"/>
    <w:rsid w:val="00840673"/>
    <w:rsid w:val="00844B1B"/>
    <w:rsid w:val="00845D67"/>
    <w:rsid w:val="0084605F"/>
    <w:rsid w:val="008462F2"/>
    <w:rsid w:val="00846EC9"/>
    <w:rsid w:val="0085038D"/>
    <w:rsid w:val="0085287E"/>
    <w:rsid w:val="0085444F"/>
    <w:rsid w:val="00860003"/>
    <w:rsid w:val="0086557C"/>
    <w:rsid w:val="00871BEC"/>
    <w:rsid w:val="00871E8F"/>
    <w:rsid w:val="0087204E"/>
    <w:rsid w:val="00872DD0"/>
    <w:rsid w:val="008743B4"/>
    <w:rsid w:val="008779F9"/>
    <w:rsid w:val="00881799"/>
    <w:rsid w:val="00881BB1"/>
    <w:rsid w:val="008841F6"/>
    <w:rsid w:val="008851B4"/>
    <w:rsid w:val="0089002A"/>
    <w:rsid w:val="00893B8E"/>
    <w:rsid w:val="00895376"/>
    <w:rsid w:val="008973A2"/>
    <w:rsid w:val="008A1F5B"/>
    <w:rsid w:val="008A270E"/>
    <w:rsid w:val="008A3BDA"/>
    <w:rsid w:val="008A4670"/>
    <w:rsid w:val="008A4813"/>
    <w:rsid w:val="008A60C0"/>
    <w:rsid w:val="008A65A2"/>
    <w:rsid w:val="008B07CF"/>
    <w:rsid w:val="008B0E07"/>
    <w:rsid w:val="008B4717"/>
    <w:rsid w:val="008B5195"/>
    <w:rsid w:val="008B68DB"/>
    <w:rsid w:val="008C16F5"/>
    <w:rsid w:val="008C3263"/>
    <w:rsid w:val="008C3D32"/>
    <w:rsid w:val="008C426D"/>
    <w:rsid w:val="008D0814"/>
    <w:rsid w:val="008D1EA3"/>
    <w:rsid w:val="008D5E27"/>
    <w:rsid w:val="008D650D"/>
    <w:rsid w:val="008E0CE2"/>
    <w:rsid w:val="008E1DDC"/>
    <w:rsid w:val="008E4719"/>
    <w:rsid w:val="008E7AD5"/>
    <w:rsid w:val="008F0A50"/>
    <w:rsid w:val="008F111F"/>
    <w:rsid w:val="008F264B"/>
    <w:rsid w:val="008F7F34"/>
    <w:rsid w:val="00902137"/>
    <w:rsid w:val="009062FB"/>
    <w:rsid w:val="00917919"/>
    <w:rsid w:val="00920EB8"/>
    <w:rsid w:val="00922EC9"/>
    <w:rsid w:val="00923CF8"/>
    <w:rsid w:val="00927F1A"/>
    <w:rsid w:val="0093114B"/>
    <w:rsid w:val="009314AE"/>
    <w:rsid w:val="00933A10"/>
    <w:rsid w:val="00934D17"/>
    <w:rsid w:val="0093555D"/>
    <w:rsid w:val="00937976"/>
    <w:rsid w:val="00941FD9"/>
    <w:rsid w:val="00943FDD"/>
    <w:rsid w:val="009443C4"/>
    <w:rsid w:val="00950192"/>
    <w:rsid w:val="0095084D"/>
    <w:rsid w:val="00951E83"/>
    <w:rsid w:val="00956BFB"/>
    <w:rsid w:val="00957735"/>
    <w:rsid w:val="00961EC7"/>
    <w:rsid w:val="009641B0"/>
    <w:rsid w:val="0096463F"/>
    <w:rsid w:val="00965411"/>
    <w:rsid w:val="0096723F"/>
    <w:rsid w:val="00973CB2"/>
    <w:rsid w:val="00980ACD"/>
    <w:rsid w:val="0098284A"/>
    <w:rsid w:val="0098315F"/>
    <w:rsid w:val="009843ED"/>
    <w:rsid w:val="00990D36"/>
    <w:rsid w:val="009910CE"/>
    <w:rsid w:val="00994C55"/>
    <w:rsid w:val="00994E3C"/>
    <w:rsid w:val="009959EE"/>
    <w:rsid w:val="009A2418"/>
    <w:rsid w:val="009A36EE"/>
    <w:rsid w:val="009A3730"/>
    <w:rsid w:val="009A5A2E"/>
    <w:rsid w:val="009B2F45"/>
    <w:rsid w:val="009B43F8"/>
    <w:rsid w:val="009B4D45"/>
    <w:rsid w:val="009B6F05"/>
    <w:rsid w:val="009C2A39"/>
    <w:rsid w:val="009C49CD"/>
    <w:rsid w:val="009D10FA"/>
    <w:rsid w:val="009D2FBA"/>
    <w:rsid w:val="009D4150"/>
    <w:rsid w:val="009D433F"/>
    <w:rsid w:val="009D4723"/>
    <w:rsid w:val="009E01F7"/>
    <w:rsid w:val="009E0BD9"/>
    <w:rsid w:val="009F0959"/>
    <w:rsid w:val="009F1AAA"/>
    <w:rsid w:val="009F69AF"/>
    <w:rsid w:val="00A028EF"/>
    <w:rsid w:val="00A02AC3"/>
    <w:rsid w:val="00A03F8E"/>
    <w:rsid w:val="00A04155"/>
    <w:rsid w:val="00A0621A"/>
    <w:rsid w:val="00A11EA1"/>
    <w:rsid w:val="00A219D8"/>
    <w:rsid w:val="00A2231C"/>
    <w:rsid w:val="00A26655"/>
    <w:rsid w:val="00A2728E"/>
    <w:rsid w:val="00A31D00"/>
    <w:rsid w:val="00A378A8"/>
    <w:rsid w:val="00A37D35"/>
    <w:rsid w:val="00A40A2F"/>
    <w:rsid w:val="00A43A96"/>
    <w:rsid w:val="00A50818"/>
    <w:rsid w:val="00A52525"/>
    <w:rsid w:val="00A52F6F"/>
    <w:rsid w:val="00A53FEE"/>
    <w:rsid w:val="00A5551B"/>
    <w:rsid w:val="00A56F28"/>
    <w:rsid w:val="00A636DE"/>
    <w:rsid w:val="00A6786D"/>
    <w:rsid w:val="00A67B82"/>
    <w:rsid w:val="00A814DC"/>
    <w:rsid w:val="00A8167E"/>
    <w:rsid w:val="00A826F7"/>
    <w:rsid w:val="00A87933"/>
    <w:rsid w:val="00A94551"/>
    <w:rsid w:val="00A97174"/>
    <w:rsid w:val="00AA0A44"/>
    <w:rsid w:val="00AA11D1"/>
    <w:rsid w:val="00AA507A"/>
    <w:rsid w:val="00AB35CD"/>
    <w:rsid w:val="00AB3B6A"/>
    <w:rsid w:val="00AB7A48"/>
    <w:rsid w:val="00AC1741"/>
    <w:rsid w:val="00AC28A3"/>
    <w:rsid w:val="00AC4683"/>
    <w:rsid w:val="00AC56E0"/>
    <w:rsid w:val="00AC64AD"/>
    <w:rsid w:val="00AD15ED"/>
    <w:rsid w:val="00AD4B7D"/>
    <w:rsid w:val="00AE0702"/>
    <w:rsid w:val="00AE4FB3"/>
    <w:rsid w:val="00AE6A5C"/>
    <w:rsid w:val="00AE6F56"/>
    <w:rsid w:val="00AE720E"/>
    <w:rsid w:val="00AF07E6"/>
    <w:rsid w:val="00AF762D"/>
    <w:rsid w:val="00B0053A"/>
    <w:rsid w:val="00B04456"/>
    <w:rsid w:val="00B06802"/>
    <w:rsid w:val="00B105D3"/>
    <w:rsid w:val="00B12F44"/>
    <w:rsid w:val="00B13139"/>
    <w:rsid w:val="00B14252"/>
    <w:rsid w:val="00B14C43"/>
    <w:rsid w:val="00B14F50"/>
    <w:rsid w:val="00B15164"/>
    <w:rsid w:val="00B17465"/>
    <w:rsid w:val="00B201AA"/>
    <w:rsid w:val="00B236EF"/>
    <w:rsid w:val="00B23761"/>
    <w:rsid w:val="00B244C4"/>
    <w:rsid w:val="00B265C4"/>
    <w:rsid w:val="00B27F6A"/>
    <w:rsid w:val="00B40444"/>
    <w:rsid w:val="00B41F0A"/>
    <w:rsid w:val="00B421BC"/>
    <w:rsid w:val="00B42950"/>
    <w:rsid w:val="00B444A2"/>
    <w:rsid w:val="00B44C22"/>
    <w:rsid w:val="00B47E92"/>
    <w:rsid w:val="00B53578"/>
    <w:rsid w:val="00B55B85"/>
    <w:rsid w:val="00B60044"/>
    <w:rsid w:val="00B608CE"/>
    <w:rsid w:val="00B6434C"/>
    <w:rsid w:val="00B647F5"/>
    <w:rsid w:val="00B679E3"/>
    <w:rsid w:val="00B717CC"/>
    <w:rsid w:val="00B736F3"/>
    <w:rsid w:val="00B73979"/>
    <w:rsid w:val="00B90359"/>
    <w:rsid w:val="00B91D50"/>
    <w:rsid w:val="00B964CB"/>
    <w:rsid w:val="00BA111E"/>
    <w:rsid w:val="00BA1F8D"/>
    <w:rsid w:val="00BA43FB"/>
    <w:rsid w:val="00BA586C"/>
    <w:rsid w:val="00BC1ABA"/>
    <w:rsid w:val="00BC1E95"/>
    <w:rsid w:val="00BC77A4"/>
    <w:rsid w:val="00BD16D2"/>
    <w:rsid w:val="00BD2024"/>
    <w:rsid w:val="00BD3AFC"/>
    <w:rsid w:val="00BD55C0"/>
    <w:rsid w:val="00BE1611"/>
    <w:rsid w:val="00BE2BA3"/>
    <w:rsid w:val="00BE359C"/>
    <w:rsid w:val="00BF60B1"/>
    <w:rsid w:val="00BF6372"/>
    <w:rsid w:val="00BF72FF"/>
    <w:rsid w:val="00C05DCF"/>
    <w:rsid w:val="00C07701"/>
    <w:rsid w:val="00C10B1D"/>
    <w:rsid w:val="00C124C2"/>
    <w:rsid w:val="00C16492"/>
    <w:rsid w:val="00C170D0"/>
    <w:rsid w:val="00C17DEC"/>
    <w:rsid w:val="00C209F5"/>
    <w:rsid w:val="00C20B03"/>
    <w:rsid w:val="00C23042"/>
    <w:rsid w:val="00C253D4"/>
    <w:rsid w:val="00C25850"/>
    <w:rsid w:val="00C32BEF"/>
    <w:rsid w:val="00C33BEE"/>
    <w:rsid w:val="00C37AD1"/>
    <w:rsid w:val="00C40413"/>
    <w:rsid w:val="00C415C2"/>
    <w:rsid w:val="00C4283A"/>
    <w:rsid w:val="00C4468A"/>
    <w:rsid w:val="00C450D9"/>
    <w:rsid w:val="00C45158"/>
    <w:rsid w:val="00C53FF8"/>
    <w:rsid w:val="00C55BD6"/>
    <w:rsid w:val="00C677ED"/>
    <w:rsid w:val="00C705EC"/>
    <w:rsid w:val="00C706A6"/>
    <w:rsid w:val="00C7301E"/>
    <w:rsid w:val="00C74648"/>
    <w:rsid w:val="00C80269"/>
    <w:rsid w:val="00C84622"/>
    <w:rsid w:val="00C84B02"/>
    <w:rsid w:val="00C90AF9"/>
    <w:rsid w:val="00C9427A"/>
    <w:rsid w:val="00C94837"/>
    <w:rsid w:val="00C94D4F"/>
    <w:rsid w:val="00C9672B"/>
    <w:rsid w:val="00C9777E"/>
    <w:rsid w:val="00CA052B"/>
    <w:rsid w:val="00CA1C96"/>
    <w:rsid w:val="00CA1F47"/>
    <w:rsid w:val="00CA49B9"/>
    <w:rsid w:val="00CA4FDD"/>
    <w:rsid w:val="00CA583E"/>
    <w:rsid w:val="00CB332C"/>
    <w:rsid w:val="00CB4D5F"/>
    <w:rsid w:val="00CB6D1E"/>
    <w:rsid w:val="00CB747B"/>
    <w:rsid w:val="00CC0777"/>
    <w:rsid w:val="00CC3361"/>
    <w:rsid w:val="00CC4876"/>
    <w:rsid w:val="00CC5410"/>
    <w:rsid w:val="00CC74DE"/>
    <w:rsid w:val="00CD01CE"/>
    <w:rsid w:val="00CD1C0C"/>
    <w:rsid w:val="00CD4918"/>
    <w:rsid w:val="00CD50A6"/>
    <w:rsid w:val="00CE133D"/>
    <w:rsid w:val="00CE418A"/>
    <w:rsid w:val="00CE70DA"/>
    <w:rsid w:val="00CF554A"/>
    <w:rsid w:val="00CF73E8"/>
    <w:rsid w:val="00D005E4"/>
    <w:rsid w:val="00D01ADA"/>
    <w:rsid w:val="00D02E29"/>
    <w:rsid w:val="00D073FF"/>
    <w:rsid w:val="00D15714"/>
    <w:rsid w:val="00D16670"/>
    <w:rsid w:val="00D21AAA"/>
    <w:rsid w:val="00D23907"/>
    <w:rsid w:val="00D25EAD"/>
    <w:rsid w:val="00D274AB"/>
    <w:rsid w:val="00D31334"/>
    <w:rsid w:val="00D3257D"/>
    <w:rsid w:val="00D41E0B"/>
    <w:rsid w:val="00D4376F"/>
    <w:rsid w:val="00D445F9"/>
    <w:rsid w:val="00D50237"/>
    <w:rsid w:val="00D520FE"/>
    <w:rsid w:val="00D52BDF"/>
    <w:rsid w:val="00D53FE7"/>
    <w:rsid w:val="00D5529F"/>
    <w:rsid w:val="00D57849"/>
    <w:rsid w:val="00D61304"/>
    <w:rsid w:val="00D64257"/>
    <w:rsid w:val="00D66839"/>
    <w:rsid w:val="00D679CE"/>
    <w:rsid w:val="00D71349"/>
    <w:rsid w:val="00D71646"/>
    <w:rsid w:val="00D724D0"/>
    <w:rsid w:val="00D73B41"/>
    <w:rsid w:val="00D76152"/>
    <w:rsid w:val="00D822B6"/>
    <w:rsid w:val="00D826D3"/>
    <w:rsid w:val="00D83676"/>
    <w:rsid w:val="00D8543A"/>
    <w:rsid w:val="00D85DC2"/>
    <w:rsid w:val="00D87AAE"/>
    <w:rsid w:val="00D90E89"/>
    <w:rsid w:val="00D935FF"/>
    <w:rsid w:val="00D9481D"/>
    <w:rsid w:val="00D94E67"/>
    <w:rsid w:val="00D953E0"/>
    <w:rsid w:val="00D95AAE"/>
    <w:rsid w:val="00D95BBB"/>
    <w:rsid w:val="00D95C08"/>
    <w:rsid w:val="00D9610D"/>
    <w:rsid w:val="00D97ECA"/>
    <w:rsid w:val="00DA09C9"/>
    <w:rsid w:val="00DA437D"/>
    <w:rsid w:val="00DA454D"/>
    <w:rsid w:val="00DA5B8C"/>
    <w:rsid w:val="00DA5BF3"/>
    <w:rsid w:val="00DB154A"/>
    <w:rsid w:val="00DB2CDA"/>
    <w:rsid w:val="00DB425E"/>
    <w:rsid w:val="00DB522A"/>
    <w:rsid w:val="00DC06E0"/>
    <w:rsid w:val="00DC77B5"/>
    <w:rsid w:val="00DD1BC7"/>
    <w:rsid w:val="00DD4DB8"/>
    <w:rsid w:val="00DD4F91"/>
    <w:rsid w:val="00DE41EF"/>
    <w:rsid w:val="00DE4B9D"/>
    <w:rsid w:val="00DF04A8"/>
    <w:rsid w:val="00DF29DE"/>
    <w:rsid w:val="00DF4BD6"/>
    <w:rsid w:val="00DF72EE"/>
    <w:rsid w:val="00E00E03"/>
    <w:rsid w:val="00E03AD7"/>
    <w:rsid w:val="00E03FA8"/>
    <w:rsid w:val="00E07E48"/>
    <w:rsid w:val="00E13379"/>
    <w:rsid w:val="00E14DF5"/>
    <w:rsid w:val="00E15134"/>
    <w:rsid w:val="00E15301"/>
    <w:rsid w:val="00E253E5"/>
    <w:rsid w:val="00E25470"/>
    <w:rsid w:val="00E355C7"/>
    <w:rsid w:val="00E3694D"/>
    <w:rsid w:val="00E36FDC"/>
    <w:rsid w:val="00E402CD"/>
    <w:rsid w:val="00E408DA"/>
    <w:rsid w:val="00E423AC"/>
    <w:rsid w:val="00E42829"/>
    <w:rsid w:val="00E46757"/>
    <w:rsid w:val="00E514F8"/>
    <w:rsid w:val="00E56582"/>
    <w:rsid w:val="00E645F9"/>
    <w:rsid w:val="00E67CEC"/>
    <w:rsid w:val="00E70442"/>
    <w:rsid w:val="00E74C33"/>
    <w:rsid w:val="00E81C5D"/>
    <w:rsid w:val="00E85440"/>
    <w:rsid w:val="00E9050D"/>
    <w:rsid w:val="00E9378F"/>
    <w:rsid w:val="00E9391D"/>
    <w:rsid w:val="00E93FB0"/>
    <w:rsid w:val="00E94D0C"/>
    <w:rsid w:val="00E951A3"/>
    <w:rsid w:val="00EA1BEB"/>
    <w:rsid w:val="00EA2FAF"/>
    <w:rsid w:val="00EA30B8"/>
    <w:rsid w:val="00EA3DB2"/>
    <w:rsid w:val="00EB3E64"/>
    <w:rsid w:val="00EB506E"/>
    <w:rsid w:val="00EB57BC"/>
    <w:rsid w:val="00EB6357"/>
    <w:rsid w:val="00EB6A74"/>
    <w:rsid w:val="00EC5A54"/>
    <w:rsid w:val="00ED6C8D"/>
    <w:rsid w:val="00ED7994"/>
    <w:rsid w:val="00EE1915"/>
    <w:rsid w:val="00EE4834"/>
    <w:rsid w:val="00EE4A82"/>
    <w:rsid w:val="00EE742F"/>
    <w:rsid w:val="00EF06D0"/>
    <w:rsid w:val="00EF4E1C"/>
    <w:rsid w:val="00EF7343"/>
    <w:rsid w:val="00F023CB"/>
    <w:rsid w:val="00F04002"/>
    <w:rsid w:val="00F04480"/>
    <w:rsid w:val="00F108ED"/>
    <w:rsid w:val="00F1409B"/>
    <w:rsid w:val="00F144CE"/>
    <w:rsid w:val="00F1514E"/>
    <w:rsid w:val="00F156C1"/>
    <w:rsid w:val="00F20E8E"/>
    <w:rsid w:val="00F22A0E"/>
    <w:rsid w:val="00F23C6B"/>
    <w:rsid w:val="00F252EA"/>
    <w:rsid w:val="00F25961"/>
    <w:rsid w:val="00F27AA1"/>
    <w:rsid w:val="00F31EF7"/>
    <w:rsid w:val="00F33AEA"/>
    <w:rsid w:val="00F343E7"/>
    <w:rsid w:val="00F34900"/>
    <w:rsid w:val="00F4549B"/>
    <w:rsid w:val="00F46097"/>
    <w:rsid w:val="00F46575"/>
    <w:rsid w:val="00F46777"/>
    <w:rsid w:val="00F50034"/>
    <w:rsid w:val="00F509AC"/>
    <w:rsid w:val="00F52D46"/>
    <w:rsid w:val="00F53D40"/>
    <w:rsid w:val="00F558F2"/>
    <w:rsid w:val="00F55D66"/>
    <w:rsid w:val="00F609AA"/>
    <w:rsid w:val="00F63EFF"/>
    <w:rsid w:val="00F6452B"/>
    <w:rsid w:val="00F673BC"/>
    <w:rsid w:val="00F67AD5"/>
    <w:rsid w:val="00F74022"/>
    <w:rsid w:val="00F77F41"/>
    <w:rsid w:val="00F81463"/>
    <w:rsid w:val="00F81A79"/>
    <w:rsid w:val="00F85704"/>
    <w:rsid w:val="00F92D5B"/>
    <w:rsid w:val="00F93435"/>
    <w:rsid w:val="00F93625"/>
    <w:rsid w:val="00F94BA3"/>
    <w:rsid w:val="00F955A5"/>
    <w:rsid w:val="00F95D33"/>
    <w:rsid w:val="00FA0FB6"/>
    <w:rsid w:val="00FA1242"/>
    <w:rsid w:val="00FA4E45"/>
    <w:rsid w:val="00FA642E"/>
    <w:rsid w:val="00FB0437"/>
    <w:rsid w:val="00FB541C"/>
    <w:rsid w:val="00FC0178"/>
    <w:rsid w:val="00FC2B17"/>
    <w:rsid w:val="00FC456E"/>
    <w:rsid w:val="00FC5D0C"/>
    <w:rsid w:val="00FD018C"/>
    <w:rsid w:val="00FD0E6B"/>
    <w:rsid w:val="00FD13C8"/>
    <w:rsid w:val="00FD1CBB"/>
    <w:rsid w:val="00FD61C2"/>
    <w:rsid w:val="00FD6464"/>
    <w:rsid w:val="00FE02CE"/>
    <w:rsid w:val="00FE15CC"/>
    <w:rsid w:val="00FE42F6"/>
    <w:rsid w:val="00FE4567"/>
    <w:rsid w:val="00FE6226"/>
    <w:rsid w:val="00FE69A3"/>
    <w:rsid w:val="00FE6C51"/>
    <w:rsid w:val="00FE6DC6"/>
    <w:rsid w:val="00FF0CAE"/>
    <w:rsid w:val="00FF1903"/>
    <w:rsid w:val="00FF3688"/>
    <w:rsid w:val="00FF53AB"/>
    <w:rsid w:val="00FF5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66AEA"/>
  <w15:docId w15:val="{F02DF735-866B-4BB1-84FC-087C34E2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F71"/>
    <w:pPr>
      <w:spacing w:after="0" w:line="240" w:lineRule="atLeas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4F71"/>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104F71"/>
    <w:rPr>
      <w:rFonts w:eastAsia="Calibri" w:cs="Times New Roman"/>
      <w:lang w:val="fr-FR"/>
    </w:rPr>
  </w:style>
  <w:style w:type="paragraph" w:styleId="Footer">
    <w:name w:val="footer"/>
    <w:basedOn w:val="Normal"/>
    <w:link w:val="FooterChar"/>
    <w:uiPriority w:val="99"/>
    <w:rsid w:val="00104F71"/>
    <w:pPr>
      <w:tabs>
        <w:tab w:val="center" w:pos="4513"/>
        <w:tab w:val="right" w:pos="9026"/>
      </w:tabs>
      <w:spacing w:line="240" w:lineRule="auto"/>
    </w:pPr>
  </w:style>
  <w:style w:type="character" w:customStyle="1" w:styleId="FooterChar">
    <w:name w:val="Footer Char"/>
    <w:basedOn w:val="DefaultParagraphFont"/>
    <w:link w:val="Footer"/>
    <w:uiPriority w:val="99"/>
    <w:rsid w:val="00104F71"/>
    <w:rPr>
      <w:rFonts w:eastAsia="Calibri" w:cs="Times New Roman"/>
      <w:lang w:val="fr-FR"/>
    </w:rPr>
  </w:style>
  <w:style w:type="paragraph" w:styleId="Title">
    <w:name w:val="Title"/>
    <w:basedOn w:val="Normal"/>
    <w:next w:val="Normal"/>
    <w:link w:val="TitleChar"/>
    <w:uiPriority w:val="99"/>
    <w:qFormat/>
    <w:rsid w:val="00104F71"/>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rsid w:val="00104F71"/>
    <w:rPr>
      <w:rFonts w:ascii="Cambria" w:eastAsia="Times New Roman" w:hAnsi="Cambria" w:cs="Times New Roman"/>
      <w:b/>
      <w:i/>
      <w:color w:val="000000"/>
      <w:spacing w:val="5"/>
      <w:kern w:val="28"/>
      <w:sz w:val="24"/>
      <w:szCs w:val="52"/>
      <w:lang w:val="fr-FR"/>
    </w:rPr>
  </w:style>
  <w:style w:type="paragraph" w:styleId="ListParagraph">
    <w:name w:val="List Paragraph"/>
    <w:basedOn w:val="Normal"/>
    <w:uiPriority w:val="34"/>
    <w:qFormat/>
    <w:rsid w:val="00104F71"/>
    <w:pPr>
      <w:ind w:left="720"/>
      <w:contextualSpacing/>
    </w:pPr>
  </w:style>
  <w:style w:type="character" w:styleId="Hyperlink">
    <w:name w:val="Hyperlink"/>
    <w:basedOn w:val="DefaultParagraphFont"/>
    <w:uiPriority w:val="99"/>
    <w:unhideWhenUsed/>
    <w:qFormat/>
    <w:rsid w:val="00612D23"/>
    <w:rPr>
      <w:color w:val="1155CC"/>
      <w:u w:val="single"/>
    </w:rPr>
  </w:style>
  <w:style w:type="character" w:styleId="CommentReference">
    <w:name w:val="annotation reference"/>
    <w:basedOn w:val="DefaultParagraphFont"/>
    <w:uiPriority w:val="99"/>
    <w:semiHidden/>
    <w:unhideWhenUsed/>
    <w:rsid w:val="00104F71"/>
    <w:rPr>
      <w:sz w:val="16"/>
      <w:szCs w:val="16"/>
    </w:rPr>
  </w:style>
  <w:style w:type="paragraph" w:styleId="CommentText">
    <w:name w:val="annotation text"/>
    <w:basedOn w:val="Normal"/>
    <w:link w:val="CommentTextChar"/>
    <w:uiPriority w:val="99"/>
    <w:unhideWhenUsed/>
    <w:rsid w:val="00104F71"/>
    <w:pPr>
      <w:spacing w:line="240" w:lineRule="auto"/>
    </w:pPr>
    <w:rPr>
      <w:szCs w:val="20"/>
    </w:rPr>
  </w:style>
  <w:style w:type="character" w:customStyle="1" w:styleId="CommentTextChar">
    <w:name w:val="Comment Text Char"/>
    <w:basedOn w:val="DefaultParagraphFont"/>
    <w:link w:val="CommentText"/>
    <w:uiPriority w:val="99"/>
    <w:rsid w:val="00104F71"/>
    <w:rPr>
      <w:rFonts w:eastAsia="Calibri" w:cs="Times New Roman"/>
      <w:szCs w:val="20"/>
      <w:lang w:val="fr-FR"/>
    </w:rPr>
  </w:style>
  <w:style w:type="paragraph" w:styleId="BalloonText">
    <w:name w:val="Balloon Text"/>
    <w:basedOn w:val="Normal"/>
    <w:link w:val="BalloonTextChar"/>
    <w:uiPriority w:val="99"/>
    <w:semiHidden/>
    <w:unhideWhenUsed/>
    <w:rsid w:val="008C16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6F5"/>
    <w:rPr>
      <w:rFonts w:ascii="Segoe UI" w:eastAsia="Calibri" w:hAnsi="Segoe UI" w:cs="Segoe UI"/>
      <w:sz w:val="18"/>
      <w:szCs w:val="18"/>
      <w:lang w:val="fr-FR"/>
    </w:rPr>
  </w:style>
  <w:style w:type="paragraph" w:styleId="CommentSubject">
    <w:name w:val="annotation subject"/>
    <w:basedOn w:val="CommentText"/>
    <w:next w:val="CommentText"/>
    <w:link w:val="CommentSubjectChar"/>
    <w:uiPriority w:val="99"/>
    <w:semiHidden/>
    <w:unhideWhenUsed/>
    <w:rsid w:val="008C16F5"/>
    <w:rPr>
      <w:b/>
      <w:bCs/>
    </w:rPr>
  </w:style>
  <w:style w:type="character" w:customStyle="1" w:styleId="CommentSubjectChar">
    <w:name w:val="Comment Subject Char"/>
    <w:basedOn w:val="CommentTextChar"/>
    <w:link w:val="CommentSubject"/>
    <w:uiPriority w:val="99"/>
    <w:semiHidden/>
    <w:rsid w:val="008C16F5"/>
    <w:rPr>
      <w:rFonts w:eastAsia="Calibri" w:cs="Times New Roman"/>
      <w:b/>
      <w:bCs/>
      <w:szCs w:val="20"/>
      <w:lang w:val="fr-FR"/>
    </w:rPr>
  </w:style>
  <w:style w:type="paragraph" w:styleId="BodyText">
    <w:name w:val="Body Text"/>
    <w:basedOn w:val="Normal"/>
    <w:link w:val="BodyTextChar"/>
    <w:uiPriority w:val="99"/>
    <w:rsid w:val="00A31D00"/>
    <w:pPr>
      <w:spacing w:after="240"/>
    </w:pPr>
  </w:style>
  <w:style w:type="character" w:customStyle="1" w:styleId="BodyTextChar">
    <w:name w:val="Body Text Char"/>
    <w:basedOn w:val="DefaultParagraphFont"/>
    <w:link w:val="BodyText"/>
    <w:uiPriority w:val="99"/>
    <w:rsid w:val="00A31D00"/>
    <w:rPr>
      <w:rFonts w:eastAsia="Calibri" w:cs="Times New Roman"/>
      <w:lang w:val="fr-FR"/>
    </w:rPr>
  </w:style>
  <w:style w:type="paragraph" w:styleId="Revision">
    <w:name w:val="Revision"/>
    <w:hidden/>
    <w:uiPriority w:val="99"/>
    <w:semiHidden/>
    <w:rsid w:val="00B421BC"/>
    <w:pPr>
      <w:spacing w:after="0" w:line="240" w:lineRule="auto"/>
    </w:pPr>
    <w:rPr>
      <w:rFonts w:eastAsia="Calibri" w:cs="Times New Roman"/>
    </w:rPr>
  </w:style>
  <w:style w:type="character" w:styleId="FollowedHyperlink">
    <w:name w:val="FollowedHyperlink"/>
    <w:basedOn w:val="DefaultParagraphFont"/>
    <w:uiPriority w:val="99"/>
    <w:semiHidden/>
    <w:unhideWhenUsed/>
    <w:rsid w:val="00AA507A"/>
    <w:rPr>
      <w:color w:val="0000FF" w:themeColor="followedHyperlink"/>
      <w:u w:val="single"/>
    </w:rPr>
  </w:style>
  <w:style w:type="paragraph" w:styleId="NormalWeb">
    <w:name w:val="Normal (Web)"/>
    <w:basedOn w:val="Normal"/>
    <w:uiPriority w:val="99"/>
    <w:unhideWhenUsed/>
    <w:rsid w:val="000F201B"/>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3925FA"/>
  </w:style>
  <w:style w:type="paragraph" w:customStyle="1" w:styleId="Default">
    <w:name w:val="Default"/>
    <w:rsid w:val="00284B97"/>
    <w:pPr>
      <w:autoSpaceDE w:val="0"/>
      <w:autoSpaceDN w:val="0"/>
      <w:adjustRightInd w:val="0"/>
      <w:spacing w:after="0" w:line="240" w:lineRule="auto"/>
    </w:pPr>
    <w:rPr>
      <w:rFonts w:cs="Georgia"/>
      <w:color w:val="000000"/>
      <w:sz w:val="24"/>
      <w:szCs w:val="24"/>
    </w:rPr>
  </w:style>
  <w:style w:type="character" w:styleId="Emphasis">
    <w:name w:val="Emphasis"/>
    <w:basedOn w:val="DefaultParagraphFont"/>
    <w:uiPriority w:val="20"/>
    <w:qFormat/>
    <w:rsid w:val="00CB747B"/>
    <w:rPr>
      <w:i/>
      <w:iCs/>
    </w:rPr>
  </w:style>
  <w:style w:type="table" w:styleId="TableGrid">
    <w:name w:val="Table Grid"/>
    <w:basedOn w:val="TableNormal"/>
    <w:uiPriority w:val="39"/>
    <w:rsid w:val="0087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736F3"/>
    <w:pPr>
      <w:tabs>
        <w:tab w:val="left" w:pos="1361"/>
      </w:tabs>
      <w:spacing w:line="240" w:lineRule="auto"/>
    </w:pPr>
    <w:rPr>
      <w:rFonts w:ascii="Frutiger 45 Light" w:eastAsia="Times New Roman" w:hAnsi="Frutiger 45 Light"/>
      <w:szCs w:val="20"/>
      <w:lang w:eastAsia="de-CH"/>
    </w:rPr>
  </w:style>
  <w:style w:type="character" w:customStyle="1" w:styleId="FootnoteTextChar">
    <w:name w:val="Footnote Text Char"/>
    <w:basedOn w:val="DefaultParagraphFont"/>
    <w:link w:val="FootnoteText"/>
    <w:rsid w:val="00B736F3"/>
    <w:rPr>
      <w:rFonts w:ascii="Frutiger 45 Light" w:eastAsia="Times New Roman" w:hAnsi="Frutiger 45 Light" w:cs="Times New Roman"/>
      <w:szCs w:val="20"/>
      <w:lang w:val="fr-FR" w:eastAsia="de-CH"/>
    </w:rPr>
  </w:style>
  <w:style w:type="character" w:styleId="FootnoteReference">
    <w:name w:val="footnote reference"/>
    <w:basedOn w:val="DefaultParagraphFont"/>
    <w:rsid w:val="00B736F3"/>
    <w:rPr>
      <w:vertAlign w:val="superscript"/>
    </w:rPr>
  </w:style>
  <w:style w:type="paragraph" w:styleId="EndnoteText">
    <w:name w:val="endnote text"/>
    <w:basedOn w:val="Normal"/>
    <w:link w:val="EndnoteTextChar"/>
    <w:uiPriority w:val="99"/>
    <w:semiHidden/>
    <w:unhideWhenUsed/>
    <w:rsid w:val="00FE69A3"/>
    <w:pPr>
      <w:spacing w:line="240" w:lineRule="auto"/>
    </w:pPr>
    <w:rPr>
      <w:szCs w:val="20"/>
    </w:rPr>
  </w:style>
  <w:style w:type="character" w:customStyle="1" w:styleId="EndnoteTextChar">
    <w:name w:val="Endnote Text Char"/>
    <w:basedOn w:val="DefaultParagraphFont"/>
    <w:link w:val="EndnoteText"/>
    <w:uiPriority w:val="99"/>
    <w:semiHidden/>
    <w:rsid w:val="00FE69A3"/>
    <w:rPr>
      <w:rFonts w:eastAsia="Calibri" w:cs="Times New Roman"/>
      <w:szCs w:val="20"/>
      <w:lang w:val="fr-FR"/>
    </w:rPr>
  </w:style>
  <w:style w:type="character" w:styleId="EndnoteReference">
    <w:name w:val="endnote reference"/>
    <w:basedOn w:val="DefaultParagraphFont"/>
    <w:uiPriority w:val="99"/>
    <w:semiHidden/>
    <w:unhideWhenUsed/>
    <w:rsid w:val="00FE69A3"/>
    <w:rPr>
      <w:vertAlign w:val="superscript"/>
    </w:rPr>
  </w:style>
  <w:style w:type="character" w:styleId="UnresolvedMention">
    <w:name w:val="Unresolved Mention"/>
    <w:basedOn w:val="DefaultParagraphFont"/>
    <w:uiPriority w:val="99"/>
    <w:semiHidden/>
    <w:unhideWhenUsed/>
    <w:rsid w:val="00F53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717">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5">
          <w:marLeft w:val="0"/>
          <w:marRight w:val="0"/>
          <w:marTop w:val="0"/>
          <w:marBottom w:val="0"/>
          <w:divBdr>
            <w:top w:val="none" w:sz="0" w:space="0" w:color="auto"/>
            <w:left w:val="none" w:sz="0" w:space="0" w:color="auto"/>
            <w:bottom w:val="none" w:sz="0" w:space="0" w:color="auto"/>
            <w:right w:val="none" w:sz="0" w:space="0" w:color="auto"/>
          </w:divBdr>
          <w:divsChild>
            <w:div w:id="1074202283">
              <w:marLeft w:val="0"/>
              <w:marRight w:val="0"/>
              <w:marTop w:val="0"/>
              <w:marBottom w:val="0"/>
              <w:divBdr>
                <w:top w:val="none" w:sz="0" w:space="0" w:color="auto"/>
                <w:left w:val="none" w:sz="0" w:space="0" w:color="auto"/>
                <w:bottom w:val="none" w:sz="0" w:space="0" w:color="auto"/>
                <w:right w:val="none" w:sz="0" w:space="0" w:color="auto"/>
              </w:divBdr>
              <w:divsChild>
                <w:div w:id="1594626798">
                  <w:marLeft w:val="0"/>
                  <w:marRight w:val="0"/>
                  <w:marTop w:val="0"/>
                  <w:marBottom w:val="0"/>
                  <w:divBdr>
                    <w:top w:val="none" w:sz="0" w:space="0" w:color="auto"/>
                    <w:left w:val="none" w:sz="0" w:space="0" w:color="auto"/>
                    <w:bottom w:val="none" w:sz="0" w:space="0" w:color="auto"/>
                    <w:right w:val="none" w:sz="0" w:space="0" w:color="auto"/>
                  </w:divBdr>
                  <w:divsChild>
                    <w:div w:id="1093630380">
                      <w:marLeft w:val="0"/>
                      <w:marRight w:val="0"/>
                      <w:marTop w:val="0"/>
                      <w:marBottom w:val="0"/>
                      <w:divBdr>
                        <w:top w:val="none" w:sz="0" w:space="0" w:color="auto"/>
                        <w:left w:val="none" w:sz="0" w:space="0" w:color="auto"/>
                        <w:bottom w:val="none" w:sz="0" w:space="0" w:color="auto"/>
                        <w:right w:val="none" w:sz="0" w:space="0" w:color="auto"/>
                      </w:divBdr>
                      <w:divsChild>
                        <w:div w:id="1961497760">
                          <w:marLeft w:val="0"/>
                          <w:marRight w:val="0"/>
                          <w:marTop w:val="0"/>
                          <w:marBottom w:val="0"/>
                          <w:divBdr>
                            <w:top w:val="none" w:sz="0" w:space="0" w:color="auto"/>
                            <w:left w:val="none" w:sz="0" w:space="0" w:color="auto"/>
                            <w:bottom w:val="none" w:sz="0" w:space="0" w:color="auto"/>
                            <w:right w:val="none" w:sz="0" w:space="0" w:color="auto"/>
                          </w:divBdr>
                          <w:divsChild>
                            <w:div w:id="1874532353">
                              <w:marLeft w:val="0"/>
                              <w:marRight w:val="0"/>
                              <w:marTop w:val="0"/>
                              <w:marBottom w:val="0"/>
                              <w:divBdr>
                                <w:top w:val="none" w:sz="0" w:space="0" w:color="auto"/>
                                <w:left w:val="none" w:sz="0" w:space="0" w:color="auto"/>
                                <w:bottom w:val="none" w:sz="0" w:space="0" w:color="auto"/>
                                <w:right w:val="none" w:sz="0" w:space="0" w:color="auto"/>
                              </w:divBdr>
                              <w:divsChild>
                                <w:div w:id="1919165449">
                                  <w:marLeft w:val="0"/>
                                  <w:marRight w:val="0"/>
                                  <w:marTop w:val="0"/>
                                  <w:marBottom w:val="0"/>
                                  <w:divBdr>
                                    <w:top w:val="none" w:sz="0" w:space="0" w:color="auto"/>
                                    <w:left w:val="none" w:sz="0" w:space="0" w:color="auto"/>
                                    <w:bottom w:val="none" w:sz="0" w:space="0" w:color="auto"/>
                                    <w:right w:val="none" w:sz="0" w:space="0" w:color="auto"/>
                                  </w:divBdr>
                                  <w:divsChild>
                                    <w:div w:id="155022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090601">
      <w:bodyDiv w:val="1"/>
      <w:marLeft w:val="0"/>
      <w:marRight w:val="0"/>
      <w:marTop w:val="0"/>
      <w:marBottom w:val="0"/>
      <w:divBdr>
        <w:top w:val="none" w:sz="0" w:space="0" w:color="auto"/>
        <w:left w:val="none" w:sz="0" w:space="0" w:color="auto"/>
        <w:bottom w:val="none" w:sz="0" w:space="0" w:color="auto"/>
        <w:right w:val="none" w:sz="0" w:space="0" w:color="auto"/>
      </w:divBdr>
    </w:div>
    <w:div w:id="459038524">
      <w:bodyDiv w:val="1"/>
      <w:marLeft w:val="0"/>
      <w:marRight w:val="0"/>
      <w:marTop w:val="0"/>
      <w:marBottom w:val="0"/>
      <w:divBdr>
        <w:top w:val="none" w:sz="0" w:space="0" w:color="auto"/>
        <w:left w:val="none" w:sz="0" w:space="0" w:color="auto"/>
        <w:bottom w:val="none" w:sz="0" w:space="0" w:color="auto"/>
        <w:right w:val="none" w:sz="0" w:space="0" w:color="auto"/>
      </w:divBdr>
      <w:divsChild>
        <w:div w:id="857307956">
          <w:marLeft w:val="0"/>
          <w:marRight w:val="0"/>
          <w:marTop w:val="0"/>
          <w:marBottom w:val="0"/>
          <w:divBdr>
            <w:top w:val="none" w:sz="0" w:space="0" w:color="auto"/>
            <w:left w:val="none" w:sz="0" w:space="0" w:color="auto"/>
            <w:bottom w:val="none" w:sz="0" w:space="0" w:color="auto"/>
            <w:right w:val="none" w:sz="0" w:space="0" w:color="auto"/>
          </w:divBdr>
        </w:div>
        <w:div w:id="1553081634">
          <w:marLeft w:val="0"/>
          <w:marRight w:val="0"/>
          <w:marTop w:val="0"/>
          <w:marBottom w:val="0"/>
          <w:divBdr>
            <w:top w:val="none" w:sz="0" w:space="0" w:color="auto"/>
            <w:left w:val="none" w:sz="0" w:space="0" w:color="auto"/>
            <w:bottom w:val="none" w:sz="0" w:space="0" w:color="auto"/>
            <w:right w:val="none" w:sz="0" w:space="0" w:color="auto"/>
          </w:divBdr>
        </w:div>
      </w:divsChild>
    </w:div>
    <w:div w:id="483277874">
      <w:bodyDiv w:val="1"/>
      <w:marLeft w:val="0"/>
      <w:marRight w:val="0"/>
      <w:marTop w:val="0"/>
      <w:marBottom w:val="0"/>
      <w:divBdr>
        <w:top w:val="none" w:sz="0" w:space="0" w:color="auto"/>
        <w:left w:val="none" w:sz="0" w:space="0" w:color="auto"/>
        <w:bottom w:val="none" w:sz="0" w:space="0" w:color="auto"/>
        <w:right w:val="none" w:sz="0" w:space="0" w:color="auto"/>
      </w:divBdr>
      <w:divsChild>
        <w:div w:id="372000653">
          <w:marLeft w:val="0"/>
          <w:marRight w:val="0"/>
          <w:marTop w:val="0"/>
          <w:marBottom w:val="0"/>
          <w:divBdr>
            <w:top w:val="none" w:sz="0" w:space="0" w:color="auto"/>
            <w:left w:val="none" w:sz="0" w:space="0" w:color="auto"/>
            <w:bottom w:val="none" w:sz="0" w:space="0" w:color="auto"/>
            <w:right w:val="none" w:sz="0" w:space="0" w:color="auto"/>
          </w:divBdr>
        </w:div>
        <w:div w:id="402724135">
          <w:marLeft w:val="0"/>
          <w:marRight w:val="0"/>
          <w:marTop w:val="0"/>
          <w:marBottom w:val="0"/>
          <w:divBdr>
            <w:top w:val="none" w:sz="0" w:space="0" w:color="auto"/>
            <w:left w:val="none" w:sz="0" w:space="0" w:color="auto"/>
            <w:bottom w:val="none" w:sz="0" w:space="0" w:color="auto"/>
            <w:right w:val="none" w:sz="0" w:space="0" w:color="auto"/>
          </w:divBdr>
        </w:div>
        <w:div w:id="372654873">
          <w:marLeft w:val="0"/>
          <w:marRight w:val="0"/>
          <w:marTop w:val="0"/>
          <w:marBottom w:val="0"/>
          <w:divBdr>
            <w:top w:val="none" w:sz="0" w:space="0" w:color="auto"/>
            <w:left w:val="none" w:sz="0" w:space="0" w:color="auto"/>
            <w:bottom w:val="none" w:sz="0" w:space="0" w:color="auto"/>
            <w:right w:val="none" w:sz="0" w:space="0" w:color="auto"/>
          </w:divBdr>
        </w:div>
        <w:div w:id="1082408164">
          <w:marLeft w:val="0"/>
          <w:marRight w:val="0"/>
          <w:marTop w:val="0"/>
          <w:marBottom w:val="0"/>
          <w:divBdr>
            <w:top w:val="none" w:sz="0" w:space="0" w:color="auto"/>
            <w:left w:val="none" w:sz="0" w:space="0" w:color="auto"/>
            <w:bottom w:val="none" w:sz="0" w:space="0" w:color="auto"/>
            <w:right w:val="none" w:sz="0" w:space="0" w:color="auto"/>
          </w:divBdr>
        </w:div>
        <w:div w:id="366611996">
          <w:marLeft w:val="0"/>
          <w:marRight w:val="0"/>
          <w:marTop w:val="0"/>
          <w:marBottom w:val="0"/>
          <w:divBdr>
            <w:top w:val="none" w:sz="0" w:space="0" w:color="auto"/>
            <w:left w:val="none" w:sz="0" w:space="0" w:color="auto"/>
            <w:bottom w:val="none" w:sz="0" w:space="0" w:color="auto"/>
            <w:right w:val="none" w:sz="0" w:space="0" w:color="auto"/>
          </w:divBdr>
        </w:div>
        <w:div w:id="1601644349">
          <w:marLeft w:val="0"/>
          <w:marRight w:val="0"/>
          <w:marTop w:val="0"/>
          <w:marBottom w:val="0"/>
          <w:divBdr>
            <w:top w:val="none" w:sz="0" w:space="0" w:color="auto"/>
            <w:left w:val="none" w:sz="0" w:space="0" w:color="auto"/>
            <w:bottom w:val="none" w:sz="0" w:space="0" w:color="auto"/>
            <w:right w:val="none" w:sz="0" w:space="0" w:color="auto"/>
          </w:divBdr>
        </w:div>
        <w:div w:id="1658151637">
          <w:marLeft w:val="0"/>
          <w:marRight w:val="0"/>
          <w:marTop w:val="0"/>
          <w:marBottom w:val="0"/>
          <w:divBdr>
            <w:top w:val="none" w:sz="0" w:space="0" w:color="auto"/>
            <w:left w:val="none" w:sz="0" w:space="0" w:color="auto"/>
            <w:bottom w:val="none" w:sz="0" w:space="0" w:color="auto"/>
            <w:right w:val="none" w:sz="0" w:space="0" w:color="auto"/>
          </w:divBdr>
        </w:div>
      </w:divsChild>
    </w:div>
    <w:div w:id="556665292">
      <w:bodyDiv w:val="1"/>
      <w:marLeft w:val="0"/>
      <w:marRight w:val="0"/>
      <w:marTop w:val="0"/>
      <w:marBottom w:val="0"/>
      <w:divBdr>
        <w:top w:val="none" w:sz="0" w:space="0" w:color="auto"/>
        <w:left w:val="none" w:sz="0" w:space="0" w:color="auto"/>
        <w:bottom w:val="none" w:sz="0" w:space="0" w:color="auto"/>
        <w:right w:val="none" w:sz="0" w:space="0" w:color="auto"/>
      </w:divBdr>
      <w:divsChild>
        <w:div w:id="547762578">
          <w:marLeft w:val="0"/>
          <w:marRight w:val="0"/>
          <w:marTop w:val="0"/>
          <w:marBottom w:val="0"/>
          <w:divBdr>
            <w:top w:val="none" w:sz="0" w:space="0" w:color="auto"/>
            <w:left w:val="none" w:sz="0" w:space="0" w:color="auto"/>
            <w:bottom w:val="none" w:sz="0" w:space="0" w:color="auto"/>
            <w:right w:val="none" w:sz="0" w:space="0" w:color="auto"/>
          </w:divBdr>
        </w:div>
        <w:div w:id="1287472803">
          <w:marLeft w:val="0"/>
          <w:marRight w:val="0"/>
          <w:marTop w:val="0"/>
          <w:marBottom w:val="0"/>
          <w:divBdr>
            <w:top w:val="none" w:sz="0" w:space="0" w:color="auto"/>
            <w:left w:val="none" w:sz="0" w:space="0" w:color="auto"/>
            <w:bottom w:val="none" w:sz="0" w:space="0" w:color="auto"/>
            <w:right w:val="none" w:sz="0" w:space="0" w:color="auto"/>
          </w:divBdr>
        </w:div>
        <w:div w:id="1850365900">
          <w:marLeft w:val="0"/>
          <w:marRight w:val="0"/>
          <w:marTop w:val="0"/>
          <w:marBottom w:val="0"/>
          <w:divBdr>
            <w:top w:val="none" w:sz="0" w:space="0" w:color="auto"/>
            <w:left w:val="none" w:sz="0" w:space="0" w:color="auto"/>
            <w:bottom w:val="none" w:sz="0" w:space="0" w:color="auto"/>
            <w:right w:val="none" w:sz="0" w:space="0" w:color="auto"/>
          </w:divBdr>
        </w:div>
        <w:div w:id="1012339493">
          <w:marLeft w:val="0"/>
          <w:marRight w:val="0"/>
          <w:marTop w:val="0"/>
          <w:marBottom w:val="0"/>
          <w:divBdr>
            <w:top w:val="none" w:sz="0" w:space="0" w:color="auto"/>
            <w:left w:val="none" w:sz="0" w:space="0" w:color="auto"/>
            <w:bottom w:val="none" w:sz="0" w:space="0" w:color="auto"/>
            <w:right w:val="none" w:sz="0" w:space="0" w:color="auto"/>
          </w:divBdr>
        </w:div>
        <w:div w:id="2002469581">
          <w:marLeft w:val="0"/>
          <w:marRight w:val="0"/>
          <w:marTop w:val="0"/>
          <w:marBottom w:val="0"/>
          <w:divBdr>
            <w:top w:val="none" w:sz="0" w:space="0" w:color="auto"/>
            <w:left w:val="none" w:sz="0" w:space="0" w:color="auto"/>
            <w:bottom w:val="none" w:sz="0" w:space="0" w:color="auto"/>
            <w:right w:val="none" w:sz="0" w:space="0" w:color="auto"/>
          </w:divBdr>
        </w:div>
        <w:div w:id="1148013270">
          <w:marLeft w:val="0"/>
          <w:marRight w:val="0"/>
          <w:marTop w:val="0"/>
          <w:marBottom w:val="0"/>
          <w:divBdr>
            <w:top w:val="none" w:sz="0" w:space="0" w:color="auto"/>
            <w:left w:val="none" w:sz="0" w:space="0" w:color="auto"/>
            <w:bottom w:val="none" w:sz="0" w:space="0" w:color="auto"/>
            <w:right w:val="none" w:sz="0" w:space="0" w:color="auto"/>
          </w:divBdr>
        </w:div>
        <w:div w:id="79523717">
          <w:marLeft w:val="0"/>
          <w:marRight w:val="0"/>
          <w:marTop w:val="0"/>
          <w:marBottom w:val="0"/>
          <w:divBdr>
            <w:top w:val="none" w:sz="0" w:space="0" w:color="auto"/>
            <w:left w:val="none" w:sz="0" w:space="0" w:color="auto"/>
            <w:bottom w:val="none" w:sz="0" w:space="0" w:color="auto"/>
            <w:right w:val="none" w:sz="0" w:space="0" w:color="auto"/>
          </w:divBdr>
        </w:div>
        <w:div w:id="1841433608">
          <w:marLeft w:val="0"/>
          <w:marRight w:val="0"/>
          <w:marTop w:val="0"/>
          <w:marBottom w:val="0"/>
          <w:divBdr>
            <w:top w:val="none" w:sz="0" w:space="0" w:color="auto"/>
            <w:left w:val="none" w:sz="0" w:space="0" w:color="auto"/>
            <w:bottom w:val="none" w:sz="0" w:space="0" w:color="auto"/>
            <w:right w:val="none" w:sz="0" w:space="0" w:color="auto"/>
          </w:divBdr>
        </w:div>
        <w:div w:id="610556548">
          <w:marLeft w:val="0"/>
          <w:marRight w:val="0"/>
          <w:marTop w:val="0"/>
          <w:marBottom w:val="0"/>
          <w:divBdr>
            <w:top w:val="none" w:sz="0" w:space="0" w:color="auto"/>
            <w:left w:val="none" w:sz="0" w:space="0" w:color="auto"/>
            <w:bottom w:val="none" w:sz="0" w:space="0" w:color="auto"/>
            <w:right w:val="none" w:sz="0" w:space="0" w:color="auto"/>
          </w:divBdr>
        </w:div>
        <w:div w:id="696933710">
          <w:marLeft w:val="0"/>
          <w:marRight w:val="0"/>
          <w:marTop w:val="0"/>
          <w:marBottom w:val="0"/>
          <w:divBdr>
            <w:top w:val="none" w:sz="0" w:space="0" w:color="auto"/>
            <w:left w:val="none" w:sz="0" w:space="0" w:color="auto"/>
            <w:bottom w:val="none" w:sz="0" w:space="0" w:color="auto"/>
            <w:right w:val="none" w:sz="0" w:space="0" w:color="auto"/>
          </w:divBdr>
        </w:div>
        <w:div w:id="461384501">
          <w:marLeft w:val="0"/>
          <w:marRight w:val="0"/>
          <w:marTop w:val="0"/>
          <w:marBottom w:val="0"/>
          <w:divBdr>
            <w:top w:val="none" w:sz="0" w:space="0" w:color="auto"/>
            <w:left w:val="none" w:sz="0" w:space="0" w:color="auto"/>
            <w:bottom w:val="none" w:sz="0" w:space="0" w:color="auto"/>
            <w:right w:val="none" w:sz="0" w:space="0" w:color="auto"/>
          </w:divBdr>
        </w:div>
      </w:divsChild>
    </w:div>
    <w:div w:id="666715860">
      <w:bodyDiv w:val="1"/>
      <w:marLeft w:val="0"/>
      <w:marRight w:val="0"/>
      <w:marTop w:val="0"/>
      <w:marBottom w:val="0"/>
      <w:divBdr>
        <w:top w:val="none" w:sz="0" w:space="0" w:color="auto"/>
        <w:left w:val="none" w:sz="0" w:space="0" w:color="auto"/>
        <w:bottom w:val="none" w:sz="0" w:space="0" w:color="auto"/>
        <w:right w:val="none" w:sz="0" w:space="0" w:color="auto"/>
      </w:divBdr>
    </w:div>
    <w:div w:id="692071985">
      <w:bodyDiv w:val="1"/>
      <w:marLeft w:val="0"/>
      <w:marRight w:val="0"/>
      <w:marTop w:val="0"/>
      <w:marBottom w:val="0"/>
      <w:divBdr>
        <w:top w:val="none" w:sz="0" w:space="0" w:color="auto"/>
        <w:left w:val="none" w:sz="0" w:space="0" w:color="auto"/>
        <w:bottom w:val="none" w:sz="0" w:space="0" w:color="auto"/>
        <w:right w:val="none" w:sz="0" w:space="0" w:color="auto"/>
      </w:divBdr>
    </w:div>
    <w:div w:id="816149225">
      <w:bodyDiv w:val="1"/>
      <w:marLeft w:val="0"/>
      <w:marRight w:val="0"/>
      <w:marTop w:val="0"/>
      <w:marBottom w:val="0"/>
      <w:divBdr>
        <w:top w:val="none" w:sz="0" w:space="0" w:color="auto"/>
        <w:left w:val="none" w:sz="0" w:space="0" w:color="auto"/>
        <w:bottom w:val="none" w:sz="0" w:space="0" w:color="auto"/>
        <w:right w:val="none" w:sz="0" w:space="0" w:color="auto"/>
      </w:divBdr>
    </w:div>
    <w:div w:id="831945592">
      <w:bodyDiv w:val="1"/>
      <w:marLeft w:val="0"/>
      <w:marRight w:val="0"/>
      <w:marTop w:val="0"/>
      <w:marBottom w:val="0"/>
      <w:divBdr>
        <w:top w:val="none" w:sz="0" w:space="0" w:color="auto"/>
        <w:left w:val="none" w:sz="0" w:space="0" w:color="auto"/>
        <w:bottom w:val="none" w:sz="0" w:space="0" w:color="auto"/>
        <w:right w:val="none" w:sz="0" w:space="0" w:color="auto"/>
      </w:divBdr>
    </w:div>
    <w:div w:id="931429585">
      <w:bodyDiv w:val="1"/>
      <w:marLeft w:val="0"/>
      <w:marRight w:val="0"/>
      <w:marTop w:val="0"/>
      <w:marBottom w:val="0"/>
      <w:divBdr>
        <w:top w:val="none" w:sz="0" w:space="0" w:color="auto"/>
        <w:left w:val="none" w:sz="0" w:space="0" w:color="auto"/>
        <w:bottom w:val="none" w:sz="0" w:space="0" w:color="auto"/>
        <w:right w:val="none" w:sz="0" w:space="0" w:color="auto"/>
      </w:divBdr>
    </w:div>
    <w:div w:id="1184175427">
      <w:bodyDiv w:val="1"/>
      <w:marLeft w:val="0"/>
      <w:marRight w:val="0"/>
      <w:marTop w:val="0"/>
      <w:marBottom w:val="0"/>
      <w:divBdr>
        <w:top w:val="none" w:sz="0" w:space="0" w:color="auto"/>
        <w:left w:val="none" w:sz="0" w:space="0" w:color="auto"/>
        <w:bottom w:val="none" w:sz="0" w:space="0" w:color="auto"/>
        <w:right w:val="none" w:sz="0" w:space="0" w:color="auto"/>
      </w:divBdr>
    </w:div>
    <w:div w:id="1252592020">
      <w:bodyDiv w:val="1"/>
      <w:marLeft w:val="0"/>
      <w:marRight w:val="0"/>
      <w:marTop w:val="0"/>
      <w:marBottom w:val="0"/>
      <w:divBdr>
        <w:top w:val="none" w:sz="0" w:space="0" w:color="auto"/>
        <w:left w:val="none" w:sz="0" w:space="0" w:color="auto"/>
        <w:bottom w:val="none" w:sz="0" w:space="0" w:color="auto"/>
        <w:right w:val="none" w:sz="0" w:space="0" w:color="auto"/>
      </w:divBdr>
    </w:div>
    <w:div w:id="1491099682">
      <w:bodyDiv w:val="1"/>
      <w:marLeft w:val="0"/>
      <w:marRight w:val="0"/>
      <w:marTop w:val="0"/>
      <w:marBottom w:val="0"/>
      <w:divBdr>
        <w:top w:val="none" w:sz="0" w:space="0" w:color="auto"/>
        <w:left w:val="none" w:sz="0" w:space="0" w:color="auto"/>
        <w:bottom w:val="none" w:sz="0" w:space="0" w:color="auto"/>
        <w:right w:val="none" w:sz="0" w:space="0" w:color="auto"/>
      </w:divBdr>
    </w:div>
    <w:div w:id="1521236591">
      <w:bodyDiv w:val="1"/>
      <w:marLeft w:val="0"/>
      <w:marRight w:val="0"/>
      <w:marTop w:val="0"/>
      <w:marBottom w:val="0"/>
      <w:divBdr>
        <w:top w:val="none" w:sz="0" w:space="0" w:color="auto"/>
        <w:left w:val="none" w:sz="0" w:space="0" w:color="auto"/>
        <w:bottom w:val="none" w:sz="0" w:space="0" w:color="auto"/>
        <w:right w:val="none" w:sz="0" w:space="0" w:color="auto"/>
      </w:divBdr>
    </w:div>
    <w:div w:id="1676181323">
      <w:bodyDiv w:val="1"/>
      <w:marLeft w:val="0"/>
      <w:marRight w:val="0"/>
      <w:marTop w:val="0"/>
      <w:marBottom w:val="0"/>
      <w:divBdr>
        <w:top w:val="none" w:sz="0" w:space="0" w:color="auto"/>
        <w:left w:val="none" w:sz="0" w:space="0" w:color="auto"/>
        <w:bottom w:val="none" w:sz="0" w:space="0" w:color="auto"/>
        <w:right w:val="none" w:sz="0" w:space="0" w:color="auto"/>
      </w:divBdr>
    </w:div>
    <w:div w:id="1784693256">
      <w:bodyDiv w:val="1"/>
      <w:marLeft w:val="0"/>
      <w:marRight w:val="0"/>
      <w:marTop w:val="0"/>
      <w:marBottom w:val="0"/>
      <w:divBdr>
        <w:top w:val="none" w:sz="0" w:space="0" w:color="auto"/>
        <w:left w:val="none" w:sz="0" w:space="0" w:color="auto"/>
        <w:bottom w:val="none" w:sz="0" w:space="0" w:color="auto"/>
        <w:right w:val="none" w:sz="0" w:space="0" w:color="auto"/>
      </w:divBdr>
    </w:div>
    <w:div w:id="1817918050">
      <w:bodyDiv w:val="1"/>
      <w:marLeft w:val="0"/>
      <w:marRight w:val="0"/>
      <w:marTop w:val="0"/>
      <w:marBottom w:val="0"/>
      <w:divBdr>
        <w:top w:val="none" w:sz="0" w:space="0" w:color="auto"/>
        <w:left w:val="none" w:sz="0" w:space="0" w:color="auto"/>
        <w:bottom w:val="none" w:sz="0" w:space="0" w:color="auto"/>
        <w:right w:val="none" w:sz="0" w:space="0" w:color="auto"/>
      </w:divBdr>
    </w:div>
    <w:div w:id="1965189925">
      <w:bodyDiv w:val="1"/>
      <w:marLeft w:val="0"/>
      <w:marRight w:val="0"/>
      <w:marTop w:val="0"/>
      <w:marBottom w:val="0"/>
      <w:divBdr>
        <w:top w:val="none" w:sz="0" w:space="0" w:color="auto"/>
        <w:left w:val="none" w:sz="0" w:space="0" w:color="auto"/>
        <w:bottom w:val="none" w:sz="0" w:space="0" w:color="auto"/>
        <w:right w:val="none" w:sz="0" w:space="0" w:color="auto"/>
      </w:divBdr>
    </w:div>
    <w:div w:id="2104956322">
      <w:bodyDiv w:val="1"/>
      <w:marLeft w:val="0"/>
      <w:marRight w:val="0"/>
      <w:marTop w:val="0"/>
      <w:marBottom w:val="0"/>
      <w:divBdr>
        <w:top w:val="none" w:sz="0" w:space="0" w:color="auto"/>
        <w:left w:val="none" w:sz="0" w:space="0" w:color="auto"/>
        <w:bottom w:val="none" w:sz="0" w:space="0" w:color="auto"/>
        <w:right w:val="none" w:sz="0" w:space="0" w:color="auto"/>
      </w:divBdr>
      <w:divsChild>
        <w:div w:id="1948923777">
          <w:marLeft w:val="403"/>
          <w:marRight w:val="0"/>
          <w:marTop w:val="0"/>
          <w:marBottom w:val="108"/>
          <w:divBdr>
            <w:top w:val="none" w:sz="0" w:space="0" w:color="auto"/>
            <w:left w:val="none" w:sz="0" w:space="0" w:color="auto"/>
            <w:bottom w:val="none" w:sz="0" w:space="0" w:color="auto"/>
            <w:right w:val="none" w:sz="0" w:space="0" w:color="auto"/>
          </w:divBdr>
        </w:div>
        <w:div w:id="674915593">
          <w:marLeft w:val="403"/>
          <w:marRight w:val="0"/>
          <w:marTop w:val="0"/>
          <w:marBottom w:val="108"/>
          <w:divBdr>
            <w:top w:val="none" w:sz="0" w:space="0" w:color="auto"/>
            <w:left w:val="none" w:sz="0" w:space="0" w:color="auto"/>
            <w:bottom w:val="none" w:sz="0" w:space="0" w:color="auto"/>
            <w:right w:val="none" w:sz="0" w:space="0" w:color="auto"/>
          </w:divBdr>
        </w:div>
        <w:div w:id="876621694">
          <w:marLeft w:val="403"/>
          <w:marRight w:val="0"/>
          <w:marTop w:val="0"/>
          <w:marBottom w:val="108"/>
          <w:divBdr>
            <w:top w:val="none" w:sz="0" w:space="0" w:color="auto"/>
            <w:left w:val="none" w:sz="0" w:space="0" w:color="auto"/>
            <w:bottom w:val="none" w:sz="0" w:space="0" w:color="auto"/>
            <w:right w:val="none" w:sz="0" w:space="0" w:color="auto"/>
          </w:divBdr>
        </w:div>
        <w:div w:id="1703482288">
          <w:marLeft w:val="403"/>
          <w:marRight w:val="0"/>
          <w:marTop w:val="0"/>
          <w:marBottom w:val="108"/>
          <w:divBdr>
            <w:top w:val="none" w:sz="0" w:space="0" w:color="auto"/>
            <w:left w:val="none" w:sz="0" w:space="0" w:color="auto"/>
            <w:bottom w:val="none" w:sz="0" w:space="0" w:color="auto"/>
            <w:right w:val="none" w:sz="0" w:space="0" w:color="auto"/>
          </w:divBdr>
        </w:div>
        <w:div w:id="845553064">
          <w:marLeft w:val="403"/>
          <w:marRight w:val="0"/>
          <w:marTop w:val="0"/>
          <w:marBottom w:val="108"/>
          <w:divBdr>
            <w:top w:val="none" w:sz="0" w:space="0" w:color="auto"/>
            <w:left w:val="none" w:sz="0" w:space="0" w:color="auto"/>
            <w:bottom w:val="none" w:sz="0" w:space="0" w:color="auto"/>
            <w:right w:val="none" w:sz="0" w:space="0" w:color="auto"/>
          </w:divBdr>
        </w:div>
        <w:div w:id="2134320783">
          <w:marLeft w:val="403"/>
          <w:marRight w:val="0"/>
          <w:marTop w:val="0"/>
          <w:marBottom w:val="108"/>
          <w:divBdr>
            <w:top w:val="none" w:sz="0" w:space="0" w:color="auto"/>
            <w:left w:val="none" w:sz="0" w:space="0" w:color="auto"/>
            <w:bottom w:val="none" w:sz="0" w:space="0" w:color="auto"/>
            <w:right w:val="none" w:sz="0" w:space="0" w:color="auto"/>
          </w:divBdr>
        </w:div>
        <w:div w:id="514542711">
          <w:marLeft w:val="403"/>
          <w:marRight w:val="0"/>
          <w:marTop w:val="0"/>
          <w:marBottom w:val="10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linkredirect?authuser=0&amp;dest=https://www.pwc.com/gx/en/audit-services/publications/assets/global-top-100-companies-june-2020-update.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wc.com/structu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wc.ch/fr/centre-de-press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wc.com/gx/en/audit-services/publications/assets/global-top-100-companies-2020.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F2A18-9336-4DF2-97AB-4F5A6400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922</Words>
  <Characters>4948</Characters>
  <Application>Microsoft Office Word</Application>
  <DocSecurity>0</DocSecurity>
  <Lines>120</Lines>
  <Paragraphs>48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J Mearley</dc:creator>
  <cp:keywords/>
  <dc:description/>
  <cp:lastModifiedBy>Stephanie Tobler Mucznik</cp:lastModifiedBy>
  <cp:revision>3</cp:revision>
  <cp:lastPrinted>2020-07-30T18:08:00Z</cp:lastPrinted>
  <dcterms:created xsi:type="dcterms:W3CDTF">2020-07-30T18:06:00Z</dcterms:created>
  <dcterms:modified xsi:type="dcterms:W3CDTF">2020-07-30T18:10:00Z</dcterms:modified>
</cp:coreProperties>
</file>