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EE728" w14:textId="50ECC98F" w:rsidR="00CA79D7" w:rsidRPr="004C322C" w:rsidRDefault="00161817" w:rsidP="00CA79D7">
      <w:pPr>
        <w:pStyle w:val="EinfAbs"/>
        <w:tabs>
          <w:tab w:val="left" w:pos="200"/>
        </w:tabs>
        <w:rPr>
          <w:rFonts w:ascii="Source Sans Pro" w:hAnsi="Source Sans Pro" w:cs="Source Sans Pro"/>
          <w:caps/>
          <w:color w:val="0086A8"/>
          <w:sz w:val="22"/>
          <w:szCs w:val="22"/>
        </w:rPr>
      </w:pPr>
      <w:r w:rsidRPr="004C322C">
        <w:rPr>
          <w:rFonts w:ascii="Source Sans Pro" w:hAnsi="Source Sans Pro" w:cs="Source Sans Pro"/>
          <w:caps/>
          <w:color w:val="0086A8"/>
          <w:sz w:val="22"/>
          <w:szCs w:val="22"/>
        </w:rPr>
        <w:t>top-7-investment</w:t>
      </w:r>
      <w:r w:rsidR="000021F4" w:rsidRPr="004C322C">
        <w:rPr>
          <w:rFonts w:ascii="Source Sans Pro" w:hAnsi="Source Sans Pro" w:cs="Source Sans Pro"/>
          <w:caps/>
          <w:color w:val="0086A8"/>
          <w:sz w:val="22"/>
          <w:szCs w:val="22"/>
        </w:rPr>
        <w:t>märkte Q</w:t>
      </w:r>
      <w:r w:rsidR="00F40B12" w:rsidRPr="004C322C">
        <w:rPr>
          <w:rFonts w:ascii="Source Sans Pro" w:hAnsi="Source Sans Pro" w:cs="Source Sans Pro"/>
          <w:caps/>
          <w:color w:val="0086A8"/>
          <w:sz w:val="22"/>
          <w:szCs w:val="22"/>
        </w:rPr>
        <w:t>1</w:t>
      </w:r>
      <w:r w:rsidR="001550FE" w:rsidRPr="004C322C">
        <w:rPr>
          <w:rFonts w:ascii="Source Sans Pro" w:hAnsi="Source Sans Pro" w:cs="Source Sans Pro"/>
          <w:caps/>
          <w:color w:val="0086A8"/>
          <w:sz w:val="22"/>
          <w:szCs w:val="22"/>
        </w:rPr>
        <w:t>/202</w:t>
      </w:r>
      <w:r w:rsidR="00433CD9">
        <w:rPr>
          <w:rFonts w:ascii="Source Sans Pro" w:hAnsi="Source Sans Pro" w:cs="Source Sans Pro"/>
          <w:caps/>
          <w:color w:val="0086A8"/>
          <w:sz w:val="22"/>
          <w:szCs w:val="22"/>
        </w:rPr>
        <w:t>5</w:t>
      </w:r>
    </w:p>
    <w:p w14:paraId="743073FD" w14:textId="2CFD7EFD" w:rsidR="003152C9" w:rsidRPr="004C322C" w:rsidRDefault="000A36D6" w:rsidP="003152C9">
      <w:pPr>
        <w:pStyle w:val="EinfAbs"/>
        <w:tabs>
          <w:tab w:val="left" w:pos="200"/>
        </w:tabs>
        <w:spacing w:line="440" w:lineRule="exact"/>
        <w:rPr>
          <w:rFonts w:ascii="Source Sans Pro" w:hAnsi="Source Sans Pro" w:cs="Source Sans Pro"/>
          <w:sz w:val="36"/>
          <w:szCs w:val="36"/>
        </w:rPr>
      </w:pPr>
      <w:r>
        <w:rPr>
          <w:rFonts w:ascii="Source Sans Pro" w:hAnsi="Source Sans Pro" w:cs="Source Sans Pro"/>
          <w:sz w:val="36"/>
          <w:szCs w:val="36"/>
        </w:rPr>
        <w:t>Gesamtvolumen</w:t>
      </w:r>
      <w:r w:rsidRPr="007E0EDC">
        <w:rPr>
          <w:rFonts w:ascii="Source Sans Pro" w:hAnsi="Source Sans Pro" w:cs="Source Sans Pro"/>
          <w:sz w:val="36"/>
          <w:szCs w:val="36"/>
        </w:rPr>
        <w:t xml:space="preserve"> </w:t>
      </w:r>
      <w:r w:rsidR="0030746C" w:rsidRPr="0030746C">
        <w:rPr>
          <w:rFonts w:ascii="Source Sans Pro" w:hAnsi="Source Sans Pro" w:cs="Source Sans Pro"/>
          <w:sz w:val="36"/>
          <w:szCs w:val="36"/>
        </w:rPr>
        <w:t>trotz einzelner Großtransaktionen</w:t>
      </w:r>
      <w:r w:rsidR="0030746C">
        <w:rPr>
          <w:rFonts w:ascii="Source Sans Pro" w:hAnsi="Source Sans Pro" w:cs="Source Sans Pro"/>
          <w:sz w:val="36"/>
          <w:szCs w:val="36"/>
        </w:rPr>
        <w:t xml:space="preserve"> </w:t>
      </w:r>
      <w:r w:rsidR="0030746C" w:rsidRPr="007E0EDC">
        <w:rPr>
          <w:rFonts w:ascii="Source Sans Pro" w:hAnsi="Source Sans Pro" w:cs="Source Sans Pro"/>
          <w:sz w:val="36"/>
          <w:szCs w:val="36"/>
        </w:rPr>
        <w:t>unter Vorjahresniveau</w:t>
      </w:r>
      <w:r w:rsidR="00BC3993">
        <w:rPr>
          <w:rFonts w:ascii="Source Sans Pro" w:hAnsi="Source Sans Pro" w:cs="Source Sans Pro"/>
          <w:sz w:val="36"/>
          <w:szCs w:val="36"/>
        </w:rPr>
        <w:br/>
      </w:r>
    </w:p>
    <w:p w14:paraId="14EADD5C" w14:textId="295BBA83" w:rsidR="004F09D7" w:rsidRPr="00E822DD" w:rsidRDefault="004D6861" w:rsidP="004F09D7">
      <w:pPr>
        <w:pStyle w:val="EinfAbs"/>
        <w:tabs>
          <w:tab w:val="left" w:pos="200"/>
        </w:tabs>
        <w:rPr>
          <w:rFonts w:ascii="Source Sans Pro" w:hAnsi="Source Sans Pro" w:cs="Source Sans Pro"/>
          <w:color w:val="0086A8"/>
          <w:sz w:val="22"/>
          <w:szCs w:val="22"/>
          <w:lang w:val="en-GB"/>
        </w:rPr>
      </w:pPr>
      <w:r w:rsidRPr="004D6861">
        <w:rPr>
          <w:rFonts w:ascii="Source Sans Pro" w:hAnsi="Source Sans Pro" w:cs="Source Sans Pro"/>
          <w:noProof/>
          <w:color w:val="0086A8"/>
          <w:sz w:val="22"/>
          <w:szCs w:val="22"/>
        </w:rPr>
        <w:drawing>
          <wp:inline distT="0" distB="0" distL="0" distR="0" wp14:anchorId="4A59BB75" wp14:editId="236C8ACF">
            <wp:extent cx="3963064" cy="2195037"/>
            <wp:effectExtent l="19050" t="19050" r="18415" b="152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018_Presse\0_GPP\Pressearbeit G&amp;B ab 07_2020\17-GPP-Pressemitteilungen\Quartals-PMs\2025\PM Büro Invest 2025 Q1\Investment\Grafiken\GPP-Top-7-Investmentmärkte-1Q25-Transaktionsvolumina.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963064" cy="2195037"/>
                    </a:xfrm>
                    <a:prstGeom prst="rect">
                      <a:avLst/>
                    </a:prstGeom>
                    <a:noFill/>
                    <a:ln w="7620">
                      <a:solidFill>
                        <a:schemeClr val="tx1"/>
                      </a:solidFill>
                    </a:ln>
                  </pic:spPr>
                </pic:pic>
              </a:graphicData>
            </a:graphic>
          </wp:inline>
        </w:drawing>
      </w:r>
      <w:r w:rsidR="002E5673" w:rsidRPr="00E822DD">
        <w:rPr>
          <w:rFonts w:ascii="Source Sans Pro" w:hAnsi="Source Sans Pro" w:cs="Source Sans Pro"/>
          <w:color w:val="0086A8"/>
          <w:sz w:val="22"/>
          <w:szCs w:val="22"/>
          <w:lang w:val="en-GB"/>
        </w:rPr>
        <w:br w:type="textWrapping" w:clear="all"/>
      </w:r>
    </w:p>
    <w:p w14:paraId="2520892A" w14:textId="7BB7F4AD" w:rsidR="00BC3993" w:rsidRDefault="00333A90" w:rsidP="00B05185">
      <w:pPr>
        <w:rPr>
          <w:rFonts w:ascii="Source Sans Pro" w:hAnsi="Source Sans Pro" w:cs="Source Sans Pro"/>
          <w:sz w:val="22"/>
          <w:szCs w:val="22"/>
        </w:rPr>
      </w:pPr>
      <w:r>
        <w:rPr>
          <w:rFonts w:ascii="Source Sans Pro" w:hAnsi="Source Sans Pro" w:cs="Source Sans Pro"/>
          <w:color w:val="0086A8"/>
          <w:sz w:val="22"/>
          <w:szCs w:val="22"/>
        </w:rPr>
        <w:t>3</w:t>
      </w:r>
      <w:r w:rsidR="007D5A52" w:rsidRPr="008B1BA3">
        <w:rPr>
          <w:rFonts w:ascii="Source Sans Pro" w:hAnsi="Source Sans Pro" w:cs="Source Sans Pro"/>
          <w:color w:val="0087A8"/>
          <w:sz w:val="22"/>
          <w:szCs w:val="22"/>
        </w:rPr>
        <w:t xml:space="preserve">. </w:t>
      </w:r>
      <w:r w:rsidR="00F40B12" w:rsidRPr="008B1BA3">
        <w:rPr>
          <w:rFonts w:ascii="Source Sans Pro" w:hAnsi="Source Sans Pro" w:cs="Source Sans Pro"/>
          <w:color w:val="0087A8"/>
          <w:sz w:val="22"/>
          <w:szCs w:val="22"/>
        </w:rPr>
        <w:t>April</w:t>
      </w:r>
      <w:r w:rsidR="000021F4" w:rsidRPr="008B1BA3">
        <w:rPr>
          <w:rFonts w:ascii="Source Sans Pro" w:hAnsi="Source Sans Pro" w:cs="Source Sans Pro"/>
          <w:color w:val="0087A8"/>
          <w:sz w:val="22"/>
          <w:szCs w:val="22"/>
        </w:rPr>
        <w:t xml:space="preserve"> 202</w:t>
      </w:r>
      <w:r w:rsidR="00433CD9">
        <w:rPr>
          <w:rFonts w:ascii="Source Sans Pro" w:hAnsi="Source Sans Pro" w:cs="Source Sans Pro"/>
          <w:color w:val="0087A8"/>
          <w:sz w:val="22"/>
          <w:szCs w:val="22"/>
        </w:rPr>
        <w:t>5</w:t>
      </w:r>
      <w:r w:rsidR="007D5A52" w:rsidRPr="008B1BA3">
        <w:rPr>
          <w:rFonts w:ascii="Source Sans Pro" w:hAnsi="Source Sans Pro" w:cs="Source Sans Pro"/>
          <w:color w:val="0087A8"/>
          <w:sz w:val="22"/>
          <w:szCs w:val="22"/>
        </w:rPr>
        <w:t>, Hamburg.</w:t>
      </w:r>
      <w:r w:rsidR="007D5A52" w:rsidRPr="008B1BA3">
        <w:rPr>
          <w:rFonts w:ascii="Source Sans Pro" w:hAnsi="Source Sans Pro" w:cs="Source Sans Pro"/>
          <w:color w:val="0086A8"/>
          <w:sz w:val="22"/>
          <w:szCs w:val="22"/>
        </w:rPr>
        <w:t xml:space="preserve"> </w:t>
      </w:r>
      <w:r w:rsidR="00B05185" w:rsidRPr="00B05185">
        <w:rPr>
          <w:rFonts w:ascii="Source Sans Pro" w:hAnsi="Source Sans Pro" w:cs="Source Sans Pro"/>
          <w:sz w:val="22"/>
          <w:szCs w:val="22"/>
        </w:rPr>
        <w:t xml:space="preserve">Im </w:t>
      </w:r>
      <w:r w:rsidR="009E17B9">
        <w:rPr>
          <w:rFonts w:ascii="Source Sans Pro" w:hAnsi="Source Sans Pro" w:cs="Source Sans Pro"/>
          <w:sz w:val="22"/>
          <w:szCs w:val="22"/>
        </w:rPr>
        <w:t>1.</w:t>
      </w:r>
      <w:r w:rsidR="009E17B9" w:rsidRPr="00B05185">
        <w:rPr>
          <w:rFonts w:ascii="Source Sans Pro" w:hAnsi="Source Sans Pro" w:cs="Source Sans Pro"/>
          <w:sz w:val="22"/>
          <w:szCs w:val="22"/>
        </w:rPr>
        <w:t xml:space="preserve"> </w:t>
      </w:r>
      <w:r w:rsidR="00B05185" w:rsidRPr="00B05185">
        <w:rPr>
          <w:rFonts w:ascii="Source Sans Pro" w:hAnsi="Source Sans Pro" w:cs="Source Sans Pro"/>
          <w:sz w:val="22"/>
          <w:szCs w:val="22"/>
        </w:rPr>
        <w:t xml:space="preserve">Quartal 2025 lag das Transaktionsvolumen (TAV) auf den Top-7-Märkten für gewerbliche Immobilieninvestments bei rund 2,1 Mrd. €. Das entspricht einem Rückgang von </w:t>
      </w:r>
      <w:r w:rsidR="009E17B9">
        <w:rPr>
          <w:rFonts w:ascii="Source Sans Pro" w:hAnsi="Source Sans Pro" w:cs="Source Sans Pro"/>
          <w:sz w:val="22"/>
          <w:szCs w:val="22"/>
        </w:rPr>
        <w:t xml:space="preserve">etwa </w:t>
      </w:r>
      <w:r w:rsidR="00B05185" w:rsidRPr="00B05185">
        <w:rPr>
          <w:rFonts w:ascii="Source Sans Pro" w:hAnsi="Source Sans Pro" w:cs="Source Sans Pro"/>
          <w:sz w:val="22"/>
          <w:szCs w:val="22"/>
        </w:rPr>
        <w:t>14 % im Vergleich zum Vorjahresquartal und ist nahezu identisch mit dem Ergebnis von 2023. Dies geht aus einer Analyse von German Property Partners (GPP) hervor</w:t>
      </w:r>
      <w:r w:rsidR="00B05185">
        <w:rPr>
          <w:rFonts w:ascii="Source Sans Pro" w:hAnsi="Source Sans Pro" w:cs="Source Sans Pro"/>
          <w:sz w:val="22"/>
          <w:szCs w:val="22"/>
        </w:rPr>
        <w:t xml:space="preserve">. </w:t>
      </w:r>
    </w:p>
    <w:p w14:paraId="1C8AB95A" w14:textId="77777777" w:rsidR="00B05185" w:rsidRDefault="00B05185" w:rsidP="00895E64">
      <w:pPr>
        <w:pStyle w:val="EinfAbs"/>
        <w:tabs>
          <w:tab w:val="left" w:pos="200"/>
        </w:tabs>
        <w:snapToGrid w:val="0"/>
        <w:spacing w:line="280" w:lineRule="exact"/>
        <w:jc w:val="both"/>
        <w:rPr>
          <w:rFonts w:ascii="Source Sans Pro" w:hAnsi="Source Sans Pro" w:cs="Source Sans Pro"/>
          <w:color w:val="auto"/>
          <w:sz w:val="22"/>
          <w:szCs w:val="22"/>
        </w:rPr>
      </w:pPr>
    </w:p>
    <w:p w14:paraId="6F6DC97C" w14:textId="6228585F" w:rsidR="00B05185" w:rsidRDefault="00B05185" w:rsidP="00D93233">
      <w:pPr>
        <w:pStyle w:val="EinfAbs"/>
        <w:numPr>
          <w:ilvl w:val="0"/>
          <w:numId w:val="14"/>
        </w:numPr>
        <w:tabs>
          <w:tab w:val="left" w:pos="200"/>
        </w:tabs>
        <w:snapToGrid w:val="0"/>
        <w:spacing w:line="280" w:lineRule="exact"/>
        <w:jc w:val="both"/>
        <w:rPr>
          <w:rFonts w:ascii="Source Sans Pro" w:hAnsi="Source Sans Pro" w:cs="Source Sans Pro"/>
          <w:color w:val="auto"/>
          <w:sz w:val="22"/>
          <w:szCs w:val="22"/>
        </w:rPr>
      </w:pPr>
      <w:r w:rsidRPr="00B05185">
        <w:rPr>
          <w:rFonts w:ascii="Source Sans Pro" w:hAnsi="Source Sans Pro" w:cs="Source Sans Pro"/>
          <w:color w:val="auto"/>
          <w:sz w:val="22"/>
          <w:szCs w:val="22"/>
        </w:rPr>
        <w:t xml:space="preserve">An einigen Standorten trugen Großdeals </w:t>
      </w:r>
      <w:r w:rsidR="00921FB1">
        <w:rPr>
          <w:rFonts w:ascii="Source Sans Pro" w:hAnsi="Source Sans Pro" w:cs="Source Sans Pro"/>
          <w:color w:val="auto"/>
          <w:sz w:val="22"/>
          <w:szCs w:val="22"/>
        </w:rPr>
        <w:t xml:space="preserve">maßgeblich </w:t>
      </w:r>
      <w:r w:rsidRPr="00B05185">
        <w:rPr>
          <w:rFonts w:ascii="Source Sans Pro" w:hAnsi="Source Sans Pro" w:cs="Source Sans Pro"/>
          <w:color w:val="auto"/>
          <w:sz w:val="22"/>
          <w:szCs w:val="22"/>
        </w:rPr>
        <w:t xml:space="preserve">zum Anstieg des TAV bei, was die Entwicklung heterogen machte: </w:t>
      </w:r>
      <w:r>
        <w:rPr>
          <w:rFonts w:ascii="Source Sans Pro" w:hAnsi="Source Sans Pro" w:cs="Source Sans Pro"/>
          <w:color w:val="auto"/>
          <w:sz w:val="22"/>
          <w:szCs w:val="22"/>
        </w:rPr>
        <w:t xml:space="preserve">In Köln führte </w:t>
      </w:r>
      <w:r w:rsidR="00921FB1">
        <w:rPr>
          <w:rFonts w:ascii="Source Sans Pro" w:hAnsi="Source Sans Pro" w:cs="Source Sans Pro"/>
          <w:color w:val="auto"/>
          <w:sz w:val="22"/>
          <w:szCs w:val="22"/>
        </w:rPr>
        <w:t xml:space="preserve">insbesondere </w:t>
      </w:r>
      <w:r>
        <w:rPr>
          <w:rFonts w:ascii="Source Sans Pro" w:hAnsi="Source Sans Pro" w:cs="Source Sans Pro"/>
          <w:color w:val="auto"/>
          <w:sz w:val="22"/>
          <w:szCs w:val="22"/>
        </w:rPr>
        <w:t>der Verkauf des „</w:t>
      </w:r>
      <w:proofErr w:type="spellStart"/>
      <w:r>
        <w:rPr>
          <w:rFonts w:ascii="Source Sans Pro" w:hAnsi="Source Sans Pro" w:cs="Source Sans Pro"/>
          <w:color w:val="auto"/>
          <w:sz w:val="22"/>
          <w:szCs w:val="22"/>
        </w:rPr>
        <w:t>Pullman</w:t>
      </w:r>
      <w:proofErr w:type="spellEnd"/>
      <w:r>
        <w:rPr>
          <w:rFonts w:ascii="Source Sans Pro" w:hAnsi="Source Sans Pro" w:cs="Source Sans Pro"/>
          <w:color w:val="auto"/>
          <w:sz w:val="22"/>
          <w:szCs w:val="22"/>
        </w:rPr>
        <w:t>-Hotels“</w:t>
      </w:r>
      <w:r w:rsidRPr="00B05185">
        <w:rPr>
          <w:rFonts w:ascii="Source Sans Pro" w:hAnsi="Source Sans Pro" w:cs="Source Sans Pro"/>
          <w:color w:val="auto"/>
          <w:sz w:val="22"/>
          <w:szCs w:val="22"/>
        </w:rPr>
        <w:t xml:space="preserve"> zu einem Plus von 200 % auf 150 Mio. €. In Berlin, dem umsatzstärksten Top-7-Standort, stieg </w:t>
      </w:r>
      <w:r>
        <w:rPr>
          <w:rFonts w:ascii="Source Sans Pro" w:hAnsi="Source Sans Pro" w:cs="Source Sans Pro"/>
          <w:color w:val="auto"/>
          <w:sz w:val="22"/>
          <w:szCs w:val="22"/>
        </w:rPr>
        <w:t>das</w:t>
      </w:r>
      <w:r w:rsidR="00921FB1">
        <w:rPr>
          <w:rFonts w:ascii="Source Sans Pro" w:hAnsi="Source Sans Pro" w:cs="Source Sans Pro"/>
          <w:color w:val="auto"/>
          <w:sz w:val="22"/>
          <w:szCs w:val="22"/>
        </w:rPr>
        <w:t xml:space="preserve"> TAV durch den Verkauf des „</w:t>
      </w:r>
      <w:proofErr w:type="spellStart"/>
      <w:r w:rsidR="00921FB1">
        <w:rPr>
          <w:rFonts w:ascii="Source Sans Pro" w:hAnsi="Source Sans Pro" w:cs="Source Sans Pro"/>
          <w:color w:val="auto"/>
          <w:sz w:val="22"/>
          <w:szCs w:val="22"/>
        </w:rPr>
        <w:t>Upper</w:t>
      </w:r>
      <w:proofErr w:type="spellEnd"/>
      <w:r w:rsidR="00921FB1">
        <w:rPr>
          <w:rFonts w:ascii="Source Sans Pro" w:hAnsi="Source Sans Pro" w:cs="Source Sans Pro"/>
          <w:color w:val="auto"/>
          <w:sz w:val="22"/>
          <w:szCs w:val="22"/>
        </w:rPr>
        <w:t xml:space="preserve"> West“</w:t>
      </w:r>
      <w:r w:rsidRPr="00B05185">
        <w:rPr>
          <w:rFonts w:ascii="Source Sans Pro" w:hAnsi="Source Sans Pro" w:cs="Source Sans Pro"/>
          <w:color w:val="auto"/>
          <w:sz w:val="22"/>
          <w:szCs w:val="22"/>
        </w:rPr>
        <w:t xml:space="preserve"> um 45 % auf 870 Mio. €. In H</w:t>
      </w:r>
      <w:r>
        <w:rPr>
          <w:rFonts w:ascii="Source Sans Pro" w:hAnsi="Source Sans Pro" w:cs="Source Sans Pro"/>
          <w:color w:val="auto"/>
          <w:sz w:val="22"/>
          <w:szCs w:val="22"/>
        </w:rPr>
        <w:t>amburg sorgte der Rückkauf von „Pflegen &amp; Wohnen“</w:t>
      </w:r>
      <w:r w:rsidRPr="00B05185">
        <w:rPr>
          <w:rFonts w:ascii="Source Sans Pro" w:hAnsi="Source Sans Pro" w:cs="Source Sans Pro"/>
          <w:color w:val="auto"/>
          <w:sz w:val="22"/>
          <w:szCs w:val="22"/>
        </w:rPr>
        <w:t xml:space="preserve"> durch die Stadt für einen Zuwachs von 19 % auf 440 Mio. €. Die übrigen Städte verzeichneten teils deutliche Rückgänge, wobei </w:t>
      </w:r>
      <w:r w:rsidR="00081DAD">
        <w:rPr>
          <w:rFonts w:ascii="Source Sans Pro" w:hAnsi="Source Sans Pro" w:cs="Source Sans Pro"/>
          <w:color w:val="auto"/>
          <w:sz w:val="22"/>
          <w:szCs w:val="22"/>
        </w:rPr>
        <w:t xml:space="preserve">das TAV in </w:t>
      </w:r>
      <w:r w:rsidRPr="00B05185">
        <w:rPr>
          <w:rFonts w:ascii="Source Sans Pro" w:hAnsi="Source Sans Pro" w:cs="Source Sans Pro"/>
          <w:color w:val="auto"/>
          <w:sz w:val="22"/>
          <w:szCs w:val="22"/>
        </w:rPr>
        <w:t>München mit einem Minus von 61 % am stärksten fiel</w:t>
      </w:r>
      <w:r w:rsidR="00D93233">
        <w:rPr>
          <w:rFonts w:ascii="Source Sans Pro" w:hAnsi="Source Sans Pro" w:cs="Source Sans Pro"/>
          <w:color w:val="auto"/>
          <w:sz w:val="22"/>
          <w:szCs w:val="22"/>
        </w:rPr>
        <w:t xml:space="preserve">, </w:t>
      </w:r>
      <w:r w:rsidR="00D93233" w:rsidRPr="00D93233">
        <w:rPr>
          <w:rFonts w:ascii="Source Sans Pro" w:hAnsi="Source Sans Pro" w:cs="Source Sans Pro"/>
          <w:color w:val="auto"/>
          <w:sz w:val="22"/>
          <w:szCs w:val="22"/>
        </w:rPr>
        <w:t xml:space="preserve">was vor allem auf </w:t>
      </w:r>
      <w:r w:rsidR="00D93233">
        <w:rPr>
          <w:rFonts w:ascii="Source Sans Pro" w:hAnsi="Source Sans Pro" w:cs="Source Sans Pro"/>
          <w:color w:val="auto"/>
          <w:sz w:val="22"/>
          <w:szCs w:val="22"/>
        </w:rPr>
        <w:t>zwei</w:t>
      </w:r>
      <w:r w:rsidR="00D93233" w:rsidRPr="00D93233">
        <w:rPr>
          <w:rFonts w:ascii="Source Sans Pro" w:hAnsi="Source Sans Pro" w:cs="Source Sans Pro"/>
          <w:color w:val="auto"/>
          <w:sz w:val="22"/>
          <w:szCs w:val="22"/>
        </w:rPr>
        <w:t xml:space="preserve"> Großtransaktionen im ersten Quartal 2024 zurückzuführen ist.</w:t>
      </w:r>
    </w:p>
    <w:p w14:paraId="25E41A7A" w14:textId="12979937" w:rsidR="00690558" w:rsidRPr="006E1DD0" w:rsidRDefault="007D7673" w:rsidP="0030746C">
      <w:pPr>
        <w:pStyle w:val="EinfAbs"/>
        <w:numPr>
          <w:ilvl w:val="0"/>
          <w:numId w:val="14"/>
        </w:numPr>
        <w:tabs>
          <w:tab w:val="left" w:pos="200"/>
        </w:tabs>
        <w:snapToGrid w:val="0"/>
        <w:spacing w:line="280" w:lineRule="exact"/>
        <w:jc w:val="both"/>
        <w:rPr>
          <w:rFonts w:ascii="Source Sans Pro" w:hAnsi="Source Sans Pro" w:cs="Source Sans Pro"/>
          <w:color w:val="auto"/>
          <w:sz w:val="22"/>
          <w:szCs w:val="22"/>
        </w:rPr>
      </w:pPr>
      <w:r w:rsidRPr="00935423">
        <w:rPr>
          <w:rFonts w:ascii="Source Sans Pro" w:hAnsi="Source Sans Pro" w:cs="Source Sans Pro"/>
          <w:color w:val="auto"/>
          <w:sz w:val="22"/>
          <w:szCs w:val="22"/>
        </w:rPr>
        <w:t>Mit einem TAV-Anteil von lediglich 12 % spielten internationale Investoren, wie bereits im Vorjahreszeitraum (1Q2024: 15 %), nur eine untergeordnete Rolle in der Gesamtheit der Top-7-Märkte. Aufgrund des geringen Gesamtvolumens und der niedrigen Transaktionsanzahl war ihr Anteil an einzelnen Standorten trotzdem sehr hoch.</w:t>
      </w:r>
      <w:r w:rsidRPr="0030746C" w:rsidDel="007D7673">
        <w:rPr>
          <w:rFonts w:ascii="Source Sans Pro" w:hAnsi="Source Sans Pro" w:cs="Source Sans Pro"/>
          <w:color w:val="auto"/>
          <w:sz w:val="22"/>
          <w:szCs w:val="22"/>
        </w:rPr>
        <w:t xml:space="preserve"> </w:t>
      </w:r>
    </w:p>
    <w:p w14:paraId="35EC5A6B" w14:textId="3D4126C3" w:rsidR="00B05185" w:rsidRDefault="00B05185" w:rsidP="002373F7">
      <w:pPr>
        <w:pStyle w:val="EinfAbs"/>
        <w:numPr>
          <w:ilvl w:val="0"/>
          <w:numId w:val="14"/>
        </w:numPr>
        <w:tabs>
          <w:tab w:val="left" w:pos="200"/>
        </w:tabs>
        <w:snapToGrid w:val="0"/>
        <w:spacing w:line="280" w:lineRule="exact"/>
        <w:jc w:val="both"/>
        <w:rPr>
          <w:rFonts w:ascii="Source Sans Pro" w:hAnsi="Source Sans Pro" w:cs="Source Sans Pro"/>
          <w:color w:val="auto"/>
          <w:sz w:val="22"/>
          <w:szCs w:val="22"/>
        </w:rPr>
      </w:pPr>
      <w:r w:rsidRPr="00B05185">
        <w:rPr>
          <w:rFonts w:ascii="Source Sans Pro" w:hAnsi="Source Sans Pro" w:cs="Source Sans Pro"/>
          <w:color w:val="auto"/>
          <w:sz w:val="22"/>
          <w:szCs w:val="22"/>
        </w:rPr>
        <w:t xml:space="preserve">Der größte TAV-Anteil entfiel mit 32 % auf </w:t>
      </w:r>
      <w:r w:rsidR="002373F7" w:rsidRPr="002373F7">
        <w:rPr>
          <w:rFonts w:ascii="Source Sans Pro" w:hAnsi="Source Sans Pro" w:cs="Source Sans Pro"/>
          <w:color w:val="auto"/>
          <w:sz w:val="22"/>
          <w:szCs w:val="22"/>
        </w:rPr>
        <w:t>Mixed-</w:t>
      </w:r>
      <w:proofErr w:type="spellStart"/>
      <w:r w:rsidR="002373F7" w:rsidRPr="002373F7">
        <w:rPr>
          <w:rFonts w:ascii="Source Sans Pro" w:hAnsi="Source Sans Pro" w:cs="Source Sans Pro"/>
          <w:color w:val="auto"/>
          <w:sz w:val="22"/>
          <w:szCs w:val="22"/>
        </w:rPr>
        <w:t>use</w:t>
      </w:r>
      <w:proofErr w:type="spellEnd"/>
      <w:r w:rsidR="002373F7" w:rsidRPr="002373F7">
        <w:rPr>
          <w:rFonts w:ascii="Source Sans Pro" w:hAnsi="Source Sans Pro" w:cs="Source Sans Pro"/>
          <w:color w:val="auto"/>
          <w:sz w:val="22"/>
          <w:szCs w:val="22"/>
        </w:rPr>
        <w:t>-Objekte</w:t>
      </w:r>
      <w:r w:rsidRPr="00B05185">
        <w:rPr>
          <w:rFonts w:ascii="Source Sans Pro" w:hAnsi="Source Sans Pro" w:cs="Source Sans Pro"/>
          <w:color w:val="auto"/>
          <w:sz w:val="22"/>
          <w:szCs w:val="22"/>
        </w:rPr>
        <w:t xml:space="preserve">, gefolgt von Büroimmobilien mit 28 %. In Hamburg machten Portfolio-Verkäufe, </w:t>
      </w:r>
      <w:r w:rsidR="002373F7" w:rsidRPr="00935423">
        <w:rPr>
          <w:rFonts w:ascii="Source Sans Pro" w:hAnsi="Source Sans Pro" w:cs="Source Sans Pro"/>
          <w:color w:val="auto"/>
          <w:sz w:val="22"/>
          <w:szCs w:val="22"/>
        </w:rPr>
        <w:t>ausschließlich</w:t>
      </w:r>
      <w:r>
        <w:rPr>
          <w:rFonts w:ascii="Source Sans Pro" w:hAnsi="Source Sans Pro" w:cs="Source Sans Pro"/>
          <w:color w:val="auto"/>
          <w:sz w:val="22"/>
          <w:szCs w:val="22"/>
        </w:rPr>
        <w:t xml:space="preserve"> durch die Transaktion von „Pflegen &amp; Wohnen“</w:t>
      </w:r>
      <w:r w:rsidRPr="00B05185">
        <w:rPr>
          <w:rFonts w:ascii="Source Sans Pro" w:hAnsi="Source Sans Pro" w:cs="Source Sans Pro"/>
          <w:color w:val="auto"/>
          <w:sz w:val="22"/>
          <w:szCs w:val="22"/>
        </w:rPr>
        <w:t>, 8</w:t>
      </w:r>
      <w:r w:rsidR="00801A08">
        <w:rPr>
          <w:rFonts w:ascii="Source Sans Pro" w:hAnsi="Source Sans Pro" w:cs="Source Sans Pro"/>
          <w:color w:val="auto"/>
          <w:sz w:val="22"/>
          <w:szCs w:val="22"/>
        </w:rPr>
        <w:t>6</w:t>
      </w:r>
      <w:r w:rsidRPr="00B05185">
        <w:rPr>
          <w:rFonts w:ascii="Source Sans Pro" w:hAnsi="Source Sans Pro" w:cs="Source Sans Pro"/>
          <w:color w:val="auto"/>
          <w:sz w:val="22"/>
          <w:szCs w:val="22"/>
        </w:rPr>
        <w:t xml:space="preserve"> % des Gesamtvolumens aus, während sie an anderen Standorten nur eine untergeordnete Rolle spielten. In Köln lag ihr Anteil bei 13 %, in München bei 6 %. In Berlin, Düsseldorf, Frankfurt und Stuttgart gab es keine Portfolio-Transaktionen.</w:t>
      </w:r>
    </w:p>
    <w:p w14:paraId="3175543C" w14:textId="4D9231CB" w:rsidR="006E1DD0" w:rsidRDefault="006E1DD0" w:rsidP="00B05185">
      <w:pPr>
        <w:pStyle w:val="EinfAbs"/>
        <w:numPr>
          <w:ilvl w:val="0"/>
          <w:numId w:val="14"/>
        </w:numPr>
        <w:tabs>
          <w:tab w:val="left" w:pos="200"/>
        </w:tabs>
        <w:snapToGrid w:val="0"/>
        <w:spacing w:line="280" w:lineRule="exact"/>
        <w:jc w:val="both"/>
        <w:rPr>
          <w:rFonts w:ascii="Source Sans Pro" w:hAnsi="Source Sans Pro" w:cs="Source Sans Pro"/>
          <w:color w:val="auto"/>
          <w:sz w:val="22"/>
          <w:szCs w:val="22"/>
        </w:rPr>
      </w:pPr>
      <w:r w:rsidRPr="006E1DD0">
        <w:rPr>
          <w:rFonts w:ascii="Source Sans Pro" w:hAnsi="Source Sans Pro" w:cs="Source Sans Pro"/>
          <w:color w:val="auto"/>
          <w:sz w:val="22"/>
          <w:szCs w:val="22"/>
        </w:rPr>
        <w:t>Aufgrund mangelnder Marktevidenz verharr</w:t>
      </w:r>
      <w:r w:rsidR="002A21DD">
        <w:rPr>
          <w:rFonts w:ascii="Source Sans Pro" w:hAnsi="Source Sans Pro" w:cs="Source Sans Pro"/>
          <w:color w:val="auto"/>
          <w:sz w:val="22"/>
          <w:szCs w:val="22"/>
        </w:rPr>
        <w:t>t</w:t>
      </w:r>
      <w:r w:rsidRPr="006E1DD0">
        <w:rPr>
          <w:rFonts w:ascii="Source Sans Pro" w:hAnsi="Source Sans Pro" w:cs="Source Sans Pro"/>
          <w:color w:val="auto"/>
          <w:sz w:val="22"/>
          <w:szCs w:val="22"/>
        </w:rPr>
        <w:t xml:space="preserve">en </w:t>
      </w:r>
      <w:r w:rsidRPr="00F33A67">
        <w:rPr>
          <w:rFonts w:ascii="Source Sans Pro" w:hAnsi="Source Sans Pro" w:cs="Source Sans Pro"/>
          <w:color w:val="auto"/>
          <w:sz w:val="22"/>
          <w:szCs w:val="22"/>
        </w:rPr>
        <w:t>die Renditen</w:t>
      </w:r>
      <w:r w:rsidR="007E0EDC" w:rsidRPr="00F33A67">
        <w:rPr>
          <w:rFonts w:ascii="Source Sans Pro" w:hAnsi="Source Sans Pro" w:cs="Source Sans Pro"/>
          <w:color w:val="auto"/>
          <w:sz w:val="22"/>
          <w:szCs w:val="22"/>
        </w:rPr>
        <w:t xml:space="preserve">, abgesehen von </w:t>
      </w:r>
      <w:r w:rsidRPr="00F33A67">
        <w:rPr>
          <w:rFonts w:ascii="Source Sans Pro" w:hAnsi="Source Sans Pro" w:cs="Source Sans Pro"/>
          <w:color w:val="auto"/>
          <w:sz w:val="22"/>
          <w:szCs w:val="22"/>
        </w:rPr>
        <w:t>minimal</w:t>
      </w:r>
      <w:r>
        <w:rPr>
          <w:rFonts w:ascii="Source Sans Pro" w:hAnsi="Source Sans Pro" w:cs="Source Sans Pro"/>
          <w:color w:val="auto"/>
          <w:sz w:val="22"/>
          <w:szCs w:val="22"/>
        </w:rPr>
        <w:t>en Schwankungen</w:t>
      </w:r>
      <w:r w:rsidR="007E0EDC">
        <w:rPr>
          <w:rFonts w:ascii="Source Sans Pro" w:hAnsi="Source Sans Pro" w:cs="Source Sans Pro"/>
          <w:color w:val="auto"/>
          <w:sz w:val="22"/>
          <w:szCs w:val="22"/>
        </w:rPr>
        <w:t>,</w:t>
      </w:r>
      <w:r>
        <w:rPr>
          <w:rFonts w:ascii="Source Sans Pro" w:hAnsi="Source Sans Pro" w:cs="Source Sans Pro"/>
          <w:color w:val="auto"/>
          <w:sz w:val="22"/>
          <w:szCs w:val="22"/>
        </w:rPr>
        <w:t xml:space="preserve"> </w:t>
      </w:r>
      <w:r w:rsidRPr="006E1DD0">
        <w:rPr>
          <w:rFonts w:ascii="Source Sans Pro" w:hAnsi="Source Sans Pro" w:cs="Source Sans Pro"/>
          <w:color w:val="auto"/>
          <w:sz w:val="22"/>
          <w:szCs w:val="22"/>
        </w:rPr>
        <w:t xml:space="preserve">auf dem Niveau des </w:t>
      </w:r>
      <w:r>
        <w:rPr>
          <w:rFonts w:ascii="Source Sans Pro" w:hAnsi="Source Sans Pro" w:cs="Source Sans Pro"/>
          <w:color w:val="auto"/>
          <w:sz w:val="22"/>
          <w:szCs w:val="22"/>
        </w:rPr>
        <w:t>V</w:t>
      </w:r>
      <w:r w:rsidRPr="006E1DD0">
        <w:rPr>
          <w:rFonts w:ascii="Source Sans Pro" w:hAnsi="Source Sans Pro" w:cs="Source Sans Pro"/>
          <w:color w:val="auto"/>
          <w:sz w:val="22"/>
          <w:szCs w:val="22"/>
        </w:rPr>
        <w:t>orjahres</w:t>
      </w:r>
      <w:r>
        <w:rPr>
          <w:rFonts w:ascii="Source Sans Pro" w:hAnsi="Source Sans Pro" w:cs="Source Sans Pro"/>
          <w:color w:val="auto"/>
          <w:sz w:val="22"/>
          <w:szCs w:val="22"/>
        </w:rPr>
        <w:t xml:space="preserve">: </w:t>
      </w:r>
      <w:r w:rsidRPr="00935423">
        <w:rPr>
          <w:rFonts w:ascii="Source Sans Pro" w:hAnsi="Source Sans Pro" w:cs="Source Sans Pro"/>
          <w:color w:val="auto"/>
          <w:sz w:val="22"/>
          <w:szCs w:val="22"/>
        </w:rPr>
        <w:t>Die Top-7-Spitzenrendite für Büroimmobilien</w:t>
      </w:r>
      <w:r w:rsidRPr="006E1DD0">
        <w:rPr>
          <w:rFonts w:ascii="Source Sans Pro" w:hAnsi="Source Sans Pro" w:cs="Source Sans Pro"/>
          <w:color w:val="auto"/>
          <w:sz w:val="22"/>
          <w:szCs w:val="22"/>
        </w:rPr>
        <w:t xml:space="preserve"> </w:t>
      </w:r>
      <w:r w:rsidR="007E0EDC">
        <w:rPr>
          <w:rFonts w:ascii="Source Sans Pro" w:hAnsi="Source Sans Pro" w:cs="Source Sans Pro"/>
          <w:color w:val="auto"/>
          <w:sz w:val="22"/>
          <w:szCs w:val="22"/>
        </w:rPr>
        <w:t>lag bei</w:t>
      </w:r>
      <w:r>
        <w:rPr>
          <w:rFonts w:ascii="Source Sans Pro" w:hAnsi="Source Sans Pro" w:cs="Source Sans Pro"/>
          <w:color w:val="auto"/>
          <w:sz w:val="22"/>
          <w:szCs w:val="22"/>
        </w:rPr>
        <w:t xml:space="preserve"> 4,43 %</w:t>
      </w:r>
      <w:r w:rsidR="008814E3">
        <w:rPr>
          <w:rFonts w:ascii="Source Sans Pro" w:hAnsi="Source Sans Pro" w:cs="Source Sans Pro"/>
          <w:color w:val="auto"/>
          <w:sz w:val="22"/>
          <w:szCs w:val="22"/>
        </w:rPr>
        <w:t xml:space="preserve"> (-0,04 %-Punkte)</w:t>
      </w:r>
      <w:r>
        <w:rPr>
          <w:rFonts w:ascii="Source Sans Pro" w:hAnsi="Source Sans Pro" w:cs="Source Sans Pro"/>
          <w:color w:val="auto"/>
          <w:sz w:val="22"/>
          <w:szCs w:val="22"/>
        </w:rPr>
        <w:t xml:space="preserve">, für </w:t>
      </w:r>
      <w:r w:rsidRPr="00935423">
        <w:rPr>
          <w:rFonts w:ascii="Source Sans Pro" w:hAnsi="Source Sans Pro" w:cs="Source Sans Pro"/>
          <w:color w:val="auto"/>
          <w:sz w:val="22"/>
          <w:szCs w:val="22"/>
        </w:rPr>
        <w:t>Industrie- und Logistikobjekte</w:t>
      </w:r>
      <w:r w:rsidR="008814E3" w:rsidRPr="00935423">
        <w:rPr>
          <w:rFonts w:ascii="Source Sans Pro" w:hAnsi="Source Sans Pro" w:cs="Source Sans Pro"/>
          <w:color w:val="auto"/>
          <w:sz w:val="22"/>
          <w:szCs w:val="22"/>
        </w:rPr>
        <w:t xml:space="preserve"> </w:t>
      </w:r>
      <w:r w:rsidR="007E0EDC" w:rsidRPr="00935423">
        <w:rPr>
          <w:rFonts w:ascii="Source Sans Pro" w:hAnsi="Source Sans Pro" w:cs="Source Sans Pro"/>
          <w:color w:val="auto"/>
          <w:sz w:val="22"/>
          <w:szCs w:val="22"/>
        </w:rPr>
        <w:t>bei</w:t>
      </w:r>
      <w:r w:rsidR="007E0EDC">
        <w:rPr>
          <w:rFonts w:ascii="Source Sans Pro" w:hAnsi="Source Sans Pro" w:cs="Source Sans Pro"/>
          <w:sz w:val="22"/>
          <w:szCs w:val="22"/>
        </w:rPr>
        <w:t xml:space="preserve"> </w:t>
      </w:r>
      <w:r w:rsidR="00A94903">
        <w:rPr>
          <w:rFonts w:ascii="Source Sans Pro" w:hAnsi="Source Sans Pro" w:cs="Source Sans Pro"/>
          <w:sz w:val="22"/>
          <w:szCs w:val="22"/>
        </w:rPr>
        <w:t>4,47</w:t>
      </w:r>
      <w:r w:rsidR="008814E3">
        <w:rPr>
          <w:rFonts w:ascii="Source Sans Pro" w:hAnsi="Source Sans Pro" w:cs="Source Sans Pro"/>
          <w:sz w:val="22"/>
          <w:szCs w:val="22"/>
        </w:rPr>
        <w:t xml:space="preserve"> % (+0,</w:t>
      </w:r>
      <w:r w:rsidR="00A94903">
        <w:rPr>
          <w:rFonts w:ascii="Source Sans Pro" w:hAnsi="Source Sans Pro" w:cs="Source Sans Pro"/>
          <w:sz w:val="22"/>
          <w:szCs w:val="22"/>
        </w:rPr>
        <w:t xml:space="preserve">01 </w:t>
      </w:r>
      <w:r w:rsidR="008814E3">
        <w:rPr>
          <w:rFonts w:ascii="Source Sans Pro" w:hAnsi="Source Sans Pro" w:cs="Source Sans Pro"/>
          <w:sz w:val="22"/>
          <w:szCs w:val="22"/>
        </w:rPr>
        <w:t xml:space="preserve">%-Punkte).  </w:t>
      </w:r>
      <w:r w:rsidRPr="006E1DD0">
        <w:rPr>
          <w:rFonts w:ascii="Source Sans Pro" w:hAnsi="Source Sans Pro" w:cs="Source Sans Pro"/>
          <w:color w:val="auto"/>
          <w:sz w:val="22"/>
          <w:szCs w:val="22"/>
        </w:rPr>
        <w:t xml:space="preserve">  </w:t>
      </w:r>
    </w:p>
    <w:p w14:paraId="1D0C489B" w14:textId="77777777" w:rsidR="00A62442" w:rsidRPr="00690558" w:rsidRDefault="00A62442" w:rsidP="00A62442">
      <w:pPr>
        <w:pStyle w:val="EinfAbs"/>
        <w:tabs>
          <w:tab w:val="left" w:pos="200"/>
        </w:tabs>
        <w:snapToGrid w:val="0"/>
        <w:spacing w:line="280" w:lineRule="exact"/>
        <w:ind w:left="360"/>
        <w:jc w:val="both"/>
        <w:rPr>
          <w:rFonts w:ascii="Source Sans Pro" w:hAnsi="Source Sans Pro" w:cs="Source Sans Pro"/>
          <w:color w:val="auto"/>
          <w:sz w:val="22"/>
          <w:szCs w:val="22"/>
        </w:rPr>
      </w:pPr>
    </w:p>
    <w:p w14:paraId="7919366B" w14:textId="036E543E" w:rsidR="0070445B" w:rsidRDefault="00575521" w:rsidP="004D6861">
      <w:pPr>
        <w:pStyle w:val="EinfAbs"/>
        <w:tabs>
          <w:tab w:val="left" w:pos="200"/>
        </w:tabs>
        <w:snapToGrid w:val="0"/>
        <w:spacing w:line="280" w:lineRule="exact"/>
        <w:jc w:val="both"/>
        <w:rPr>
          <w:rFonts w:ascii="Source Sans Pro" w:hAnsi="Source Sans Pro" w:cs="Source Sans Pro"/>
          <w:i/>
          <w:color w:val="auto"/>
          <w:sz w:val="22"/>
          <w:szCs w:val="22"/>
        </w:rPr>
      </w:pPr>
      <w:r w:rsidRPr="00935423">
        <w:rPr>
          <w:rFonts w:ascii="Source Sans Pro" w:hAnsi="Source Sans Pro" w:cs="Source Sans Pro"/>
          <w:color w:val="auto"/>
          <w:sz w:val="22"/>
          <w:szCs w:val="22"/>
        </w:rPr>
        <w:lastRenderedPageBreak/>
        <w:t>GPP-Sprecher</w:t>
      </w:r>
      <w:r w:rsidRPr="00F33A67">
        <w:rPr>
          <w:rFonts w:ascii="Source Sans Pro" w:hAnsi="Source Sans Pro" w:cs="Source Sans Pro"/>
          <w:b/>
          <w:color w:val="auto"/>
          <w:sz w:val="22"/>
          <w:szCs w:val="22"/>
        </w:rPr>
        <w:t xml:space="preserve"> Björn Holzwarth</w:t>
      </w:r>
      <w:r w:rsidRPr="00F33A67">
        <w:rPr>
          <w:rFonts w:ascii="Source Sans Pro" w:hAnsi="Source Sans Pro" w:cs="Source Sans Pro"/>
          <w:color w:val="auto"/>
          <w:sz w:val="22"/>
          <w:szCs w:val="22"/>
        </w:rPr>
        <w:t xml:space="preserve"> </w:t>
      </w:r>
      <w:r w:rsidR="00F33A67">
        <w:rPr>
          <w:rFonts w:ascii="Source Sans Pro" w:hAnsi="Source Sans Pro" w:cs="Source Sans Pro"/>
          <w:color w:val="auto"/>
          <w:sz w:val="22"/>
          <w:szCs w:val="22"/>
        </w:rPr>
        <w:t>erwarte</w:t>
      </w:r>
      <w:r w:rsidR="00623BB8" w:rsidRPr="00F33A67">
        <w:rPr>
          <w:rFonts w:ascii="Source Sans Pro" w:hAnsi="Source Sans Pro" w:cs="Source Sans Pro"/>
          <w:color w:val="auto"/>
          <w:sz w:val="22"/>
          <w:szCs w:val="22"/>
        </w:rPr>
        <w:t xml:space="preserve">t für den weiteren Jahresverlauf: </w:t>
      </w:r>
      <w:r w:rsidR="004D6861" w:rsidRPr="004D6861">
        <w:rPr>
          <w:rFonts w:ascii="Source Sans Pro" w:hAnsi="Source Sans Pro" w:cs="Source Sans Pro"/>
          <w:i/>
          <w:color w:val="auto"/>
          <w:sz w:val="22"/>
          <w:szCs w:val="22"/>
        </w:rPr>
        <w:t xml:space="preserve">„Der jüngste Anstieg der langfristigen Hypothekenzinsen und die stark gestiegenen </w:t>
      </w:r>
      <w:r w:rsidR="008D72C3" w:rsidRPr="004D6861">
        <w:rPr>
          <w:rFonts w:ascii="Source Sans Pro" w:hAnsi="Source Sans Pro" w:cs="Source Sans Pro"/>
          <w:i/>
          <w:color w:val="auto"/>
          <w:sz w:val="22"/>
          <w:szCs w:val="22"/>
        </w:rPr>
        <w:t>Bundesanleihen</w:t>
      </w:r>
      <w:r w:rsidR="008D72C3">
        <w:rPr>
          <w:rFonts w:ascii="Source Sans Pro" w:hAnsi="Source Sans Pro" w:cs="Source Sans Pro"/>
          <w:i/>
          <w:color w:val="auto"/>
          <w:sz w:val="22"/>
          <w:szCs w:val="22"/>
        </w:rPr>
        <w:t>-Renditen</w:t>
      </w:r>
      <w:r w:rsidR="004D6861" w:rsidRPr="004D6861">
        <w:rPr>
          <w:rFonts w:ascii="Source Sans Pro" w:hAnsi="Source Sans Pro" w:cs="Source Sans Pro"/>
          <w:i/>
          <w:color w:val="auto"/>
          <w:sz w:val="22"/>
          <w:szCs w:val="22"/>
        </w:rPr>
        <w:t xml:space="preserve"> deuten auf ein ungünstigeres Finanzierungsumfeld hin, </w:t>
      </w:r>
      <w:proofErr w:type="spellStart"/>
      <w:r w:rsidR="004D6861" w:rsidRPr="004D6861">
        <w:rPr>
          <w:rFonts w:ascii="Source Sans Pro" w:hAnsi="Source Sans Pro" w:cs="Source Sans Pro"/>
          <w:i/>
          <w:color w:val="auto"/>
          <w:sz w:val="22"/>
          <w:szCs w:val="22"/>
        </w:rPr>
        <w:t>das</w:t>
      </w:r>
      <w:proofErr w:type="spellEnd"/>
      <w:r w:rsidR="004D6861" w:rsidRPr="004D6861">
        <w:rPr>
          <w:rFonts w:ascii="Source Sans Pro" w:hAnsi="Source Sans Pro" w:cs="Source Sans Pro"/>
          <w:i/>
          <w:color w:val="auto"/>
          <w:sz w:val="22"/>
          <w:szCs w:val="22"/>
        </w:rPr>
        <w:t xml:space="preserve"> die Verkaufsaktivitäten belasten könnte. Gleichzeitig zwingen Liquiditätsengpässe viele Bestandshalter weiterhin zum Verkauf. Das beschlossene Finanzpaket hat die Wahrscheinlichkeit einer Renditekompression jedoch verringert, was insbesondere institutionelle Investoren dazu bewegen könnte, ihre Verkaufsstrategien zu überdenken. Aufgrund der Unsicherheiten rund um das Finanzpaket bleibt das Marktumfeld jedoch schwer vorhersehbar. Insgesamt rechnen wir im Jahresverlauf mit einer leichten Zunahme der Marktaktivitäten.</w:t>
      </w:r>
      <w:r w:rsidR="004D6861">
        <w:rPr>
          <w:rFonts w:ascii="Source Sans Pro" w:hAnsi="Source Sans Pro" w:cs="Source Sans Pro"/>
          <w:i/>
          <w:color w:val="auto"/>
          <w:sz w:val="22"/>
          <w:szCs w:val="22"/>
        </w:rPr>
        <w:t>“</w:t>
      </w:r>
    </w:p>
    <w:p w14:paraId="4675409E" w14:textId="77777777" w:rsidR="004D6861" w:rsidRDefault="004D6861" w:rsidP="004D6861">
      <w:pPr>
        <w:pStyle w:val="EinfAbs"/>
        <w:tabs>
          <w:tab w:val="left" w:pos="200"/>
        </w:tabs>
        <w:snapToGrid w:val="0"/>
        <w:spacing w:line="280" w:lineRule="exact"/>
        <w:jc w:val="both"/>
        <w:rPr>
          <w:rFonts w:ascii="Source Sans Pro" w:hAnsi="Source Sans Pro" w:cs="Source Sans Pro"/>
          <w:sz w:val="22"/>
          <w:szCs w:val="22"/>
        </w:rPr>
      </w:pPr>
    </w:p>
    <w:p w14:paraId="68FB312E" w14:textId="20DDD3F6" w:rsidR="00B05185" w:rsidRPr="00F33A67" w:rsidRDefault="00B05185" w:rsidP="00B05185">
      <w:pPr>
        <w:rPr>
          <w:rFonts w:ascii="Source Sans Pro" w:hAnsi="Source Sans Pro" w:cs="Source Sans Pro"/>
          <w:sz w:val="22"/>
          <w:szCs w:val="22"/>
        </w:rPr>
      </w:pPr>
      <w:r w:rsidRPr="00F33A67">
        <w:rPr>
          <w:rFonts w:ascii="Source Sans Pro" w:hAnsi="Source Sans Pro" w:cs="Source Sans Pro"/>
          <w:sz w:val="22"/>
          <w:szCs w:val="22"/>
        </w:rPr>
        <w:t xml:space="preserve">Zu German Property Partners (GPP) gehören Grossmann &amp; Berger Immobilien, </w:t>
      </w:r>
      <w:proofErr w:type="spellStart"/>
      <w:r w:rsidRPr="00F33A67">
        <w:rPr>
          <w:rFonts w:ascii="Source Sans Pro" w:hAnsi="Source Sans Pro" w:cs="Source Sans Pro"/>
          <w:sz w:val="22"/>
          <w:szCs w:val="22"/>
        </w:rPr>
        <w:t>Anteon</w:t>
      </w:r>
      <w:proofErr w:type="spellEnd"/>
      <w:r w:rsidRPr="00F33A67">
        <w:rPr>
          <w:rFonts w:ascii="Source Sans Pro" w:hAnsi="Source Sans Pro" w:cs="Source Sans Pro"/>
          <w:sz w:val="22"/>
          <w:szCs w:val="22"/>
        </w:rPr>
        <w:t xml:space="preserve"> Immobilien, GREIF &amp; CONTZEN Immobilien, </w:t>
      </w:r>
      <w:proofErr w:type="spellStart"/>
      <w:r w:rsidRPr="00F33A67">
        <w:rPr>
          <w:rFonts w:ascii="Source Sans Pro" w:hAnsi="Source Sans Pro" w:cs="Source Sans Pro"/>
          <w:sz w:val="22"/>
          <w:szCs w:val="22"/>
        </w:rPr>
        <w:t>blackolive</w:t>
      </w:r>
      <w:proofErr w:type="spellEnd"/>
      <w:r w:rsidRPr="00F33A67">
        <w:rPr>
          <w:rFonts w:ascii="Source Sans Pro" w:hAnsi="Source Sans Pro" w:cs="Source Sans Pro"/>
          <w:sz w:val="22"/>
          <w:szCs w:val="22"/>
        </w:rPr>
        <w:t xml:space="preserve"> und E &amp; G Immobilien.</w:t>
      </w:r>
    </w:p>
    <w:p w14:paraId="4F4EA542" w14:textId="77777777" w:rsidR="00B05185" w:rsidRPr="00623BB8" w:rsidRDefault="00B05185" w:rsidP="00991B64">
      <w:pPr>
        <w:pStyle w:val="EinfAbs"/>
        <w:tabs>
          <w:tab w:val="left" w:pos="200"/>
        </w:tabs>
        <w:snapToGrid w:val="0"/>
        <w:spacing w:line="280" w:lineRule="exact"/>
        <w:jc w:val="both"/>
        <w:rPr>
          <w:rFonts w:ascii="Source Sans Pro" w:hAnsi="Source Sans Pro" w:cs="Source Sans Pro"/>
          <w:i/>
          <w:color w:val="auto"/>
          <w:sz w:val="22"/>
          <w:szCs w:val="22"/>
        </w:rPr>
      </w:pPr>
    </w:p>
    <w:p w14:paraId="1ADAFE53" w14:textId="36F1619B" w:rsidR="00575521" w:rsidRDefault="00575521" w:rsidP="00991B64">
      <w:pPr>
        <w:pStyle w:val="EinfAbs"/>
        <w:tabs>
          <w:tab w:val="left" w:pos="200"/>
        </w:tabs>
        <w:snapToGrid w:val="0"/>
        <w:spacing w:line="280" w:lineRule="exact"/>
        <w:jc w:val="both"/>
        <w:rPr>
          <w:rFonts w:ascii="Source Sans Pro" w:hAnsi="Source Sans Pro" w:cs="Arial"/>
          <w:b/>
          <w:sz w:val="20"/>
        </w:rPr>
      </w:pPr>
    </w:p>
    <w:p w14:paraId="1554564B" w14:textId="4E392A9B" w:rsidR="00E822DD" w:rsidRPr="00EF0944" w:rsidRDefault="00E822DD" w:rsidP="00E822DD">
      <w:pPr>
        <w:widowControl w:val="0"/>
        <w:rPr>
          <w:rFonts w:ascii="Source Sans Pro" w:hAnsi="Source Sans Pro" w:cs="Arial"/>
          <w:sz w:val="16"/>
          <w:szCs w:val="16"/>
          <w:lang w:val="en-GB"/>
        </w:rPr>
      </w:pPr>
      <w:r>
        <w:rPr>
          <w:rFonts w:ascii="Source Sans Pro" w:hAnsi="Source Sans Pro" w:cs="Arial"/>
          <w:b/>
          <w:sz w:val="20"/>
          <w:lang w:val="en-GB"/>
        </w:rPr>
        <w:t>Top-7-Standorte | 1.</w:t>
      </w:r>
      <w:r w:rsidRPr="00161817">
        <w:rPr>
          <w:rFonts w:ascii="Source Sans Pro" w:hAnsi="Source Sans Pro" w:cs="Arial"/>
          <w:b/>
          <w:sz w:val="20"/>
          <w:lang w:val="en-GB"/>
        </w:rPr>
        <w:t xml:space="preserve"> </w:t>
      </w:r>
      <w:r w:rsidRPr="00161817">
        <w:rPr>
          <w:rFonts w:ascii="Source Sans Pro" w:hAnsi="Source Sans Pro" w:cs="Arial"/>
          <w:b/>
          <w:sz w:val="20"/>
        </w:rPr>
        <w:t>Quartal 202</w:t>
      </w:r>
      <w:r w:rsidR="00433CD9">
        <w:rPr>
          <w:rFonts w:ascii="Source Sans Pro" w:hAnsi="Source Sans Pro" w:cs="Arial"/>
          <w:b/>
          <w:sz w:val="20"/>
        </w:rPr>
        <w:t>5</w:t>
      </w:r>
    </w:p>
    <w:tbl>
      <w:tblPr>
        <w:tblStyle w:val="TableGrid2"/>
        <w:tblW w:w="0" w:type="auto"/>
        <w:tblLayout w:type="fixed"/>
        <w:tblLook w:val="04A0" w:firstRow="1" w:lastRow="0" w:firstColumn="1" w:lastColumn="0" w:noHBand="0" w:noVBand="1"/>
      </w:tblPr>
      <w:tblGrid>
        <w:gridCol w:w="1555"/>
        <w:gridCol w:w="1275"/>
        <w:gridCol w:w="993"/>
        <w:gridCol w:w="992"/>
        <w:gridCol w:w="992"/>
        <w:gridCol w:w="851"/>
        <w:gridCol w:w="850"/>
        <w:gridCol w:w="712"/>
        <w:gridCol w:w="1062"/>
      </w:tblGrid>
      <w:tr w:rsidR="00910B65" w:rsidRPr="00161817" w14:paraId="2B554485" w14:textId="77777777" w:rsidTr="00935423">
        <w:tc>
          <w:tcPr>
            <w:tcW w:w="1555" w:type="dxa"/>
          </w:tcPr>
          <w:p w14:paraId="5F7F2C19" w14:textId="77777777" w:rsidR="00E822DD" w:rsidRPr="00161817" w:rsidRDefault="00E822DD" w:rsidP="002B1BCA">
            <w:pPr>
              <w:widowControl w:val="0"/>
              <w:jc w:val="both"/>
              <w:rPr>
                <w:rFonts w:ascii="Source Sans Pro" w:hAnsi="Source Sans Pro" w:cs="Arial"/>
                <w:b/>
                <w:sz w:val="16"/>
                <w:szCs w:val="16"/>
              </w:rPr>
            </w:pPr>
          </w:p>
        </w:tc>
        <w:tc>
          <w:tcPr>
            <w:tcW w:w="1275" w:type="dxa"/>
          </w:tcPr>
          <w:p w14:paraId="2CCBA568"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HAM</w:t>
            </w:r>
          </w:p>
        </w:tc>
        <w:tc>
          <w:tcPr>
            <w:tcW w:w="993" w:type="dxa"/>
          </w:tcPr>
          <w:p w14:paraId="1B9556F5"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BER</w:t>
            </w:r>
          </w:p>
        </w:tc>
        <w:tc>
          <w:tcPr>
            <w:tcW w:w="992" w:type="dxa"/>
          </w:tcPr>
          <w:p w14:paraId="4B35B61E"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DUS</w:t>
            </w:r>
          </w:p>
        </w:tc>
        <w:tc>
          <w:tcPr>
            <w:tcW w:w="992" w:type="dxa"/>
          </w:tcPr>
          <w:p w14:paraId="669870D1"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CGN</w:t>
            </w:r>
          </w:p>
        </w:tc>
        <w:tc>
          <w:tcPr>
            <w:tcW w:w="851" w:type="dxa"/>
          </w:tcPr>
          <w:p w14:paraId="012CEC8E"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FFM</w:t>
            </w:r>
          </w:p>
        </w:tc>
        <w:tc>
          <w:tcPr>
            <w:tcW w:w="850" w:type="dxa"/>
          </w:tcPr>
          <w:p w14:paraId="337BA2E8"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STU</w:t>
            </w:r>
          </w:p>
        </w:tc>
        <w:tc>
          <w:tcPr>
            <w:tcW w:w="712" w:type="dxa"/>
          </w:tcPr>
          <w:p w14:paraId="29257547"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MUC</w:t>
            </w:r>
          </w:p>
        </w:tc>
        <w:tc>
          <w:tcPr>
            <w:tcW w:w="1062" w:type="dxa"/>
          </w:tcPr>
          <w:p w14:paraId="1D10DF5A" w14:textId="77777777" w:rsidR="00E822DD" w:rsidRPr="00161817" w:rsidRDefault="00E822DD" w:rsidP="002B1BCA">
            <w:pPr>
              <w:widowControl w:val="0"/>
              <w:jc w:val="center"/>
              <w:rPr>
                <w:rFonts w:ascii="Source Sans Pro" w:hAnsi="Source Sans Pro" w:cs="Arial"/>
                <w:b/>
                <w:sz w:val="16"/>
                <w:szCs w:val="16"/>
              </w:rPr>
            </w:pPr>
            <w:r w:rsidRPr="00161817">
              <w:rPr>
                <w:rFonts w:ascii="Source Sans Pro" w:hAnsi="Source Sans Pro" w:cs="Arial"/>
                <w:b/>
                <w:sz w:val="16"/>
                <w:szCs w:val="16"/>
              </w:rPr>
              <w:t>TOP-7</w:t>
            </w:r>
          </w:p>
        </w:tc>
      </w:tr>
      <w:tr w:rsidR="00910B65" w:rsidRPr="00161817" w14:paraId="277AF685" w14:textId="77777777" w:rsidTr="00935423">
        <w:tc>
          <w:tcPr>
            <w:tcW w:w="1555" w:type="dxa"/>
          </w:tcPr>
          <w:p w14:paraId="013262B9"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TAV</w:t>
            </w:r>
          </w:p>
          <w:p w14:paraId="0501F81D"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sz w:val="16"/>
                <w:szCs w:val="16"/>
              </w:rPr>
              <w:t>in Mio. €</w:t>
            </w:r>
          </w:p>
        </w:tc>
        <w:tc>
          <w:tcPr>
            <w:tcW w:w="1275" w:type="dxa"/>
            <w:vAlign w:val="center"/>
          </w:tcPr>
          <w:p w14:paraId="37982267" w14:textId="1A089F92" w:rsidR="00E822DD" w:rsidRPr="006061BF" w:rsidRDefault="00B62A24" w:rsidP="002B1BCA">
            <w:pPr>
              <w:widowControl w:val="0"/>
              <w:jc w:val="center"/>
              <w:rPr>
                <w:rFonts w:ascii="Source Sans Pro" w:hAnsi="Source Sans Pro" w:cs="Arial"/>
                <w:sz w:val="16"/>
                <w:szCs w:val="16"/>
              </w:rPr>
            </w:pPr>
            <w:r>
              <w:rPr>
                <w:rFonts w:ascii="Source Sans Pro" w:hAnsi="Source Sans Pro" w:cs="Arial"/>
                <w:sz w:val="16"/>
                <w:szCs w:val="16"/>
              </w:rPr>
              <w:t>440</w:t>
            </w:r>
          </w:p>
        </w:tc>
        <w:tc>
          <w:tcPr>
            <w:tcW w:w="993" w:type="dxa"/>
            <w:vAlign w:val="center"/>
          </w:tcPr>
          <w:p w14:paraId="626C970A" w14:textId="19B19B65" w:rsidR="00E822DD" w:rsidRPr="00B62A24" w:rsidRDefault="00B62A24" w:rsidP="002B1BCA">
            <w:pPr>
              <w:widowControl w:val="0"/>
              <w:jc w:val="center"/>
              <w:rPr>
                <w:rFonts w:ascii="Source Sans Pro" w:hAnsi="Source Sans Pro" w:cs="Arial"/>
                <w:sz w:val="16"/>
                <w:szCs w:val="16"/>
                <w:u w:val="single"/>
              </w:rPr>
            </w:pPr>
            <w:r w:rsidRPr="00B62A24">
              <w:rPr>
                <w:rFonts w:ascii="Source Sans Pro" w:hAnsi="Source Sans Pro" w:cs="Arial"/>
                <w:sz w:val="16"/>
                <w:szCs w:val="16"/>
                <w:u w:val="single"/>
              </w:rPr>
              <w:t>870</w:t>
            </w:r>
          </w:p>
        </w:tc>
        <w:tc>
          <w:tcPr>
            <w:tcW w:w="992" w:type="dxa"/>
            <w:vAlign w:val="center"/>
          </w:tcPr>
          <w:p w14:paraId="7AEB33B8" w14:textId="5C5C51E5" w:rsidR="00E822DD" w:rsidRPr="006061BF" w:rsidRDefault="00B62A24" w:rsidP="002B1BCA">
            <w:pPr>
              <w:widowControl w:val="0"/>
              <w:jc w:val="center"/>
              <w:rPr>
                <w:rFonts w:ascii="Source Sans Pro" w:hAnsi="Source Sans Pro" w:cs="Arial"/>
                <w:sz w:val="16"/>
                <w:szCs w:val="16"/>
              </w:rPr>
            </w:pPr>
            <w:r>
              <w:rPr>
                <w:rFonts w:ascii="Source Sans Pro" w:hAnsi="Source Sans Pro" w:cs="Arial"/>
                <w:sz w:val="16"/>
                <w:szCs w:val="16"/>
              </w:rPr>
              <w:t>74</w:t>
            </w:r>
          </w:p>
        </w:tc>
        <w:tc>
          <w:tcPr>
            <w:tcW w:w="992" w:type="dxa"/>
            <w:vAlign w:val="center"/>
          </w:tcPr>
          <w:p w14:paraId="2C2C18EC" w14:textId="129A281E" w:rsidR="00E822DD" w:rsidRPr="006061BF" w:rsidRDefault="00B62A24" w:rsidP="002B1BCA">
            <w:pPr>
              <w:widowControl w:val="0"/>
              <w:jc w:val="center"/>
              <w:rPr>
                <w:rFonts w:ascii="Source Sans Pro" w:hAnsi="Source Sans Pro" w:cs="Arial"/>
                <w:sz w:val="16"/>
                <w:szCs w:val="16"/>
              </w:rPr>
            </w:pPr>
            <w:r>
              <w:rPr>
                <w:rFonts w:ascii="Source Sans Pro" w:hAnsi="Source Sans Pro" w:cs="Arial"/>
                <w:sz w:val="16"/>
                <w:szCs w:val="16"/>
              </w:rPr>
              <w:t>150</w:t>
            </w:r>
          </w:p>
        </w:tc>
        <w:tc>
          <w:tcPr>
            <w:tcW w:w="851" w:type="dxa"/>
            <w:vAlign w:val="center"/>
          </w:tcPr>
          <w:p w14:paraId="32C4F1F9" w14:textId="5AA6DA8F" w:rsidR="00E822DD" w:rsidRPr="006061BF" w:rsidRDefault="00B62A24" w:rsidP="002B1BCA">
            <w:pPr>
              <w:widowControl w:val="0"/>
              <w:jc w:val="center"/>
              <w:rPr>
                <w:rFonts w:ascii="Source Sans Pro" w:hAnsi="Source Sans Pro" w:cs="Arial"/>
                <w:sz w:val="16"/>
                <w:szCs w:val="16"/>
              </w:rPr>
            </w:pPr>
            <w:r>
              <w:rPr>
                <w:rFonts w:ascii="Source Sans Pro" w:hAnsi="Source Sans Pro" w:cs="Arial"/>
                <w:sz w:val="16"/>
                <w:szCs w:val="16"/>
              </w:rPr>
              <w:t>105</w:t>
            </w:r>
          </w:p>
        </w:tc>
        <w:tc>
          <w:tcPr>
            <w:tcW w:w="850" w:type="dxa"/>
            <w:vAlign w:val="center"/>
          </w:tcPr>
          <w:p w14:paraId="4883A7F0" w14:textId="63B593C1" w:rsidR="00E822DD" w:rsidRPr="006061BF" w:rsidRDefault="00B62A24" w:rsidP="002B1BCA">
            <w:pPr>
              <w:widowControl w:val="0"/>
              <w:jc w:val="center"/>
              <w:rPr>
                <w:rFonts w:ascii="Source Sans Pro" w:hAnsi="Source Sans Pro" w:cs="Arial"/>
                <w:sz w:val="16"/>
                <w:szCs w:val="16"/>
              </w:rPr>
            </w:pPr>
            <w:r>
              <w:rPr>
                <w:rFonts w:ascii="Source Sans Pro" w:hAnsi="Source Sans Pro" w:cs="Arial"/>
                <w:sz w:val="16"/>
                <w:szCs w:val="16"/>
              </w:rPr>
              <w:t>40</w:t>
            </w:r>
          </w:p>
        </w:tc>
        <w:tc>
          <w:tcPr>
            <w:tcW w:w="712" w:type="dxa"/>
            <w:shd w:val="clear" w:color="auto" w:fill="auto"/>
            <w:vAlign w:val="center"/>
          </w:tcPr>
          <w:p w14:paraId="7DCE6ACA" w14:textId="2C6AD437" w:rsidR="00E822DD" w:rsidRPr="00B62A24" w:rsidRDefault="00921012" w:rsidP="004751D8">
            <w:pPr>
              <w:widowControl w:val="0"/>
              <w:jc w:val="center"/>
              <w:rPr>
                <w:rFonts w:ascii="Source Sans Pro" w:hAnsi="Source Sans Pro" w:cs="Arial"/>
                <w:sz w:val="16"/>
                <w:szCs w:val="16"/>
              </w:rPr>
            </w:pPr>
            <w:r>
              <w:rPr>
                <w:rFonts w:ascii="Source Sans Pro" w:hAnsi="Source Sans Pro" w:cs="Arial"/>
                <w:sz w:val="16"/>
                <w:szCs w:val="16"/>
              </w:rPr>
              <w:t>466</w:t>
            </w:r>
          </w:p>
        </w:tc>
        <w:tc>
          <w:tcPr>
            <w:tcW w:w="1062" w:type="dxa"/>
            <w:vAlign w:val="center"/>
          </w:tcPr>
          <w:p w14:paraId="72E3C7F5" w14:textId="0BC2FE38" w:rsidR="00E822DD" w:rsidRPr="006061BF" w:rsidRDefault="00D72472" w:rsidP="00D72472">
            <w:pPr>
              <w:widowControl w:val="0"/>
              <w:jc w:val="center"/>
              <w:rPr>
                <w:rFonts w:ascii="Source Sans Pro" w:hAnsi="Source Sans Pro" w:cs="Arial"/>
                <w:b/>
                <w:sz w:val="16"/>
                <w:szCs w:val="16"/>
              </w:rPr>
            </w:pPr>
            <w:r>
              <w:rPr>
                <w:rFonts w:ascii="Source Sans Pro" w:hAnsi="Source Sans Pro" w:cs="Arial"/>
                <w:b/>
                <w:sz w:val="16"/>
                <w:szCs w:val="16"/>
              </w:rPr>
              <w:t>2.144</w:t>
            </w:r>
          </w:p>
        </w:tc>
      </w:tr>
      <w:tr w:rsidR="00910B65" w:rsidRPr="00161817" w14:paraId="5C518F86" w14:textId="77777777" w:rsidTr="00935423">
        <w:tc>
          <w:tcPr>
            <w:tcW w:w="1555" w:type="dxa"/>
          </w:tcPr>
          <w:p w14:paraId="3350112D"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Veränderung</w:t>
            </w:r>
          </w:p>
          <w:p w14:paraId="21AFC26B" w14:textId="77777777" w:rsidR="00E822DD" w:rsidRPr="00161817" w:rsidRDefault="00E822DD" w:rsidP="002B1BCA">
            <w:pPr>
              <w:widowControl w:val="0"/>
              <w:jc w:val="both"/>
              <w:rPr>
                <w:rFonts w:ascii="Source Sans Pro" w:hAnsi="Source Sans Pro" w:cs="Arial"/>
                <w:b/>
                <w:sz w:val="16"/>
                <w:szCs w:val="16"/>
              </w:rPr>
            </w:pPr>
            <w:proofErr w:type="spellStart"/>
            <w:r w:rsidRPr="00161817">
              <w:rPr>
                <w:rFonts w:ascii="Source Sans Pro" w:hAnsi="Source Sans Pro" w:cs="Arial"/>
                <w:sz w:val="16"/>
                <w:szCs w:val="16"/>
              </w:rPr>
              <w:t>ggü</w:t>
            </w:r>
            <w:proofErr w:type="spellEnd"/>
            <w:r w:rsidRPr="00161817">
              <w:rPr>
                <w:rFonts w:ascii="Source Sans Pro" w:hAnsi="Source Sans Pro" w:cs="Arial"/>
                <w:sz w:val="16"/>
                <w:szCs w:val="16"/>
              </w:rPr>
              <w:t>. Vorjahr</w:t>
            </w:r>
            <w:r w:rsidRPr="00161817">
              <w:rPr>
                <w:rFonts w:ascii="Source Sans Pro" w:hAnsi="Source Sans Pro" w:cs="Arial"/>
                <w:b/>
                <w:sz w:val="16"/>
                <w:szCs w:val="16"/>
              </w:rPr>
              <w:t xml:space="preserve"> </w:t>
            </w:r>
            <w:r w:rsidRPr="00161817">
              <w:rPr>
                <w:rFonts w:ascii="Source Sans Pro" w:hAnsi="Source Sans Pro" w:cs="Arial"/>
                <w:sz w:val="16"/>
                <w:szCs w:val="16"/>
              </w:rPr>
              <w:t>in %</w:t>
            </w:r>
          </w:p>
        </w:tc>
        <w:tc>
          <w:tcPr>
            <w:tcW w:w="1275" w:type="dxa"/>
            <w:vAlign w:val="center"/>
          </w:tcPr>
          <w:p w14:paraId="6EC238E4" w14:textId="2EF71C6B" w:rsidR="00E822DD" w:rsidRPr="006061BF" w:rsidRDefault="004E6096" w:rsidP="002B1BCA">
            <w:pPr>
              <w:widowControl w:val="0"/>
              <w:jc w:val="center"/>
              <w:rPr>
                <w:rFonts w:ascii="Source Sans Pro" w:hAnsi="Source Sans Pro" w:cs="Arial"/>
                <w:sz w:val="16"/>
                <w:szCs w:val="16"/>
              </w:rPr>
            </w:pPr>
            <w:r>
              <w:rPr>
                <w:rFonts w:ascii="Source Sans Pro" w:hAnsi="Source Sans Pro" w:cs="Arial"/>
                <w:sz w:val="16"/>
                <w:szCs w:val="16"/>
              </w:rPr>
              <w:t>19</w:t>
            </w:r>
          </w:p>
        </w:tc>
        <w:tc>
          <w:tcPr>
            <w:tcW w:w="993" w:type="dxa"/>
            <w:vAlign w:val="center"/>
          </w:tcPr>
          <w:p w14:paraId="2C0D819C" w14:textId="248003AA" w:rsidR="00E822DD" w:rsidRPr="006061BF" w:rsidRDefault="004E6096" w:rsidP="002B1BCA">
            <w:pPr>
              <w:widowControl w:val="0"/>
              <w:jc w:val="center"/>
              <w:rPr>
                <w:rFonts w:ascii="Source Sans Pro" w:hAnsi="Source Sans Pro" w:cs="Arial"/>
                <w:sz w:val="16"/>
                <w:szCs w:val="16"/>
              </w:rPr>
            </w:pPr>
            <w:r>
              <w:rPr>
                <w:rFonts w:ascii="Source Sans Pro" w:hAnsi="Source Sans Pro" w:cs="Arial"/>
                <w:sz w:val="16"/>
                <w:szCs w:val="16"/>
              </w:rPr>
              <w:t>45</w:t>
            </w:r>
          </w:p>
        </w:tc>
        <w:tc>
          <w:tcPr>
            <w:tcW w:w="992" w:type="dxa"/>
            <w:vAlign w:val="center"/>
          </w:tcPr>
          <w:p w14:paraId="1D31FE0A" w14:textId="2BE4D3E7" w:rsidR="00E822DD" w:rsidRPr="006061BF" w:rsidRDefault="004E6096" w:rsidP="002B1BCA">
            <w:pPr>
              <w:widowControl w:val="0"/>
              <w:jc w:val="center"/>
              <w:rPr>
                <w:rFonts w:ascii="Source Sans Pro" w:hAnsi="Source Sans Pro" w:cs="Arial"/>
                <w:sz w:val="16"/>
                <w:szCs w:val="16"/>
              </w:rPr>
            </w:pPr>
            <w:r>
              <w:rPr>
                <w:rFonts w:ascii="Source Sans Pro" w:hAnsi="Source Sans Pro" w:cs="Arial"/>
                <w:sz w:val="16"/>
                <w:szCs w:val="16"/>
              </w:rPr>
              <w:t>-54</w:t>
            </w:r>
          </w:p>
        </w:tc>
        <w:tc>
          <w:tcPr>
            <w:tcW w:w="992" w:type="dxa"/>
            <w:vAlign w:val="center"/>
          </w:tcPr>
          <w:p w14:paraId="21EB7A3C" w14:textId="7D02949E" w:rsidR="00E822DD" w:rsidRPr="00921FB1" w:rsidRDefault="004E6096" w:rsidP="002B1BCA">
            <w:pPr>
              <w:widowControl w:val="0"/>
              <w:jc w:val="center"/>
              <w:rPr>
                <w:rFonts w:ascii="Source Sans Pro" w:hAnsi="Source Sans Pro" w:cs="Arial"/>
                <w:sz w:val="16"/>
                <w:szCs w:val="16"/>
                <w:u w:val="single"/>
              </w:rPr>
            </w:pPr>
            <w:r w:rsidRPr="00921FB1">
              <w:rPr>
                <w:rFonts w:ascii="Source Sans Pro" w:hAnsi="Source Sans Pro" w:cs="Arial"/>
                <w:sz w:val="16"/>
                <w:szCs w:val="16"/>
                <w:u w:val="single"/>
              </w:rPr>
              <w:t>200</w:t>
            </w:r>
          </w:p>
        </w:tc>
        <w:tc>
          <w:tcPr>
            <w:tcW w:w="851" w:type="dxa"/>
            <w:vAlign w:val="center"/>
          </w:tcPr>
          <w:p w14:paraId="61BD16E7" w14:textId="5971ED8F" w:rsidR="00E822DD" w:rsidRPr="006061BF" w:rsidRDefault="004E6096" w:rsidP="002B1BCA">
            <w:pPr>
              <w:widowControl w:val="0"/>
              <w:jc w:val="center"/>
              <w:rPr>
                <w:rFonts w:ascii="Source Sans Pro" w:hAnsi="Source Sans Pro" w:cs="Arial"/>
                <w:sz w:val="16"/>
                <w:szCs w:val="16"/>
              </w:rPr>
            </w:pPr>
            <w:r>
              <w:rPr>
                <w:rFonts w:ascii="Source Sans Pro" w:hAnsi="Source Sans Pro" w:cs="Arial"/>
                <w:sz w:val="16"/>
                <w:szCs w:val="16"/>
              </w:rPr>
              <w:t>-11</w:t>
            </w:r>
          </w:p>
        </w:tc>
        <w:tc>
          <w:tcPr>
            <w:tcW w:w="850" w:type="dxa"/>
            <w:vAlign w:val="center"/>
          </w:tcPr>
          <w:p w14:paraId="2E248438" w14:textId="1D8EBFC3" w:rsidR="00E822DD" w:rsidRPr="006061BF" w:rsidRDefault="005B1077" w:rsidP="002B1BCA">
            <w:pPr>
              <w:widowControl w:val="0"/>
              <w:jc w:val="center"/>
              <w:rPr>
                <w:rFonts w:ascii="Source Sans Pro" w:hAnsi="Source Sans Pro" w:cs="Arial"/>
                <w:sz w:val="16"/>
                <w:szCs w:val="16"/>
              </w:rPr>
            </w:pPr>
            <w:r>
              <w:rPr>
                <w:rFonts w:ascii="Source Sans Pro" w:hAnsi="Source Sans Pro" w:cs="Arial"/>
                <w:sz w:val="16"/>
                <w:szCs w:val="16"/>
              </w:rPr>
              <w:t>-</w:t>
            </w:r>
          </w:p>
        </w:tc>
        <w:tc>
          <w:tcPr>
            <w:tcW w:w="712" w:type="dxa"/>
            <w:shd w:val="clear" w:color="auto" w:fill="auto"/>
            <w:vAlign w:val="center"/>
          </w:tcPr>
          <w:p w14:paraId="49F12C30" w14:textId="3D720D9A" w:rsidR="00E822DD" w:rsidRPr="004E6096" w:rsidRDefault="00921012" w:rsidP="002B1BCA">
            <w:pPr>
              <w:widowControl w:val="0"/>
              <w:jc w:val="center"/>
              <w:rPr>
                <w:rFonts w:ascii="Source Sans Pro" w:hAnsi="Source Sans Pro" w:cs="Arial"/>
                <w:sz w:val="16"/>
                <w:szCs w:val="16"/>
              </w:rPr>
            </w:pPr>
            <w:r>
              <w:rPr>
                <w:rFonts w:ascii="Source Sans Pro" w:hAnsi="Source Sans Pro" w:cs="Arial"/>
                <w:sz w:val="16"/>
                <w:szCs w:val="16"/>
              </w:rPr>
              <w:t>-61</w:t>
            </w:r>
          </w:p>
        </w:tc>
        <w:tc>
          <w:tcPr>
            <w:tcW w:w="1062" w:type="dxa"/>
            <w:vAlign w:val="center"/>
          </w:tcPr>
          <w:p w14:paraId="44391118" w14:textId="0453D1DC" w:rsidR="00E822DD" w:rsidRPr="006061BF" w:rsidRDefault="004E6096" w:rsidP="00690558">
            <w:pPr>
              <w:widowControl w:val="0"/>
              <w:jc w:val="center"/>
              <w:rPr>
                <w:rFonts w:ascii="Source Sans Pro" w:hAnsi="Source Sans Pro" w:cs="Arial"/>
                <w:b/>
                <w:sz w:val="16"/>
                <w:szCs w:val="16"/>
              </w:rPr>
            </w:pPr>
            <w:r>
              <w:rPr>
                <w:rFonts w:ascii="Source Sans Pro" w:hAnsi="Source Sans Pro" w:cs="Arial"/>
                <w:b/>
                <w:sz w:val="16"/>
                <w:szCs w:val="16"/>
              </w:rPr>
              <w:t>-</w:t>
            </w:r>
            <w:r w:rsidR="00690558">
              <w:rPr>
                <w:rFonts w:ascii="Source Sans Pro" w:hAnsi="Source Sans Pro" w:cs="Arial"/>
                <w:b/>
                <w:sz w:val="16"/>
                <w:szCs w:val="16"/>
              </w:rPr>
              <w:t>1</w:t>
            </w:r>
            <w:r w:rsidR="00D93233">
              <w:rPr>
                <w:rFonts w:ascii="Source Sans Pro" w:hAnsi="Source Sans Pro" w:cs="Arial"/>
                <w:b/>
                <w:sz w:val="16"/>
                <w:szCs w:val="16"/>
              </w:rPr>
              <w:t>4</w:t>
            </w:r>
          </w:p>
        </w:tc>
      </w:tr>
      <w:tr w:rsidR="00910B65" w:rsidRPr="00161817" w14:paraId="0E2C9494" w14:textId="77777777" w:rsidTr="00935423">
        <w:tc>
          <w:tcPr>
            <w:tcW w:w="1555" w:type="dxa"/>
          </w:tcPr>
          <w:p w14:paraId="3C8BE28D" w14:textId="3F43E0C8" w:rsidR="00E822DD" w:rsidRPr="00161817" w:rsidRDefault="00E822DD" w:rsidP="006061BF">
            <w:pPr>
              <w:widowControl w:val="0"/>
              <w:jc w:val="both"/>
              <w:rPr>
                <w:rFonts w:ascii="Source Sans Pro" w:hAnsi="Source Sans Pro" w:cs="Arial"/>
                <w:b/>
                <w:sz w:val="16"/>
                <w:szCs w:val="16"/>
              </w:rPr>
            </w:pPr>
            <w:r w:rsidRPr="00161817">
              <w:rPr>
                <w:rFonts w:ascii="Source Sans Pro" w:hAnsi="Source Sans Pro" w:cs="Arial"/>
                <w:b/>
                <w:sz w:val="16"/>
                <w:szCs w:val="16"/>
              </w:rPr>
              <w:t>Spitzenrendite* Büro</w:t>
            </w:r>
            <w:r w:rsidR="006061BF">
              <w:rPr>
                <w:rFonts w:ascii="Source Sans Pro" w:hAnsi="Source Sans Pro" w:cs="Arial"/>
                <w:b/>
                <w:sz w:val="16"/>
                <w:szCs w:val="16"/>
              </w:rPr>
              <w:t xml:space="preserve"> </w:t>
            </w:r>
            <w:r w:rsidRPr="00161817">
              <w:rPr>
                <w:rFonts w:ascii="Source Sans Pro" w:hAnsi="Source Sans Pro" w:cs="Arial"/>
                <w:sz w:val="16"/>
                <w:szCs w:val="16"/>
              </w:rPr>
              <w:t>in %</w:t>
            </w:r>
          </w:p>
        </w:tc>
        <w:tc>
          <w:tcPr>
            <w:tcW w:w="1275" w:type="dxa"/>
            <w:vAlign w:val="center"/>
          </w:tcPr>
          <w:p w14:paraId="5D7F0600" w14:textId="42D14DDF" w:rsidR="00E822DD" w:rsidRPr="006061BF" w:rsidRDefault="004E6096" w:rsidP="002B1BCA">
            <w:pPr>
              <w:widowControl w:val="0"/>
              <w:jc w:val="center"/>
              <w:rPr>
                <w:rFonts w:ascii="Source Sans Pro" w:hAnsi="Source Sans Pro" w:cs="Arial"/>
                <w:sz w:val="16"/>
                <w:szCs w:val="16"/>
              </w:rPr>
            </w:pPr>
            <w:r>
              <w:rPr>
                <w:rFonts w:ascii="Source Sans Pro" w:hAnsi="Source Sans Pro" w:cs="Arial"/>
                <w:sz w:val="16"/>
                <w:szCs w:val="16"/>
              </w:rPr>
              <w:t>4,50</w:t>
            </w:r>
          </w:p>
        </w:tc>
        <w:tc>
          <w:tcPr>
            <w:tcW w:w="993" w:type="dxa"/>
            <w:vAlign w:val="center"/>
          </w:tcPr>
          <w:p w14:paraId="6D16127A" w14:textId="6F5A8A52" w:rsidR="00E822DD" w:rsidRPr="006061BF" w:rsidRDefault="004E6096" w:rsidP="002B1BCA">
            <w:pPr>
              <w:widowControl w:val="0"/>
              <w:jc w:val="center"/>
              <w:rPr>
                <w:rFonts w:ascii="Source Sans Pro" w:hAnsi="Source Sans Pro" w:cs="Arial"/>
                <w:sz w:val="16"/>
                <w:szCs w:val="16"/>
              </w:rPr>
            </w:pPr>
            <w:r>
              <w:rPr>
                <w:rFonts w:ascii="Source Sans Pro" w:hAnsi="Source Sans Pro" w:cs="Arial"/>
                <w:sz w:val="16"/>
                <w:szCs w:val="16"/>
              </w:rPr>
              <w:t>4,40</w:t>
            </w:r>
          </w:p>
        </w:tc>
        <w:tc>
          <w:tcPr>
            <w:tcW w:w="992" w:type="dxa"/>
            <w:vAlign w:val="center"/>
          </w:tcPr>
          <w:p w14:paraId="02CFC26B" w14:textId="3AD62392" w:rsidR="00E822DD" w:rsidRPr="006061BF" w:rsidRDefault="004E6096" w:rsidP="002B1BCA">
            <w:pPr>
              <w:widowControl w:val="0"/>
              <w:jc w:val="center"/>
              <w:rPr>
                <w:rFonts w:ascii="Source Sans Pro" w:hAnsi="Source Sans Pro" w:cs="Arial"/>
                <w:sz w:val="16"/>
                <w:szCs w:val="16"/>
              </w:rPr>
            </w:pPr>
            <w:r>
              <w:rPr>
                <w:rFonts w:ascii="Source Sans Pro" w:hAnsi="Source Sans Pro" w:cs="Arial"/>
                <w:sz w:val="16"/>
                <w:szCs w:val="16"/>
              </w:rPr>
              <w:t>4,40</w:t>
            </w:r>
          </w:p>
        </w:tc>
        <w:tc>
          <w:tcPr>
            <w:tcW w:w="992" w:type="dxa"/>
            <w:vAlign w:val="center"/>
          </w:tcPr>
          <w:p w14:paraId="77622C27" w14:textId="54BF26A3" w:rsidR="00E822DD" w:rsidRPr="006061BF" w:rsidRDefault="004E6096" w:rsidP="002B1BCA">
            <w:pPr>
              <w:widowControl w:val="0"/>
              <w:jc w:val="center"/>
              <w:rPr>
                <w:rFonts w:ascii="Source Sans Pro" w:hAnsi="Source Sans Pro" w:cs="Arial"/>
                <w:sz w:val="16"/>
                <w:szCs w:val="16"/>
              </w:rPr>
            </w:pPr>
            <w:r>
              <w:rPr>
                <w:rFonts w:ascii="Source Sans Pro" w:hAnsi="Source Sans Pro" w:cs="Arial"/>
                <w:sz w:val="16"/>
                <w:szCs w:val="16"/>
              </w:rPr>
              <w:t>4,40</w:t>
            </w:r>
          </w:p>
        </w:tc>
        <w:tc>
          <w:tcPr>
            <w:tcW w:w="851" w:type="dxa"/>
            <w:vAlign w:val="center"/>
          </w:tcPr>
          <w:p w14:paraId="0C44D799" w14:textId="3C79F7A3" w:rsidR="00E822DD" w:rsidRPr="006061BF" w:rsidRDefault="004E6096" w:rsidP="002B1BCA">
            <w:pPr>
              <w:widowControl w:val="0"/>
              <w:jc w:val="center"/>
              <w:rPr>
                <w:rFonts w:ascii="Source Sans Pro" w:hAnsi="Source Sans Pro" w:cs="Arial"/>
                <w:sz w:val="16"/>
                <w:szCs w:val="16"/>
                <w:u w:val="single"/>
              </w:rPr>
            </w:pPr>
            <w:r>
              <w:rPr>
                <w:rFonts w:ascii="Source Sans Pro" w:hAnsi="Source Sans Pro" w:cs="Arial"/>
                <w:sz w:val="16"/>
                <w:szCs w:val="16"/>
                <w:u w:val="single"/>
              </w:rPr>
              <w:t>4,60</w:t>
            </w:r>
          </w:p>
        </w:tc>
        <w:tc>
          <w:tcPr>
            <w:tcW w:w="850" w:type="dxa"/>
            <w:vAlign w:val="center"/>
          </w:tcPr>
          <w:p w14:paraId="480FC3B3" w14:textId="33A12541" w:rsidR="00E822DD" w:rsidRPr="0043217C" w:rsidRDefault="0043217C" w:rsidP="002B1BCA">
            <w:pPr>
              <w:widowControl w:val="0"/>
              <w:jc w:val="center"/>
              <w:rPr>
                <w:rFonts w:ascii="Source Sans Pro" w:hAnsi="Source Sans Pro" w:cs="Arial"/>
                <w:sz w:val="16"/>
                <w:szCs w:val="16"/>
              </w:rPr>
            </w:pPr>
            <w:r w:rsidRPr="0043217C">
              <w:rPr>
                <w:rFonts w:ascii="Source Sans Pro" w:hAnsi="Source Sans Pro" w:cs="Arial"/>
                <w:sz w:val="16"/>
                <w:szCs w:val="16"/>
              </w:rPr>
              <w:t>4,50</w:t>
            </w:r>
          </w:p>
        </w:tc>
        <w:tc>
          <w:tcPr>
            <w:tcW w:w="712" w:type="dxa"/>
            <w:shd w:val="clear" w:color="auto" w:fill="auto"/>
            <w:vAlign w:val="center"/>
          </w:tcPr>
          <w:p w14:paraId="1FD38FEF" w14:textId="2950E038" w:rsidR="00E822DD" w:rsidRPr="006061BF" w:rsidRDefault="0043217C" w:rsidP="002B1BCA">
            <w:pPr>
              <w:widowControl w:val="0"/>
              <w:jc w:val="center"/>
              <w:rPr>
                <w:rFonts w:ascii="Source Sans Pro" w:hAnsi="Source Sans Pro" w:cs="Arial"/>
                <w:sz w:val="16"/>
                <w:szCs w:val="16"/>
              </w:rPr>
            </w:pPr>
            <w:r>
              <w:rPr>
                <w:rFonts w:ascii="Source Sans Pro" w:hAnsi="Source Sans Pro" w:cs="Arial"/>
                <w:sz w:val="16"/>
                <w:szCs w:val="16"/>
              </w:rPr>
              <w:t>4,20</w:t>
            </w:r>
          </w:p>
        </w:tc>
        <w:tc>
          <w:tcPr>
            <w:tcW w:w="1062" w:type="dxa"/>
            <w:vAlign w:val="center"/>
          </w:tcPr>
          <w:p w14:paraId="12457880" w14:textId="6C427BAE" w:rsidR="00E822DD" w:rsidRPr="006061BF" w:rsidRDefault="0043217C" w:rsidP="002B1BCA">
            <w:pPr>
              <w:widowControl w:val="0"/>
              <w:jc w:val="center"/>
              <w:rPr>
                <w:rFonts w:ascii="Source Sans Pro" w:hAnsi="Source Sans Pro" w:cs="Arial"/>
                <w:b/>
                <w:sz w:val="16"/>
                <w:szCs w:val="16"/>
              </w:rPr>
            </w:pPr>
            <w:r>
              <w:rPr>
                <w:rFonts w:ascii="Source Sans Pro" w:hAnsi="Source Sans Pro" w:cs="Arial"/>
                <w:b/>
                <w:sz w:val="16"/>
                <w:szCs w:val="16"/>
              </w:rPr>
              <w:t>4,43</w:t>
            </w:r>
          </w:p>
        </w:tc>
      </w:tr>
      <w:tr w:rsidR="00910B65" w:rsidRPr="00161817" w14:paraId="5B819F04" w14:textId="77777777" w:rsidTr="00935423">
        <w:tc>
          <w:tcPr>
            <w:tcW w:w="1555" w:type="dxa"/>
          </w:tcPr>
          <w:p w14:paraId="345B2B43" w14:textId="77777777" w:rsidR="006061BF" w:rsidRDefault="00E822DD" w:rsidP="002B1BCA">
            <w:pPr>
              <w:widowControl w:val="0"/>
              <w:jc w:val="both"/>
              <w:rPr>
                <w:rFonts w:ascii="Source Sans Pro" w:hAnsi="Source Sans Pro" w:cs="Arial"/>
                <w:b/>
                <w:sz w:val="16"/>
                <w:szCs w:val="16"/>
              </w:rPr>
            </w:pPr>
            <w:proofErr w:type="spellStart"/>
            <w:r w:rsidRPr="00161817">
              <w:rPr>
                <w:rFonts w:ascii="Source Sans Pro" w:hAnsi="Source Sans Pro" w:cs="Arial"/>
                <w:b/>
                <w:sz w:val="16"/>
                <w:szCs w:val="16"/>
              </w:rPr>
              <w:t>ggü</w:t>
            </w:r>
            <w:proofErr w:type="spellEnd"/>
            <w:r w:rsidRPr="00161817">
              <w:rPr>
                <w:rFonts w:ascii="Source Sans Pro" w:hAnsi="Source Sans Pro" w:cs="Arial"/>
                <w:b/>
                <w:sz w:val="16"/>
                <w:szCs w:val="16"/>
              </w:rPr>
              <w:t>. Vorjahr</w:t>
            </w:r>
          </w:p>
          <w:p w14:paraId="5F4CAF94" w14:textId="4A9AEBF6"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sz w:val="16"/>
                <w:szCs w:val="16"/>
              </w:rPr>
              <w:t>in %-Pkt.</w:t>
            </w:r>
          </w:p>
        </w:tc>
        <w:tc>
          <w:tcPr>
            <w:tcW w:w="1275" w:type="dxa"/>
            <w:vAlign w:val="center"/>
          </w:tcPr>
          <w:p w14:paraId="1BF8BB5A" w14:textId="33D0CF8B" w:rsidR="00E822DD" w:rsidRPr="0043217C" w:rsidRDefault="0043217C" w:rsidP="002B1BCA">
            <w:pPr>
              <w:widowControl w:val="0"/>
              <w:jc w:val="center"/>
              <w:rPr>
                <w:rFonts w:ascii="Source Sans Pro" w:hAnsi="Source Sans Pro" w:cs="Arial"/>
                <w:sz w:val="16"/>
                <w:szCs w:val="16"/>
              </w:rPr>
            </w:pPr>
            <w:r w:rsidRPr="0043217C">
              <w:rPr>
                <w:rFonts w:ascii="Source Sans Pro" w:hAnsi="Source Sans Pro" w:cs="Arial"/>
                <w:sz w:val="16"/>
                <w:szCs w:val="16"/>
              </w:rPr>
              <w:t>0,00</w:t>
            </w:r>
          </w:p>
        </w:tc>
        <w:tc>
          <w:tcPr>
            <w:tcW w:w="993" w:type="dxa"/>
            <w:vAlign w:val="center"/>
          </w:tcPr>
          <w:p w14:paraId="30382577" w14:textId="537708AF" w:rsidR="00E822DD" w:rsidRPr="006061BF" w:rsidRDefault="0043217C"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992" w:type="dxa"/>
            <w:vAlign w:val="center"/>
          </w:tcPr>
          <w:p w14:paraId="750221CA" w14:textId="24FCCE5E" w:rsidR="00E822DD" w:rsidRPr="006061BF" w:rsidRDefault="004751D8"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992" w:type="dxa"/>
            <w:vAlign w:val="center"/>
          </w:tcPr>
          <w:p w14:paraId="6DD7413C" w14:textId="7FE0B929" w:rsidR="00E822DD" w:rsidRPr="006061BF" w:rsidRDefault="004751D8"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851" w:type="dxa"/>
            <w:vAlign w:val="center"/>
          </w:tcPr>
          <w:p w14:paraId="75EE8890" w14:textId="699671C1" w:rsidR="00E822DD" w:rsidRPr="006061BF" w:rsidRDefault="004751D8"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850" w:type="dxa"/>
            <w:vAlign w:val="center"/>
          </w:tcPr>
          <w:p w14:paraId="5AFA008F" w14:textId="2CDA586A" w:rsidR="00E822DD" w:rsidRPr="004751D8" w:rsidRDefault="004751D8" w:rsidP="002B1BCA">
            <w:pPr>
              <w:widowControl w:val="0"/>
              <w:jc w:val="center"/>
              <w:rPr>
                <w:rFonts w:ascii="Source Sans Pro" w:hAnsi="Source Sans Pro" w:cs="Arial"/>
                <w:sz w:val="16"/>
                <w:szCs w:val="16"/>
              </w:rPr>
            </w:pPr>
            <w:r w:rsidRPr="004751D8">
              <w:rPr>
                <w:rFonts w:ascii="Source Sans Pro" w:hAnsi="Source Sans Pro" w:cs="Arial"/>
                <w:sz w:val="16"/>
                <w:szCs w:val="16"/>
              </w:rPr>
              <w:t>-0,10</w:t>
            </w:r>
          </w:p>
        </w:tc>
        <w:tc>
          <w:tcPr>
            <w:tcW w:w="712" w:type="dxa"/>
            <w:shd w:val="clear" w:color="auto" w:fill="auto"/>
            <w:vAlign w:val="center"/>
          </w:tcPr>
          <w:p w14:paraId="43F45EB7" w14:textId="4114E34F" w:rsidR="00E822DD" w:rsidRPr="004751D8" w:rsidRDefault="004751D8" w:rsidP="002B1BCA">
            <w:pPr>
              <w:widowControl w:val="0"/>
              <w:jc w:val="center"/>
              <w:rPr>
                <w:rFonts w:ascii="Source Sans Pro" w:hAnsi="Source Sans Pro" w:cs="Arial"/>
                <w:sz w:val="16"/>
                <w:szCs w:val="16"/>
              </w:rPr>
            </w:pPr>
            <w:r w:rsidRPr="004751D8">
              <w:rPr>
                <w:rFonts w:ascii="Source Sans Pro" w:hAnsi="Source Sans Pro" w:cs="Arial"/>
                <w:sz w:val="16"/>
                <w:szCs w:val="16"/>
              </w:rPr>
              <w:t>-0,20</w:t>
            </w:r>
          </w:p>
        </w:tc>
        <w:tc>
          <w:tcPr>
            <w:tcW w:w="1062" w:type="dxa"/>
            <w:vAlign w:val="center"/>
          </w:tcPr>
          <w:p w14:paraId="10E27A7C" w14:textId="3F7E67C0" w:rsidR="00E822DD" w:rsidRPr="006061BF" w:rsidRDefault="004751D8" w:rsidP="002B1BCA">
            <w:pPr>
              <w:widowControl w:val="0"/>
              <w:jc w:val="center"/>
              <w:rPr>
                <w:rFonts w:ascii="Source Sans Pro" w:hAnsi="Source Sans Pro" w:cs="Arial"/>
                <w:b/>
                <w:sz w:val="16"/>
                <w:szCs w:val="16"/>
              </w:rPr>
            </w:pPr>
            <w:r>
              <w:rPr>
                <w:rFonts w:ascii="Source Sans Pro" w:hAnsi="Source Sans Pro" w:cs="Arial"/>
                <w:b/>
                <w:sz w:val="16"/>
                <w:szCs w:val="16"/>
              </w:rPr>
              <w:t>-0,04</w:t>
            </w:r>
          </w:p>
        </w:tc>
      </w:tr>
      <w:tr w:rsidR="00910B65" w:rsidRPr="00161817" w14:paraId="2411BA51" w14:textId="77777777" w:rsidTr="00935423">
        <w:tc>
          <w:tcPr>
            <w:tcW w:w="1555" w:type="dxa"/>
          </w:tcPr>
          <w:p w14:paraId="16BE5098"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 xml:space="preserve">Spitzenrendite* Logistik </w:t>
            </w:r>
            <w:r w:rsidRPr="00161817">
              <w:rPr>
                <w:rFonts w:ascii="Source Sans Pro" w:hAnsi="Source Sans Pro" w:cs="Arial"/>
                <w:sz w:val="16"/>
                <w:szCs w:val="16"/>
              </w:rPr>
              <w:t>in %</w:t>
            </w:r>
          </w:p>
        </w:tc>
        <w:tc>
          <w:tcPr>
            <w:tcW w:w="1275" w:type="dxa"/>
            <w:vAlign w:val="center"/>
          </w:tcPr>
          <w:p w14:paraId="1E269F87" w14:textId="5F7B1310" w:rsidR="00E822DD" w:rsidRPr="004751D8" w:rsidRDefault="004751D8" w:rsidP="002B1BCA">
            <w:pPr>
              <w:widowControl w:val="0"/>
              <w:jc w:val="center"/>
              <w:rPr>
                <w:rFonts w:ascii="Source Sans Pro" w:hAnsi="Source Sans Pro" w:cs="Arial"/>
                <w:sz w:val="16"/>
                <w:szCs w:val="16"/>
              </w:rPr>
            </w:pPr>
            <w:r w:rsidRPr="004751D8">
              <w:rPr>
                <w:rFonts w:ascii="Source Sans Pro" w:hAnsi="Source Sans Pro" w:cs="Arial"/>
                <w:sz w:val="16"/>
                <w:szCs w:val="16"/>
              </w:rPr>
              <w:t>4,50</w:t>
            </w:r>
          </w:p>
        </w:tc>
        <w:tc>
          <w:tcPr>
            <w:tcW w:w="993" w:type="dxa"/>
            <w:vAlign w:val="center"/>
          </w:tcPr>
          <w:p w14:paraId="4AC2BC62" w14:textId="0A38831C" w:rsidR="00E822DD" w:rsidRPr="004751D8" w:rsidRDefault="004751D8" w:rsidP="002B1BCA">
            <w:pPr>
              <w:widowControl w:val="0"/>
              <w:jc w:val="center"/>
              <w:rPr>
                <w:rFonts w:ascii="Source Sans Pro" w:hAnsi="Source Sans Pro" w:cs="Arial"/>
                <w:sz w:val="16"/>
                <w:szCs w:val="16"/>
              </w:rPr>
            </w:pPr>
            <w:r w:rsidRPr="004751D8">
              <w:rPr>
                <w:rFonts w:ascii="Source Sans Pro" w:hAnsi="Source Sans Pro" w:cs="Arial"/>
                <w:sz w:val="16"/>
                <w:szCs w:val="16"/>
              </w:rPr>
              <w:t>4,40</w:t>
            </w:r>
          </w:p>
        </w:tc>
        <w:tc>
          <w:tcPr>
            <w:tcW w:w="992" w:type="dxa"/>
            <w:vAlign w:val="center"/>
          </w:tcPr>
          <w:p w14:paraId="2BC1DA3D" w14:textId="2FB19E98" w:rsidR="00E822DD" w:rsidRPr="004751D8" w:rsidRDefault="004751D8" w:rsidP="002B1BCA">
            <w:pPr>
              <w:widowControl w:val="0"/>
              <w:jc w:val="center"/>
              <w:rPr>
                <w:rFonts w:ascii="Source Sans Pro" w:hAnsi="Source Sans Pro" w:cs="Arial"/>
                <w:sz w:val="16"/>
                <w:szCs w:val="16"/>
                <w:u w:val="single"/>
              </w:rPr>
            </w:pPr>
            <w:r w:rsidRPr="004751D8">
              <w:rPr>
                <w:rFonts w:ascii="Source Sans Pro" w:hAnsi="Source Sans Pro" w:cs="Arial"/>
                <w:sz w:val="16"/>
                <w:szCs w:val="16"/>
                <w:u w:val="single"/>
              </w:rPr>
              <w:t>4,60</w:t>
            </w:r>
          </w:p>
        </w:tc>
        <w:tc>
          <w:tcPr>
            <w:tcW w:w="992" w:type="dxa"/>
            <w:vAlign w:val="center"/>
          </w:tcPr>
          <w:p w14:paraId="46DE1972" w14:textId="4723B2F8" w:rsidR="00E822DD" w:rsidRPr="004751D8" w:rsidRDefault="004751D8" w:rsidP="002B1BCA">
            <w:pPr>
              <w:widowControl w:val="0"/>
              <w:jc w:val="center"/>
              <w:rPr>
                <w:rFonts w:ascii="Source Sans Pro" w:hAnsi="Source Sans Pro" w:cs="Arial"/>
                <w:sz w:val="16"/>
                <w:szCs w:val="16"/>
              </w:rPr>
            </w:pPr>
            <w:r w:rsidRPr="004751D8">
              <w:rPr>
                <w:rFonts w:ascii="Source Sans Pro" w:hAnsi="Source Sans Pro" w:cs="Arial"/>
                <w:sz w:val="16"/>
                <w:szCs w:val="16"/>
              </w:rPr>
              <w:t>4,40</w:t>
            </w:r>
          </w:p>
        </w:tc>
        <w:tc>
          <w:tcPr>
            <w:tcW w:w="851" w:type="dxa"/>
            <w:vAlign w:val="center"/>
          </w:tcPr>
          <w:p w14:paraId="51830899" w14:textId="3AA27EC7" w:rsidR="00E822DD" w:rsidRPr="00935423" w:rsidRDefault="00F8412D" w:rsidP="002B1BCA">
            <w:pPr>
              <w:widowControl w:val="0"/>
              <w:jc w:val="center"/>
              <w:rPr>
                <w:rFonts w:ascii="Source Sans Pro" w:hAnsi="Source Sans Pro" w:cs="Arial"/>
                <w:sz w:val="16"/>
                <w:szCs w:val="16"/>
              </w:rPr>
            </w:pPr>
            <w:r w:rsidRPr="00935423">
              <w:rPr>
                <w:rFonts w:ascii="Source Sans Pro" w:hAnsi="Source Sans Pro" w:cs="Arial"/>
                <w:sz w:val="16"/>
                <w:szCs w:val="16"/>
              </w:rPr>
              <w:t>4,50</w:t>
            </w:r>
          </w:p>
        </w:tc>
        <w:tc>
          <w:tcPr>
            <w:tcW w:w="850" w:type="dxa"/>
            <w:vAlign w:val="center"/>
          </w:tcPr>
          <w:p w14:paraId="2AEDBBC9" w14:textId="5CD93C5C" w:rsidR="00E822DD" w:rsidRPr="004751D8" w:rsidRDefault="004751D8" w:rsidP="002B1BCA">
            <w:pPr>
              <w:widowControl w:val="0"/>
              <w:jc w:val="center"/>
              <w:rPr>
                <w:rFonts w:ascii="Source Sans Pro" w:hAnsi="Source Sans Pro" w:cs="Arial"/>
                <w:sz w:val="16"/>
                <w:szCs w:val="16"/>
              </w:rPr>
            </w:pPr>
            <w:r w:rsidRPr="004751D8">
              <w:rPr>
                <w:rFonts w:ascii="Source Sans Pro" w:hAnsi="Source Sans Pro" w:cs="Arial"/>
                <w:sz w:val="16"/>
                <w:szCs w:val="16"/>
              </w:rPr>
              <w:t>4,50</w:t>
            </w:r>
          </w:p>
        </w:tc>
        <w:tc>
          <w:tcPr>
            <w:tcW w:w="712" w:type="dxa"/>
            <w:shd w:val="clear" w:color="auto" w:fill="auto"/>
            <w:vAlign w:val="center"/>
          </w:tcPr>
          <w:p w14:paraId="7D49DE90" w14:textId="06E6713D" w:rsidR="00E822DD" w:rsidRPr="002704CD" w:rsidRDefault="00F8412D" w:rsidP="002B1BCA">
            <w:pPr>
              <w:widowControl w:val="0"/>
              <w:jc w:val="center"/>
              <w:rPr>
                <w:rFonts w:ascii="Source Sans Pro" w:hAnsi="Source Sans Pro" w:cs="Arial"/>
                <w:sz w:val="16"/>
                <w:szCs w:val="16"/>
              </w:rPr>
            </w:pPr>
            <w:r>
              <w:rPr>
                <w:rFonts w:ascii="Source Sans Pro" w:hAnsi="Source Sans Pro" w:cs="Arial"/>
                <w:sz w:val="16"/>
                <w:szCs w:val="16"/>
              </w:rPr>
              <w:t>4,40</w:t>
            </w:r>
          </w:p>
        </w:tc>
        <w:tc>
          <w:tcPr>
            <w:tcW w:w="1062" w:type="dxa"/>
            <w:vAlign w:val="center"/>
          </w:tcPr>
          <w:p w14:paraId="15EC44A2" w14:textId="5192D593" w:rsidR="00E822DD" w:rsidRPr="002704CD" w:rsidRDefault="00F8412D" w:rsidP="002B1BCA">
            <w:pPr>
              <w:widowControl w:val="0"/>
              <w:jc w:val="center"/>
              <w:rPr>
                <w:rFonts w:ascii="Source Sans Pro" w:hAnsi="Source Sans Pro" w:cs="Arial"/>
                <w:b/>
                <w:sz w:val="16"/>
                <w:szCs w:val="16"/>
              </w:rPr>
            </w:pPr>
            <w:r>
              <w:rPr>
                <w:rFonts w:ascii="Source Sans Pro" w:hAnsi="Source Sans Pro" w:cs="Arial"/>
                <w:b/>
                <w:sz w:val="16"/>
                <w:szCs w:val="16"/>
              </w:rPr>
              <w:t>4,47</w:t>
            </w:r>
          </w:p>
        </w:tc>
      </w:tr>
      <w:tr w:rsidR="00910B65" w:rsidRPr="00161817" w14:paraId="7E552845" w14:textId="77777777" w:rsidTr="00935423">
        <w:tc>
          <w:tcPr>
            <w:tcW w:w="1555" w:type="dxa"/>
          </w:tcPr>
          <w:p w14:paraId="6DC11B9C" w14:textId="77777777" w:rsidR="006061BF" w:rsidRDefault="00E822DD" w:rsidP="002B1BCA">
            <w:pPr>
              <w:widowControl w:val="0"/>
              <w:jc w:val="both"/>
              <w:rPr>
                <w:rFonts w:ascii="Source Sans Pro" w:hAnsi="Source Sans Pro" w:cs="Arial"/>
                <w:b/>
                <w:sz w:val="16"/>
                <w:szCs w:val="16"/>
              </w:rPr>
            </w:pPr>
            <w:proofErr w:type="spellStart"/>
            <w:r w:rsidRPr="00161817">
              <w:rPr>
                <w:rFonts w:ascii="Source Sans Pro" w:hAnsi="Source Sans Pro" w:cs="Arial"/>
                <w:b/>
                <w:sz w:val="16"/>
                <w:szCs w:val="16"/>
              </w:rPr>
              <w:t>ggü</w:t>
            </w:r>
            <w:proofErr w:type="spellEnd"/>
            <w:r w:rsidRPr="00161817">
              <w:rPr>
                <w:rFonts w:ascii="Source Sans Pro" w:hAnsi="Source Sans Pro" w:cs="Arial"/>
                <w:b/>
                <w:sz w:val="16"/>
                <w:szCs w:val="16"/>
              </w:rPr>
              <w:t>. Vorjahr</w:t>
            </w:r>
          </w:p>
          <w:p w14:paraId="5725897F" w14:textId="569358C3"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sz w:val="16"/>
                <w:szCs w:val="16"/>
              </w:rPr>
              <w:t>in %-Pkt.</w:t>
            </w:r>
          </w:p>
        </w:tc>
        <w:tc>
          <w:tcPr>
            <w:tcW w:w="1275" w:type="dxa"/>
            <w:vAlign w:val="center"/>
          </w:tcPr>
          <w:p w14:paraId="56189F55" w14:textId="49A9CA02" w:rsidR="00E822DD" w:rsidRPr="004751D8" w:rsidRDefault="004751D8" w:rsidP="002B1BCA">
            <w:pPr>
              <w:widowControl w:val="0"/>
              <w:jc w:val="center"/>
              <w:rPr>
                <w:rFonts w:ascii="Source Sans Pro" w:hAnsi="Source Sans Pro" w:cs="Arial"/>
                <w:sz w:val="16"/>
                <w:szCs w:val="16"/>
              </w:rPr>
            </w:pPr>
            <w:r w:rsidRPr="004751D8">
              <w:rPr>
                <w:rFonts w:ascii="Source Sans Pro" w:hAnsi="Source Sans Pro" w:cs="Arial"/>
                <w:sz w:val="16"/>
                <w:szCs w:val="16"/>
              </w:rPr>
              <w:t>0,00</w:t>
            </w:r>
          </w:p>
        </w:tc>
        <w:tc>
          <w:tcPr>
            <w:tcW w:w="993" w:type="dxa"/>
            <w:vAlign w:val="center"/>
          </w:tcPr>
          <w:p w14:paraId="09A563B0" w14:textId="69A8BEDB" w:rsidR="00E822DD" w:rsidRPr="004751D8" w:rsidRDefault="004751D8" w:rsidP="002B1BCA">
            <w:pPr>
              <w:widowControl w:val="0"/>
              <w:jc w:val="center"/>
              <w:rPr>
                <w:rFonts w:ascii="Source Sans Pro" w:hAnsi="Source Sans Pro" w:cs="Arial"/>
                <w:sz w:val="16"/>
                <w:szCs w:val="16"/>
              </w:rPr>
            </w:pPr>
            <w:r w:rsidRPr="004751D8">
              <w:rPr>
                <w:rFonts w:ascii="Source Sans Pro" w:hAnsi="Source Sans Pro" w:cs="Arial"/>
                <w:sz w:val="16"/>
                <w:szCs w:val="16"/>
              </w:rPr>
              <w:t>0,00</w:t>
            </w:r>
          </w:p>
        </w:tc>
        <w:tc>
          <w:tcPr>
            <w:tcW w:w="992" w:type="dxa"/>
            <w:vAlign w:val="center"/>
          </w:tcPr>
          <w:p w14:paraId="28EE0851" w14:textId="717BA233" w:rsidR="00E822DD" w:rsidRPr="00935423" w:rsidRDefault="004751D8" w:rsidP="002B1BCA">
            <w:pPr>
              <w:widowControl w:val="0"/>
              <w:jc w:val="center"/>
              <w:rPr>
                <w:rFonts w:ascii="Source Sans Pro" w:hAnsi="Source Sans Pro" w:cs="Arial"/>
                <w:sz w:val="16"/>
                <w:szCs w:val="16"/>
                <w:u w:val="single"/>
              </w:rPr>
            </w:pPr>
            <w:r w:rsidRPr="00935423">
              <w:rPr>
                <w:rFonts w:ascii="Source Sans Pro" w:hAnsi="Source Sans Pro" w:cs="Arial"/>
                <w:sz w:val="16"/>
                <w:szCs w:val="16"/>
                <w:u w:val="single"/>
              </w:rPr>
              <w:t>0,10</w:t>
            </w:r>
          </w:p>
        </w:tc>
        <w:tc>
          <w:tcPr>
            <w:tcW w:w="992" w:type="dxa"/>
            <w:vAlign w:val="center"/>
          </w:tcPr>
          <w:p w14:paraId="4EC1D9CD" w14:textId="5C47A3E4" w:rsidR="00E822DD" w:rsidRPr="004751D8" w:rsidRDefault="004751D8" w:rsidP="002B1BCA">
            <w:pPr>
              <w:widowControl w:val="0"/>
              <w:jc w:val="center"/>
              <w:rPr>
                <w:rFonts w:ascii="Source Sans Pro" w:hAnsi="Source Sans Pro" w:cs="Arial"/>
                <w:sz w:val="16"/>
                <w:szCs w:val="16"/>
              </w:rPr>
            </w:pPr>
            <w:r w:rsidRPr="004751D8">
              <w:rPr>
                <w:rFonts w:ascii="Source Sans Pro" w:hAnsi="Source Sans Pro" w:cs="Arial"/>
                <w:sz w:val="16"/>
                <w:szCs w:val="16"/>
              </w:rPr>
              <w:t>0,00</w:t>
            </w:r>
          </w:p>
        </w:tc>
        <w:tc>
          <w:tcPr>
            <w:tcW w:w="851" w:type="dxa"/>
            <w:vAlign w:val="center"/>
          </w:tcPr>
          <w:p w14:paraId="7DCD6729" w14:textId="09184CE3" w:rsidR="00E822DD" w:rsidRPr="004751D8" w:rsidRDefault="00F8412D"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850" w:type="dxa"/>
            <w:vAlign w:val="center"/>
          </w:tcPr>
          <w:p w14:paraId="4BFB79FE" w14:textId="6800B119" w:rsidR="00E822DD" w:rsidRPr="002704CD" w:rsidRDefault="004751D8"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712" w:type="dxa"/>
            <w:shd w:val="clear" w:color="auto" w:fill="auto"/>
            <w:vAlign w:val="center"/>
          </w:tcPr>
          <w:p w14:paraId="0983E6E9" w14:textId="044A43D6" w:rsidR="00E822DD" w:rsidRPr="002704CD" w:rsidRDefault="00F8412D" w:rsidP="002B1BCA">
            <w:pPr>
              <w:widowControl w:val="0"/>
              <w:jc w:val="center"/>
              <w:rPr>
                <w:rFonts w:ascii="Source Sans Pro" w:hAnsi="Source Sans Pro" w:cs="Arial"/>
                <w:sz w:val="16"/>
                <w:szCs w:val="16"/>
              </w:rPr>
            </w:pPr>
            <w:r>
              <w:rPr>
                <w:rFonts w:ascii="Source Sans Pro" w:hAnsi="Source Sans Pro" w:cs="Arial"/>
                <w:sz w:val="16"/>
                <w:szCs w:val="16"/>
              </w:rPr>
              <w:t>0,00</w:t>
            </w:r>
          </w:p>
        </w:tc>
        <w:tc>
          <w:tcPr>
            <w:tcW w:w="1062" w:type="dxa"/>
            <w:vAlign w:val="center"/>
          </w:tcPr>
          <w:p w14:paraId="243E1FC2" w14:textId="30191207" w:rsidR="00E822DD" w:rsidRPr="002704CD" w:rsidRDefault="004751D8" w:rsidP="002B1BCA">
            <w:pPr>
              <w:widowControl w:val="0"/>
              <w:jc w:val="center"/>
              <w:rPr>
                <w:rFonts w:ascii="Source Sans Pro" w:hAnsi="Source Sans Pro" w:cs="Arial"/>
                <w:b/>
                <w:sz w:val="16"/>
                <w:szCs w:val="16"/>
              </w:rPr>
            </w:pPr>
            <w:r>
              <w:rPr>
                <w:rFonts w:ascii="Source Sans Pro" w:hAnsi="Source Sans Pro" w:cs="Arial"/>
                <w:b/>
                <w:sz w:val="16"/>
                <w:szCs w:val="16"/>
              </w:rPr>
              <w:t>0,0</w:t>
            </w:r>
            <w:r w:rsidR="00F8412D">
              <w:rPr>
                <w:rFonts w:ascii="Source Sans Pro" w:hAnsi="Source Sans Pro" w:cs="Arial"/>
                <w:b/>
                <w:sz w:val="16"/>
                <w:szCs w:val="16"/>
              </w:rPr>
              <w:t>1</w:t>
            </w:r>
          </w:p>
        </w:tc>
      </w:tr>
      <w:tr w:rsidR="00910B65" w:rsidRPr="00161817" w14:paraId="511D3D80" w14:textId="77777777" w:rsidTr="00935423">
        <w:trPr>
          <w:trHeight w:val="471"/>
        </w:trPr>
        <w:tc>
          <w:tcPr>
            <w:tcW w:w="1555" w:type="dxa"/>
          </w:tcPr>
          <w:p w14:paraId="23F6D442"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Stärkste</w:t>
            </w:r>
          </w:p>
          <w:p w14:paraId="4F399EC0" w14:textId="77777777" w:rsidR="00E822DD" w:rsidRPr="00161817" w:rsidRDefault="00E822DD" w:rsidP="002B1BCA">
            <w:pPr>
              <w:widowControl w:val="0"/>
              <w:jc w:val="both"/>
              <w:rPr>
                <w:rFonts w:ascii="Source Sans Pro" w:hAnsi="Source Sans Pro" w:cs="Arial"/>
                <w:b/>
                <w:sz w:val="16"/>
                <w:szCs w:val="16"/>
              </w:rPr>
            </w:pPr>
            <w:proofErr w:type="spellStart"/>
            <w:r w:rsidRPr="00161817">
              <w:rPr>
                <w:rFonts w:ascii="Source Sans Pro" w:hAnsi="Source Sans Pro" w:cs="Arial"/>
                <w:b/>
                <w:sz w:val="16"/>
                <w:szCs w:val="16"/>
              </w:rPr>
              <w:t>Assetklasse</w:t>
            </w:r>
            <w:proofErr w:type="spellEnd"/>
          </w:p>
        </w:tc>
        <w:tc>
          <w:tcPr>
            <w:tcW w:w="1275" w:type="dxa"/>
            <w:vAlign w:val="center"/>
          </w:tcPr>
          <w:p w14:paraId="708BFD1F" w14:textId="4CD5739A" w:rsidR="00E822DD" w:rsidRPr="002704CD" w:rsidRDefault="004751D8" w:rsidP="002B1BCA">
            <w:pPr>
              <w:widowControl w:val="0"/>
              <w:jc w:val="center"/>
              <w:rPr>
                <w:rFonts w:ascii="Source Sans Pro" w:hAnsi="Source Sans Pro" w:cs="Arial"/>
                <w:sz w:val="16"/>
                <w:szCs w:val="16"/>
              </w:rPr>
            </w:pPr>
            <w:r>
              <w:rPr>
                <w:rFonts w:ascii="Source Sans Pro" w:hAnsi="Source Sans Pro" w:cs="Arial"/>
                <w:sz w:val="16"/>
                <w:szCs w:val="16"/>
              </w:rPr>
              <w:t>Pflege</w:t>
            </w:r>
            <w:r w:rsidR="00563E13">
              <w:rPr>
                <w:rFonts w:ascii="Source Sans Pro" w:hAnsi="Source Sans Pro" w:cs="Arial"/>
                <w:sz w:val="16"/>
                <w:szCs w:val="16"/>
              </w:rPr>
              <w:t>-</w:t>
            </w:r>
            <w:r>
              <w:rPr>
                <w:rFonts w:ascii="Source Sans Pro" w:hAnsi="Source Sans Pro" w:cs="Arial"/>
                <w:sz w:val="16"/>
                <w:szCs w:val="16"/>
              </w:rPr>
              <w:t>immobilien</w:t>
            </w:r>
          </w:p>
        </w:tc>
        <w:tc>
          <w:tcPr>
            <w:tcW w:w="993" w:type="dxa"/>
            <w:vAlign w:val="center"/>
          </w:tcPr>
          <w:p w14:paraId="457A7224" w14:textId="34DFC79A" w:rsidR="00E822DD" w:rsidRPr="002704CD" w:rsidRDefault="004751D8" w:rsidP="002B1BCA">
            <w:pPr>
              <w:widowControl w:val="0"/>
              <w:jc w:val="center"/>
              <w:rPr>
                <w:rFonts w:ascii="Source Sans Pro" w:hAnsi="Source Sans Pro" w:cs="Arial"/>
                <w:sz w:val="16"/>
                <w:szCs w:val="16"/>
              </w:rPr>
            </w:pPr>
            <w:r>
              <w:rPr>
                <w:rFonts w:ascii="Source Sans Pro" w:hAnsi="Source Sans Pro" w:cs="Arial"/>
                <w:sz w:val="16"/>
                <w:szCs w:val="16"/>
              </w:rPr>
              <w:t>Misch</w:t>
            </w:r>
            <w:r w:rsidR="00081DAD">
              <w:rPr>
                <w:rFonts w:ascii="Source Sans Pro" w:hAnsi="Source Sans Pro" w:cs="Arial"/>
                <w:sz w:val="16"/>
                <w:szCs w:val="16"/>
              </w:rPr>
              <w:t>-</w:t>
            </w:r>
            <w:r>
              <w:rPr>
                <w:rFonts w:ascii="Source Sans Pro" w:hAnsi="Source Sans Pro" w:cs="Arial"/>
                <w:sz w:val="16"/>
                <w:szCs w:val="16"/>
              </w:rPr>
              <w:t>nutzung</w:t>
            </w:r>
          </w:p>
        </w:tc>
        <w:tc>
          <w:tcPr>
            <w:tcW w:w="992" w:type="dxa"/>
            <w:vAlign w:val="center"/>
          </w:tcPr>
          <w:p w14:paraId="0579ADDE" w14:textId="5B1B9F75" w:rsidR="00E822DD" w:rsidRPr="002704CD" w:rsidRDefault="004751D8" w:rsidP="002B1BCA">
            <w:pPr>
              <w:widowControl w:val="0"/>
              <w:jc w:val="center"/>
              <w:rPr>
                <w:rFonts w:ascii="Source Sans Pro" w:hAnsi="Source Sans Pro" w:cs="Arial"/>
                <w:sz w:val="16"/>
                <w:szCs w:val="16"/>
              </w:rPr>
            </w:pPr>
            <w:r>
              <w:rPr>
                <w:rFonts w:ascii="Source Sans Pro" w:hAnsi="Source Sans Pro" w:cs="Arial"/>
                <w:sz w:val="16"/>
                <w:szCs w:val="16"/>
              </w:rPr>
              <w:t>Misch</w:t>
            </w:r>
            <w:r w:rsidR="00081DAD">
              <w:rPr>
                <w:rFonts w:ascii="Source Sans Pro" w:hAnsi="Source Sans Pro" w:cs="Arial"/>
                <w:sz w:val="16"/>
                <w:szCs w:val="16"/>
              </w:rPr>
              <w:t>-</w:t>
            </w:r>
            <w:r>
              <w:rPr>
                <w:rFonts w:ascii="Source Sans Pro" w:hAnsi="Source Sans Pro" w:cs="Arial"/>
                <w:sz w:val="16"/>
                <w:szCs w:val="16"/>
              </w:rPr>
              <w:t>nutzung</w:t>
            </w:r>
          </w:p>
        </w:tc>
        <w:tc>
          <w:tcPr>
            <w:tcW w:w="992" w:type="dxa"/>
            <w:vAlign w:val="center"/>
          </w:tcPr>
          <w:p w14:paraId="280FC882" w14:textId="788F0B77" w:rsidR="00E822DD" w:rsidRPr="002704CD" w:rsidRDefault="004751D8" w:rsidP="002B1BCA">
            <w:pPr>
              <w:widowControl w:val="0"/>
              <w:jc w:val="center"/>
              <w:rPr>
                <w:rFonts w:ascii="Source Sans Pro" w:hAnsi="Source Sans Pro" w:cs="Arial"/>
                <w:sz w:val="16"/>
                <w:szCs w:val="16"/>
              </w:rPr>
            </w:pPr>
            <w:r>
              <w:rPr>
                <w:rFonts w:ascii="Source Sans Pro" w:hAnsi="Source Sans Pro" w:cs="Arial"/>
                <w:sz w:val="16"/>
                <w:szCs w:val="16"/>
              </w:rPr>
              <w:t>Hotel</w:t>
            </w:r>
          </w:p>
        </w:tc>
        <w:tc>
          <w:tcPr>
            <w:tcW w:w="851" w:type="dxa"/>
            <w:vAlign w:val="center"/>
          </w:tcPr>
          <w:p w14:paraId="008BF92C" w14:textId="6011BCA5" w:rsidR="00E822DD" w:rsidRPr="002704CD" w:rsidRDefault="004751D8" w:rsidP="002B1BCA">
            <w:pPr>
              <w:widowControl w:val="0"/>
              <w:jc w:val="center"/>
              <w:rPr>
                <w:rFonts w:ascii="Source Sans Pro" w:hAnsi="Source Sans Pro" w:cs="Arial"/>
                <w:sz w:val="16"/>
                <w:szCs w:val="16"/>
              </w:rPr>
            </w:pPr>
            <w:r>
              <w:rPr>
                <w:rFonts w:ascii="Source Sans Pro" w:hAnsi="Source Sans Pro" w:cs="Arial"/>
                <w:sz w:val="16"/>
                <w:szCs w:val="16"/>
              </w:rPr>
              <w:t>Büro</w:t>
            </w:r>
          </w:p>
        </w:tc>
        <w:tc>
          <w:tcPr>
            <w:tcW w:w="850" w:type="dxa"/>
            <w:vAlign w:val="center"/>
          </w:tcPr>
          <w:p w14:paraId="14E2CD93" w14:textId="73DA652A" w:rsidR="00E822DD" w:rsidRPr="002704CD" w:rsidRDefault="004751D8" w:rsidP="002B1BCA">
            <w:pPr>
              <w:widowControl w:val="0"/>
              <w:jc w:val="center"/>
              <w:rPr>
                <w:rFonts w:ascii="Source Sans Pro" w:hAnsi="Source Sans Pro" w:cs="Arial"/>
                <w:sz w:val="16"/>
                <w:szCs w:val="16"/>
              </w:rPr>
            </w:pPr>
            <w:r>
              <w:rPr>
                <w:rFonts w:ascii="Source Sans Pro" w:hAnsi="Source Sans Pro" w:cs="Arial"/>
                <w:sz w:val="16"/>
                <w:szCs w:val="16"/>
              </w:rPr>
              <w:t>Misch</w:t>
            </w:r>
            <w:r w:rsidR="00081DAD">
              <w:rPr>
                <w:rFonts w:ascii="Source Sans Pro" w:hAnsi="Source Sans Pro" w:cs="Arial"/>
                <w:sz w:val="16"/>
                <w:szCs w:val="16"/>
              </w:rPr>
              <w:t>-</w:t>
            </w:r>
            <w:r>
              <w:rPr>
                <w:rFonts w:ascii="Source Sans Pro" w:hAnsi="Source Sans Pro" w:cs="Arial"/>
                <w:sz w:val="16"/>
                <w:szCs w:val="16"/>
              </w:rPr>
              <w:t>nutzung</w:t>
            </w:r>
          </w:p>
        </w:tc>
        <w:tc>
          <w:tcPr>
            <w:tcW w:w="712" w:type="dxa"/>
            <w:shd w:val="clear" w:color="auto" w:fill="auto"/>
            <w:vAlign w:val="center"/>
          </w:tcPr>
          <w:p w14:paraId="5BF549E8" w14:textId="6998B65E" w:rsidR="00E822DD" w:rsidRPr="002704CD" w:rsidRDefault="004751D8" w:rsidP="002B1BCA">
            <w:pPr>
              <w:widowControl w:val="0"/>
              <w:jc w:val="center"/>
              <w:rPr>
                <w:rFonts w:ascii="Source Sans Pro" w:hAnsi="Source Sans Pro" w:cs="Arial"/>
                <w:sz w:val="16"/>
                <w:szCs w:val="16"/>
              </w:rPr>
            </w:pPr>
            <w:r>
              <w:rPr>
                <w:rFonts w:ascii="Source Sans Pro" w:hAnsi="Source Sans Pro" w:cs="Arial"/>
                <w:sz w:val="16"/>
                <w:szCs w:val="16"/>
              </w:rPr>
              <w:t>Büro</w:t>
            </w:r>
          </w:p>
        </w:tc>
        <w:tc>
          <w:tcPr>
            <w:tcW w:w="1062" w:type="dxa"/>
            <w:vAlign w:val="center"/>
          </w:tcPr>
          <w:p w14:paraId="6C2135E3" w14:textId="2ABA00DC" w:rsidR="00E822DD" w:rsidRPr="002704CD" w:rsidRDefault="00F020D9" w:rsidP="002B1BCA">
            <w:pPr>
              <w:widowControl w:val="0"/>
              <w:jc w:val="center"/>
              <w:rPr>
                <w:rFonts w:ascii="Source Sans Pro" w:hAnsi="Source Sans Pro" w:cs="Arial"/>
                <w:b/>
                <w:sz w:val="16"/>
                <w:szCs w:val="16"/>
              </w:rPr>
            </w:pPr>
            <w:r>
              <w:rPr>
                <w:rFonts w:ascii="Source Sans Pro" w:hAnsi="Source Sans Pro" w:cs="Arial"/>
                <w:b/>
                <w:sz w:val="16"/>
                <w:szCs w:val="16"/>
              </w:rPr>
              <w:t>Misch</w:t>
            </w:r>
            <w:r w:rsidR="00081DAD">
              <w:rPr>
                <w:rFonts w:ascii="Source Sans Pro" w:hAnsi="Source Sans Pro" w:cs="Arial"/>
                <w:b/>
                <w:sz w:val="16"/>
                <w:szCs w:val="16"/>
              </w:rPr>
              <w:t>-</w:t>
            </w:r>
            <w:r>
              <w:rPr>
                <w:rFonts w:ascii="Source Sans Pro" w:hAnsi="Source Sans Pro" w:cs="Arial"/>
                <w:b/>
                <w:sz w:val="16"/>
                <w:szCs w:val="16"/>
              </w:rPr>
              <w:t>nutzung</w:t>
            </w:r>
          </w:p>
        </w:tc>
      </w:tr>
      <w:tr w:rsidR="00910B65" w:rsidRPr="00161817" w14:paraId="3C798CFE" w14:textId="77777777" w:rsidTr="00935423">
        <w:tc>
          <w:tcPr>
            <w:tcW w:w="1555" w:type="dxa"/>
          </w:tcPr>
          <w:p w14:paraId="69CD3109" w14:textId="77777777" w:rsidR="00E822DD" w:rsidRPr="00161817" w:rsidRDefault="00E822DD" w:rsidP="002B1BCA">
            <w:pPr>
              <w:widowControl w:val="0"/>
              <w:jc w:val="both"/>
              <w:rPr>
                <w:rFonts w:ascii="Source Sans Pro" w:hAnsi="Source Sans Pro" w:cs="Arial"/>
                <w:b/>
                <w:sz w:val="16"/>
                <w:szCs w:val="16"/>
              </w:rPr>
            </w:pPr>
            <w:r w:rsidRPr="00161817">
              <w:rPr>
                <w:rFonts w:ascii="Source Sans Pro" w:hAnsi="Source Sans Pro" w:cs="Arial"/>
                <w:b/>
                <w:sz w:val="16"/>
                <w:szCs w:val="16"/>
              </w:rPr>
              <w:t>Stärkste</w:t>
            </w:r>
          </w:p>
          <w:p w14:paraId="7FDF28CB" w14:textId="77777777" w:rsidR="00E822DD" w:rsidRPr="00161817" w:rsidRDefault="00E822DD" w:rsidP="002B1BCA">
            <w:pPr>
              <w:widowControl w:val="0"/>
              <w:jc w:val="both"/>
              <w:rPr>
                <w:rFonts w:ascii="Source Sans Pro" w:hAnsi="Source Sans Pro" w:cs="Arial"/>
                <w:b/>
                <w:sz w:val="16"/>
                <w:szCs w:val="16"/>
              </w:rPr>
            </w:pPr>
            <w:proofErr w:type="spellStart"/>
            <w:r w:rsidRPr="00161817">
              <w:rPr>
                <w:rFonts w:ascii="Source Sans Pro" w:hAnsi="Source Sans Pro" w:cs="Arial"/>
                <w:b/>
                <w:sz w:val="16"/>
                <w:szCs w:val="16"/>
              </w:rPr>
              <w:t>Assetklasse</w:t>
            </w:r>
            <w:proofErr w:type="spellEnd"/>
            <w:r w:rsidRPr="00161817">
              <w:rPr>
                <w:rFonts w:ascii="Source Sans Pro" w:hAnsi="Source Sans Pro" w:cs="Arial"/>
                <w:b/>
                <w:sz w:val="16"/>
                <w:szCs w:val="16"/>
              </w:rPr>
              <w:t xml:space="preserve"> </w:t>
            </w:r>
            <w:r w:rsidRPr="00161817">
              <w:rPr>
                <w:rFonts w:ascii="Source Sans Pro" w:hAnsi="Source Sans Pro" w:cs="Arial"/>
                <w:sz w:val="16"/>
                <w:szCs w:val="16"/>
              </w:rPr>
              <w:t>in %</w:t>
            </w:r>
          </w:p>
        </w:tc>
        <w:tc>
          <w:tcPr>
            <w:tcW w:w="1275" w:type="dxa"/>
            <w:vAlign w:val="center"/>
          </w:tcPr>
          <w:p w14:paraId="2F2CDD9F" w14:textId="33C0CBB7" w:rsidR="00E822DD" w:rsidRPr="002704CD" w:rsidRDefault="00F020D9" w:rsidP="002B1BCA">
            <w:pPr>
              <w:widowControl w:val="0"/>
              <w:jc w:val="center"/>
              <w:rPr>
                <w:rFonts w:ascii="Source Sans Pro" w:hAnsi="Source Sans Pro" w:cs="Arial"/>
                <w:sz w:val="16"/>
                <w:szCs w:val="16"/>
              </w:rPr>
            </w:pPr>
            <w:r>
              <w:rPr>
                <w:rFonts w:ascii="Source Sans Pro" w:hAnsi="Source Sans Pro" w:cs="Arial"/>
                <w:sz w:val="16"/>
                <w:szCs w:val="16"/>
              </w:rPr>
              <w:t>8</w:t>
            </w:r>
            <w:r w:rsidR="00BE3DBC">
              <w:rPr>
                <w:rFonts w:ascii="Source Sans Pro" w:hAnsi="Source Sans Pro" w:cs="Arial"/>
                <w:sz w:val="16"/>
                <w:szCs w:val="16"/>
              </w:rPr>
              <w:t>6</w:t>
            </w:r>
          </w:p>
        </w:tc>
        <w:tc>
          <w:tcPr>
            <w:tcW w:w="993" w:type="dxa"/>
            <w:vAlign w:val="center"/>
          </w:tcPr>
          <w:p w14:paraId="673EE990" w14:textId="3BEFCFF7" w:rsidR="00E822DD" w:rsidRPr="002704CD" w:rsidRDefault="00F020D9" w:rsidP="002B1BCA">
            <w:pPr>
              <w:widowControl w:val="0"/>
              <w:jc w:val="center"/>
              <w:rPr>
                <w:rFonts w:ascii="Source Sans Pro" w:hAnsi="Source Sans Pro" w:cs="Arial"/>
                <w:sz w:val="16"/>
                <w:szCs w:val="16"/>
              </w:rPr>
            </w:pPr>
            <w:r>
              <w:rPr>
                <w:rFonts w:ascii="Source Sans Pro" w:hAnsi="Source Sans Pro" w:cs="Arial"/>
                <w:sz w:val="16"/>
                <w:szCs w:val="16"/>
              </w:rPr>
              <w:t>52</w:t>
            </w:r>
          </w:p>
        </w:tc>
        <w:tc>
          <w:tcPr>
            <w:tcW w:w="992" w:type="dxa"/>
            <w:vAlign w:val="center"/>
          </w:tcPr>
          <w:p w14:paraId="73931A1E" w14:textId="3F6669F6" w:rsidR="00E822DD" w:rsidRPr="002704CD" w:rsidRDefault="00F020D9" w:rsidP="002B1BCA">
            <w:pPr>
              <w:widowControl w:val="0"/>
              <w:jc w:val="center"/>
              <w:rPr>
                <w:rFonts w:ascii="Source Sans Pro" w:hAnsi="Source Sans Pro" w:cs="Arial"/>
                <w:sz w:val="16"/>
                <w:szCs w:val="16"/>
              </w:rPr>
            </w:pPr>
            <w:r>
              <w:rPr>
                <w:rFonts w:ascii="Source Sans Pro" w:hAnsi="Source Sans Pro" w:cs="Arial"/>
                <w:sz w:val="16"/>
                <w:szCs w:val="16"/>
              </w:rPr>
              <w:t>55</w:t>
            </w:r>
          </w:p>
        </w:tc>
        <w:tc>
          <w:tcPr>
            <w:tcW w:w="992" w:type="dxa"/>
            <w:vAlign w:val="center"/>
          </w:tcPr>
          <w:p w14:paraId="6D5DE4CF" w14:textId="41366B17" w:rsidR="00E822DD" w:rsidRPr="002704CD" w:rsidRDefault="00F020D9" w:rsidP="002B1BCA">
            <w:pPr>
              <w:widowControl w:val="0"/>
              <w:jc w:val="center"/>
              <w:rPr>
                <w:rFonts w:ascii="Source Sans Pro" w:hAnsi="Source Sans Pro" w:cs="Arial"/>
                <w:sz w:val="16"/>
                <w:szCs w:val="16"/>
              </w:rPr>
            </w:pPr>
            <w:r>
              <w:rPr>
                <w:rFonts w:ascii="Source Sans Pro" w:hAnsi="Source Sans Pro" w:cs="Arial"/>
                <w:sz w:val="16"/>
                <w:szCs w:val="16"/>
              </w:rPr>
              <w:t>52</w:t>
            </w:r>
          </w:p>
        </w:tc>
        <w:tc>
          <w:tcPr>
            <w:tcW w:w="851" w:type="dxa"/>
            <w:vAlign w:val="center"/>
          </w:tcPr>
          <w:p w14:paraId="461FD967" w14:textId="762D1E0C" w:rsidR="00E822DD" w:rsidRPr="002704CD" w:rsidRDefault="00F020D9" w:rsidP="002B1BCA">
            <w:pPr>
              <w:widowControl w:val="0"/>
              <w:jc w:val="center"/>
              <w:rPr>
                <w:rFonts w:ascii="Source Sans Pro" w:hAnsi="Source Sans Pro" w:cs="Arial"/>
                <w:sz w:val="16"/>
                <w:szCs w:val="16"/>
              </w:rPr>
            </w:pPr>
            <w:r>
              <w:rPr>
                <w:rFonts w:ascii="Source Sans Pro" w:hAnsi="Source Sans Pro" w:cs="Arial"/>
                <w:sz w:val="16"/>
                <w:szCs w:val="16"/>
              </w:rPr>
              <w:t>87</w:t>
            </w:r>
          </w:p>
        </w:tc>
        <w:tc>
          <w:tcPr>
            <w:tcW w:w="850" w:type="dxa"/>
            <w:vAlign w:val="center"/>
          </w:tcPr>
          <w:p w14:paraId="4EE4162A" w14:textId="4ABBF8BE" w:rsidR="00E822DD" w:rsidRPr="00F020D9" w:rsidRDefault="00F020D9" w:rsidP="002B1BCA">
            <w:pPr>
              <w:widowControl w:val="0"/>
              <w:jc w:val="center"/>
              <w:rPr>
                <w:rFonts w:ascii="Source Sans Pro" w:hAnsi="Source Sans Pro" w:cs="Arial"/>
                <w:sz w:val="16"/>
                <w:szCs w:val="16"/>
                <w:u w:val="single"/>
              </w:rPr>
            </w:pPr>
            <w:r w:rsidRPr="00F020D9">
              <w:rPr>
                <w:rFonts w:ascii="Source Sans Pro" w:hAnsi="Source Sans Pro" w:cs="Arial"/>
                <w:sz w:val="16"/>
                <w:szCs w:val="16"/>
                <w:u w:val="single"/>
              </w:rPr>
              <w:t>100</w:t>
            </w:r>
          </w:p>
        </w:tc>
        <w:tc>
          <w:tcPr>
            <w:tcW w:w="712" w:type="dxa"/>
            <w:shd w:val="clear" w:color="auto" w:fill="auto"/>
            <w:vAlign w:val="center"/>
          </w:tcPr>
          <w:p w14:paraId="1F33299E" w14:textId="30CC79B2" w:rsidR="00E822DD" w:rsidRPr="00F020D9" w:rsidRDefault="00921012" w:rsidP="002B1BCA">
            <w:pPr>
              <w:widowControl w:val="0"/>
              <w:jc w:val="center"/>
              <w:rPr>
                <w:rFonts w:ascii="Source Sans Pro" w:hAnsi="Source Sans Pro" w:cs="Arial"/>
                <w:sz w:val="16"/>
                <w:szCs w:val="16"/>
              </w:rPr>
            </w:pPr>
            <w:r>
              <w:rPr>
                <w:rFonts w:ascii="Source Sans Pro" w:hAnsi="Source Sans Pro" w:cs="Arial"/>
                <w:sz w:val="16"/>
                <w:szCs w:val="16"/>
              </w:rPr>
              <w:t>61</w:t>
            </w:r>
          </w:p>
        </w:tc>
        <w:tc>
          <w:tcPr>
            <w:tcW w:w="1062" w:type="dxa"/>
            <w:vAlign w:val="center"/>
          </w:tcPr>
          <w:p w14:paraId="08D05C82" w14:textId="5BCB6C8B" w:rsidR="00E822DD" w:rsidRPr="002704CD" w:rsidRDefault="00F020D9" w:rsidP="00921012">
            <w:pPr>
              <w:widowControl w:val="0"/>
              <w:jc w:val="center"/>
              <w:rPr>
                <w:rFonts w:ascii="Source Sans Pro" w:hAnsi="Source Sans Pro" w:cs="Arial"/>
                <w:b/>
                <w:sz w:val="16"/>
                <w:szCs w:val="16"/>
              </w:rPr>
            </w:pPr>
            <w:r>
              <w:rPr>
                <w:rFonts w:ascii="Source Sans Pro" w:hAnsi="Source Sans Pro" w:cs="Arial"/>
                <w:b/>
                <w:sz w:val="16"/>
                <w:szCs w:val="16"/>
              </w:rPr>
              <w:t>3</w:t>
            </w:r>
            <w:r w:rsidR="00921012">
              <w:rPr>
                <w:rFonts w:ascii="Source Sans Pro" w:hAnsi="Source Sans Pro" w:cs="Arial"/>
                <w:b/>
                <w:sz w:val="16"/>
                <w:szCs w:val="16"/>
              </w:rPr>
              <w:t>2</w:t>
            </w:r>
          </w:p>
        </w:tc>
      </w:tr>
    </w:tbl>
    <w:p w14:paraId="1E22B4BB" w14:textId="48256A3C" w:rsidR="00E822DD" w:rsidRPr="00161817" w:rsidRDefault="00E822DD" w:rsidP="00E822DD">
      <w:pPr>
        <w:pStyle w:val="EinfAbs"/>
        <w:tabs>
          <w:tab w:val="left" w:pos="200"/>
        </w:tabs>
        <w:jc w:val="both"/>
        <w:rPr>
          <w:rFonts w:ascii="Source Sans Pro" w:hAnsi="Source Sans Pro" w:cs="Arial"/>
          <w:sz w:val="16"/>
          <w:szCs w:val="16"/>
        </w:rPr>
      </w:pPr>
      <w:r w:rsidRPr="00161817">
        <w:rPr>
          <w:rFonts w:ascii="Source Sans Pro" w:hAnsi="Source Sans Pro" w:cs="Arial"/>
          <w:sz w:val="16"/>
          <w:szCs w:val="16"/>
        </w:rPr>
        <w:t>* Nettoanfangsrendite</w:t>
      </w:r>
      <w:r w:rsidR="002704CD">
        <w:rPr>
          <w:rFonts w:ascii="Source Sans Pro" w:hAnsi="Source Sans Pro" w:cs="Arial"/>
          <w:sz w:val="16"/>
          <w:szCs w:val="16"/>
        </w:rPr>
        <w:t>.</w:t>
      </w:r>
      <w:r w:rsidRPr="00161817">
        <w:rPr>
          <w:rFonts w:ascii="Source Sans Pro" w:hAnsi="Source Sans Pro" w:cs="Arial"/>
          <w:sz w:val="16"/>
          <w:szCs w:val="16"/>
        </w:rPr>
        <w:t xml:space="preserve"> Quelle: German Property Partners (GPP)</w:t>
      </w:r>
    </w:p>
    <w:p w14:paraId="347C3636" w14:textId="77777777" w:rsidR="00E822DD" w:rsidRDefault="00E822DD" w:rsidP="00E822DD">
      <w:pPr>
        <w:pStyle w:val="EinfAbs"/>
        <w:tabs>
          <w:tab w:val="left" w:pos="200"/>
        </w:tabs>
        <w:jc w:val="both"/>
        <w:rPr>
          <w:rFonts w:ascii="Source Sans Pro" w:hAnsi="Source Sans Pro" w:cs="Source Sans Pro"/>
          <w:sz w:val="22"/>
          <w:szCs w:val="22"/>
        </w:rPr>
      </w:pPr>
    </w:p>
    <w:p w14:paraId="5CED34B8" w14:textId="5C1286C8" w:rsidR="00161817" w:rsidRPr="00161817" w:rsidRDefault="00367F4F" w:rsidP="00EF0944">
      <w:pPr>
        <w:overflowPunct/>
        <w:autoSpaceDE/>
        <w:autoSpaceDN/>
        <w:adjustRightInd/>
        <w:textAlignment w:val="auto"/>
        <w:rPr>
          <w:rFonts w:ascii="Source Sans Pro" w:hAnsi="Source Sans Pro" w:cs="Arial"/>
          <w:b/>
          <w:sz w:val="20"/>
        </w:rPr>
      </w:pPr>
      <w:r>
        <w:rPr>
          <w:rFonts w:ascii="Source Sans Pro" w:hAnsi="Source Sans Pro" w:cs="Arial"/>
          <w:b/>
          <w:sz w:val="20"/>
        </w:rPr>
        <w:t>Größte</w:t>
      </w:r>
      <w:r w:rsidR="00161817" w:rsidRPr="00161817">
        <w:rPr>
          <w:rFonts w:ascii="Source Sans Pro" w:hAnsi="Source Sans Pro" w:cs="Arial"/>
          <w:b/>
          <w:sz w:val="20"/>
        </w:rPr>
        <w:t xml:space="preserve"> bekannte Abschlüsse | Top-7-Standorte | 1. Quartal 202</w:t>
      </w:r>
      <w:r w:rsidR="00433CD9">
        <w:rPr>
          <w:rFonts w:ascii="Source Sans Pro" w:hAnsi="Source Sans Pro" w:cs="Arial"/>
          <w:b/>
          <w:sz w:val="20"/>
        </w:rPr>
        <w:t>5</w:t>
      </w:r>
    </w:p>
    <w:tbl>
      <w:tblPr>
        <w:tblStyle w:val="TableGrid1"/>
        <w:tblW w:w="9231" w:type="dxa"/>
        <w:tblLayout w:type="fixed"/>
        <w:tblLook w:val="04A0" w:firstRow="1" w:lastRow="0" w:firstColumn="1" w:lastColumn="0" w:noHBand="0" w:noVBand="1"/>
      </w:tblPr>
      <w:tblGrid>
        <w:gridCol w:w="687"/>
        <w:gridCol w:w="2682"/>
        <w:gridCol w:w="2658"/>
        <w:gridCol w:w="2190"/>
        <w:gridCol w:w="1014"/>
      </w:tblGrid>
      <w:tr w:rsidR="00161817" w:rsidRPr="00161817" w14:paraId="113FCC50" w14:textId="77777777" w:rsidTr="009E6C40">
        <w:trPr>
          <w:trHeight w:val="552"/>
        </w:trPr>
        <w:tc>
          <w:tcPr>
            <w:tcW w:w="687" w:type="dxa"/>
            <w:shd w:val="clear" w:color="auto" w:fill="auto"/>
            <w:vAlign w:val="center"/>
          </w:tcPr>
          <w:p w14:paraId="130C696A"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Stadt</w:t>
            </w:r>
          </w:p>
        </w:tc>
        <w:tc>
          <w:tcPr>
            <w:tcW w:w="2682" w:type="dxa"/>
            <w:shd w:val="clear" w:color="auto" w:fill="auto"/>
            <w:vAlign w:val="center"/>
          </w:tcPr>
          <w:p w14:paraId="5E34B091"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Projekt/Objekt</w:t>
            </w:r>
          </w:p>
        </w:tc>
        <w:tc>
          <w:tcPr>
            <w:tcW w:w="2658" w:type="dxa"/>
            <w:shd w:val="clear" w:color="auto" w:fill="auto"/>
            <w:vAlign w:val="center"/>
          </w:tcPr>
          <w:p w14:paraId="26669932"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Käufer</w:t>
            </w:r>
          </w:p>
        </w:tc>
        <w:tc>
          <w:tcPr>
            <w:tcW w:w="2190" w:type="dxa"/>
            <w:shd w:val="clear" w:color="auto" w:fill="auto"/>
            <w:vAlign w:val="center"/>
          </w:tcPr>
          <w:p w14:paraId="490FE9EE"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Verkäufer</w:t>
            </w:r>
          </w:p>
        </w:tc>
        <w:tc>
          <w:tcPr>
            <w:tcW w:w="1014" w:type="dxa"/>
            <w:shd w:val="clear" w:color="auto" w:fill="auto"/>
            <w:vAlign w:val="center"/>
          </w:tcPr>
          <w:p w14:paraId="028E3657"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b/>
                <w:sz w:val="16"/>
                <w:szCs w:val="16"/>
              </w:rPr>
              <w:t>KP*</w:t>
            </w:r>
          </w:p>
          <w:p w14:paraId="24C76A25" w14:textId="77777777" w:rsidR="00161817" w:rsidRPr="00161817" w:rsidRDefault="00161817" w:rsidP="009E6C40">
            <w:pPr>
              <w:widowControl w:val="0"/>
              <w:jc w:val="center"/>
              <w:rPr>
                <w:rFonts w:ascii="Source Sans Pro" w:hAnsi="Source Sans Pro" w:cs="Arial"/>
                <w:b/>
                <w:sz w:val="16"/>
                <w:szCs w:val="16"/>
              </w:rPr>
            </w:pPr>
            <w:r w:rsidRPr="00161817">
              <w:rPr>
                <w:rFonts w:ascii="Source Sans Pro" w:hAnsi="Source Sans Pro" w:cs="Arial"/>
                <w:sz w:val="16"/>
                <w:szCs w:val="16"/>
              </w:rPr>
              <w:t>(ca. Mio. €)</w:t>
            </w:r>
          </w:p>
        </w:tc>
      </w:tr>
      <w:tr w:rsidR="0057613A" w:rsidRPr="00161817" w14:paraId="1585B5AF" w14:textId="77777777" w:rsidTr="00F40B12">
        <w:trPr>
          <w:trHeight w:val="552"/>
        </w:trPr>
        <w:tc>
          <w:tcPr>
            <w:tcW w:w="687" w:type="dxa"/>
            <w:shd w:val="clear" w:color="auto" w:fill="auto"/>
            <w:vAlign w:val="center"/>
          </w:tcPr>
          <w:p w14:paraId="2BE791B1" w14:textId="32BC3EE9" w:rsidR="0057613A" w:rsidRDefault="0057613A" w:rsidP="000B4A9D">
            <w:pPr>
              <w:widowControl w:val="0"/>
              <w:jc w:val="center"/>
              <w:rPr>
                <w:rFonts w:ascii="Source Sans Pro" w:hAnsi="Source Sans Pro" w:cs="Arial"/>
                <w:sz w:val="16"/>
                <w:szCs w:val="16"/>
              </w:rPr>
            </w:pPr>
            <w:r>
              <w:rPr>
                <w:rFonts w:ascii="Source Sans Pro" w:hAnsi="Source Sans Pro" w:cs="Arial"/>
                <w:sz w:val="16"/>
                <w:szCs w:val="16"/>
              </w:rPr>
              <w:t>BER</w:t>
            </w:r>
          </w:p>
        </w:tc>
        <w:tc>
          <w:tcPr>
            <w:tcW w:w="2682" w:type="dxa"/>
            <w:shd w:val="clear" w:color="auto" w:fill="auto"/>
            <w:vAlign w:val="center"/>
          </w:tcPr>
          <w:p w14:paraId="6DCCFE14" w14:textId="5CBC763B" w:rsidR="0057613A" w:rsidRPr="00575521" w:rsidRDefault="00081DAD" w:rsidP="00081DAD">
            <w:pPr>
              <w:widowControl w:val="0"/>
              <w:jc w:val="center"/>
              <w:rPr>
                <w:rFonts w:ascii="Source Sans Pro" w:hAnsi="Source Sans Pro" w:cs="Arial"/>
                <w:sz w:val="16"/>
                <w:szCs w:val="16"/>
              </w:rPr>
            </w:pPr>
            <w:r>
              <w:rPr>
                <w:rFonts w:ascii="Source Sans Pro" w:hAnsi="Source Sans Pro" w:cs="Arial"/>
                <w:sz w:val="16"/>
                <w:szCs w:val="16"/>
              </w:rPr>
              <w:t>„</w:t>
            </w:r>
            <w:proofErr w:type="spellStart"/>
            <w:r w:rsidR="0057613A" w:rsidRPr="0057613A">
              <w:rPr>
                <w:rFonts w:ascii="Source Sans Pro" w:hAnsi="Source Sans Pro" w:cs="Arial"/>
                <w:sz w:val="16"/>
                <w:szCs w:val="16"/>
              </w:rPr>
              <w:t>Upper</w:t>
            </w:r>
            <w:proofErr w:type="spellEnd"/>
            <w:r w:rsidR="0057613A" w:rsidRPr="0057613A">
              <w:rPr>
                <w:rFonts w:ascii="Source Sans Pro" w:hAnsi="Source Sans Pro" w:cs="Arial"/>
                <w:sz w:val="16"/>
                <w:szCs w:val="16"/>
              </w:rPr>
              <w:t xml:space="preserve"> West</w:t>
            </w:r>
            <w:r>
              <w:rPr>
                <w:rFonts w:ascii="Source Sans Pro" w:hAnsi="Source Sans Pro" w:cs="Arial"/>
                <w:sz w:val="16"/>
                <w:szCs w:val="16"/>
              </w:rPr>
              <w:t>“</w:t>
            </w:r>
            <w:r w:rsidR="0057613A">
              <w:rPr>
                <w:rFonts w:ascii="Source Sans Pro" w:hAnsi="Source Sans Pro" w:cs="Arial"/>
                <w:sz w:val="16"/>
                <w:szCs w:val="16"/>
              </w:rPr>
              <w:t xml:space="preserve">, </w:t>
            </w:r>
            <w:r w:rsidR="005B1077" w:rsidRPr="005B1077">
              <w:rPr>
                <w:rFonts w:ascii="Source Sans Pro" w:hAnsi="Source Sans Pro" w:cs="Arial"/>
                <w:sz w:val="16"/>
                <w:szCs w:val="16"/>
              </w:rPr>
              <w:t>Kantstraße 163-164</w:t>
            </w:r>
          </w:p>
        </w:tc>
        <w:tc>
          <w:tcPr>
            <w:tcW w:w="2658" w:type="dxa"/>
            <w:shd w:val="clear" w:color="auto" w:fill="auto"/>
            <w:vAlign w:val="center"/>
          </w:tcPr>
          <w:p w14:paraId="6C3C29BE" w14:textId="56139A14" w:rsidR="0057613A" w:rsidRDefault="0057613A" w:rsidP="000B4A9D">
            <w:pPr>
              <w:widowControl w:val="0"/>
              <w:jc w:val="center"/>
              <w:rPr>
                <w:rFonts w:ascii="Source Sans Pro" w:hAnsi="Source Sans Pro" w:cs="Arial"/>
                <w:sz w:val="16"/>
                <w:szCs w:val="16"/>
              </w:rPr>
            </w:pPr>
            <w:r w:rsidRPr="0057613A">
              <w:rPr>
                <w:rFonts w:ascii="Source Sans Pro" w:hAnsi="Source Sans Pro" w:cs="Arial"/>
                <w:sz w:val="16"/>
                <w:szCs w:val="16"/>
              </w:rPr>
              <w:t>Schoeller Group</w:t>
            </w:r>
          </w:p>
        </w:tc>
        <w:tc>
          <w:tcPr>
            <w:tcW w:w="2190" w:type="dxa"/>
            <w:shd w:val="clear" w:color="auto" w:fill="auto"/>
            <w:vAlign w:val="center"/>
          </w:tcPr>
          <w:p w14:paraId="5B1A4E31" w14:textId="2C8FA810" w:rsidR="0057613A" w:rsidRDefault="0057613A" w:rsidP="005B1077">
            <w:pPr>
              <w:widowControl w:val="0"/>
              <w:jc w:val="center"/>
              <w:rPr>
                <w:rFonts w:ascii="Source Sans Pro" w:hAnsi="Source Sans Pro" w:cs="Arial"/>
                <w:sz w:val="16"/>
                <w:szCs w:val="16"/>
              </w:rPr>
            </w:pPr>
            <w:r w:rsidRPr="0057613A">
              <w:rPr>
                <w:rFonts w:ascii="Source Sans Pro" w:hAnsi="Source Sans Pro" w:cs="Arial"/>
                <w:sz w:val="16"/>
                <w:szCs w:val="16"/>
              </w:rPr>
              <w:t>Signa</w:t>
            </w:r>
            <w:r w:rsidR="005B1077">
              <w:rPr>
                <w:rFonts w:ascii="Source Sans Pro" w:hAnsi="Source Sans Pro" w:cs="Arial"/>
                <w:sz w:val="16"/>
                <w:szCs w:val="16"/>
              </w:rPr>
              <w:t xml:space="preserve"> Holding</w:t>
            </w:r>
          </w:p>
        </w:tc>
        <w:tc>
          <w:tcPr>
            <w:tcW w:w="1014" w:type="dxa"/>
            <w:shd w:val="clear" w:color="auto" w:fill="auto"/>
            <w:vAlign w:val="center"/>
          </w:tcPr>
          <w:p w14:paraId="1B36847F" w14:textId="073EC058" w:rsidR="0057613A" w:rsidRDefault="005B1077" w:rsidP="000B4A9D">
            <w:pPr>
              <w:widowControl w:val="0"/>
              <w:jc w:val="center"/>
              <w:rPr>
                <w:rFonts w:ascii="Source Sans Pro" w:hAnsi="Source Sans Pro" w:cs="Arial"/>
                <w:sz w:val="16"/>
                <w:szCs w:val="16"/>
              </w:rPr>
            </w:pPr>
            <w:r>
              <w:rPr>
                <w:rFonts w:ascii="Source Sans Pro" w:hAnsi="Source Sans Pro" w:cs="Arial"/>
                <w:sz w:val="16"/>
                <w:szCs w:val="16"/>
              </w:rPr>
              <w:t>450</w:t>
            </w:r>
          </w:p>
        </w:tc>
      </w:tr>
      <w:tr w:rsidR="00583AC8" w:rsidRPr="00161817" w14:paraId="0B78E6CD" w14:textId="77777777" w:rsidTr="00F40B12">
        <w:trPr>
          <w:trHeight w:val="552"/>
        </w:trPr>
        <w:tc>
          <w:tcPr>
            <w:tcW w:w="687" w:type="dxa"/>
            <w:shd w:val="clear" w:color="auto" w:fill="auto"/>
            <w:vAlign w:val="center"/>
          </w:tcPr>
          <w:p w14:paraId="576C9D5C" w14:textId="0F04D69A" w:rsidR="00583AC8" w:rsidRDefault="00575521" w:rsidP="000B4A9D">
            <w:pPr>
              <w:widowControl w:val="0"/>
              <w:jc w:val="center"/>
              <w:rPr>
                <w:rFonts w:ascii="Source Sans Pro" w:hAnsi="Source Sans Pro" w:cs="Arial"/>
                <w:sz w:val="16"/>
                <w:szCs w:val="16"/>
              </w:rPr>
            </w:pPr>
            <w:r>
              <w:rPr>
                <w:rFonts w:ascii="Source Sans Pro" w:hAnsi="Source Sans Pro" w:cs="Arial"/>
                <w:sz w:val="16"/>
                <w:szCs w:val="16"/>
              </w:rPr>
              <w:t>HAM</w:t>
            </w:r>
          </w:p>
        </w:tc>
        <w:tc>
          <w:tcPr>
            <w:tcW w:w="2682" w:type="dxa"/>
            <w:shd w:val="clear" w:color="auto" w:fill="auto"/>
            <w:vAlign w:val="center"/>
          </w:tcPr>
          <w:p w14:paraId="7CDDAAC2" w14:textId="41EFC043" w:rsidR="00583AC8" w:rsidRPr="002704CD" w:rsidRDefault="0057613A" w:rsidP="000B4A9D">
            <w:pPr>
              <w:widowControl w:val="0"/>
              <w:jc w:val="center"/>
              <w:rPr>
                <w:rFonts w:ascii="Source Sans Pro" w:hAnsi="Source Sans Pro" w:cs="Arial"/>
                <w:sz w:val="16"/>
                <w:szCs w:val="16"/>
              </w:rPr>
            </w:pPr>
            <w:r>
              <w:rPr>
                <w:rFonts w:ascii="Source Sans Pro" w:hAnsi="Source Sans Pro" w:cs="Arial"/>
                <w:sz w:val="16"/>
                <w:szCs w:val="16"/>
              </w:rPr>
              <w:t>„</w:t>
            </w:r>
            <w:r w:rsidR="00575521" w:rsidRPr="00575521">
              <w:rPr>
                <w:rFonts w:ascii="Source Sans Pro" w:hAnsi="Source Sans Pro" w:cs="Arial"/>
                <w:sz w:val="16"/>
                <w:szCs w:val="16"/>
              </w:rPr>
              <w:t>Pflegen &amp; Wohnen</w:t>
            </w:r>
            <w:r>
              <w:rPr>
                <w:rFonts w:ascii="Source Sans Pro" w:hAnsi="Source Sans Pro" w:cs="Arial"/>
                <w:sz w:val="16"/>
                <w:szCs w:val="16"/>
              </w:rPr>
              <w:t>“-</w:t>
            </w:r>
            <w:r w:rsidR="00575521" w:rsidRPr="00575521">
              <w:rPr>
                <w:rFonts w:ascii="Source Sans Pro" w:hAnsi="Source Sans Pro" w:cs="Arial"/>
                <w:sz w:val="16"/>
                <w:szCs w:val="16"/>
              </w:rPr>
              <w:t>Portfolio</w:t>
            </w:r>
          </w:p>
        </w:tc>
        <w:tc>
          <w:tcPr>
            <w:tcW w:w="2658" w:type="dxa"/>
            <w:shd w:val="clear" w:color="auto" w:fill="auto"/>
            <w:vAlign w:val="center"/>
          </w:tcPr>
          <w:p w14:paraId="5EECDA99" w14:textId="10F4A8DF" w:rsidR="00583AC8" w:rsidRPr="002704CD" w:rsidRDefault="00575521" w:rsidP="000B4A9D">
            <w:pPr>
              <w:widowControl w:val="0"/>
              <w:jc w:val="center"/>
              <w:rPr>
                <w:rFonts w:ascii="Source Sans Pro" w:hAnsi="Source Sans Pro" w:cs="Arial"/>
                <w:sz w:val="16"/>
                <w:szCs w:val="16"/>
              </w:rPr>
            </w:pPr>
            <w:r>
              <w:rPr>
                <w:rFonts w:ascii="Source Sans Pro" w:hAnsi="Source Sans Pro" w:cs="Arial"/>
                <w:sz w:val="16"/>
                <w:szCs w:val="16"/>
              </w:rPr>
              <w:t>Stadt Hamburg</w:t>
            </w:r>
          </w:p>
        </w:tc>
        <w:tc>
          <w:tcPr>
            <w:tcW w:w="2190" w:type="dxa"/>
            <w:shd w:val="clear" w:color="auto" w:fill="auto"/>
            <w:vAlign w:val="center"/>
          </w:tcPr>
          <w:p w14:paraId="3F8AFED1" w14:textId="4D94A5B2" w:rsidR="00583AC8" w:rsidRPr="002704CD" w:rsidRDefault="00575521" w:rsidP="000B4A9D">
            <w:pPr>
              <w:widowControl w:val="0"/>
              <w:jc w:val="center"/>
              <w:rPr>
                <w:rFonts w:ascii="Source Sans Pro" w:hAnsi="Source Sans Pro" w:cs="Arial"/>
                <w:sz w:val="16"/>
                <w:szCs w:val="16"/>
              </w:rPr>
            </w:pPr>
            <w:r>
              <w:rPr>
                <w:rFonts w:ascii="Source Sans Pro" w:hAnsi="Source Sans Pro" w:cs="Arial"/>
                <w:sz w:val="16"/>
                <w:szCs w:val="16"/>
              </w:rPr>
              <w:t>Deutsche Wohnen SE</w:t>
            </w:r>
          </w:p>
        </w:tc>
        <w:tc>
          <w:tcPr>
            <w:tcW w:w="1014" w:type="dxa"/>
            <w:shd w:val="clear" w:color="auto" w:fill="auto"/>
            <w:vAlign w:val="center"/>
          </w:tcPr>
          <w:p w14:paraId="525E6C98" w14:textId="230E0251" w:rsidR="00583AC8" w:rsidRPr="002704CD" w:rsidRDefault="00575521" w:rsidP="000B4A9D">
            <w:pPr>
              <w:widowControl w:val="0"/>
              <w:jc w:val="center"/>
              <w:rPr>
                <w:rFonts w:ascii="Source Sans Pro" w:hAnsi="Source Sans Pro" w:cs="Arial"/>
                <w:sz w:val="16"/>
                <w:szCs w:val="16"/>
              </w:rPr>
            </w:pPr>
            <w:r>
              <w:rPr>
                <w:rFonts w:ascii="Source Sans Pro" w:hAnsi="Source Sans Pro" w:cs="Arial"/>
                <w:sz w:val="16"/>
                <w:szCs w:val="16"/>
              </w:rPr>
              <w:t>380</w:t>
            </w:r>
          </w:p>
        </w:tc>
      </w:tr>
      <w:tr w:rsidR="00583AC8" w:rsidRPr="00161817" w14:paraId="61DBCEAF" w14:textId="77777777" w:rsidTr="00F40B12">
        <w:trPr>
          <w:trHeight w:val="552"/>
        </w:trPr>
        <w:tc>
          <w:tcPr>
            <w:tcW w:w="687" w:type="dxa"/>
            <w:shd w:val="clear" w:color="auto" w:fill="auto"/>
            <w:vAlign w:val="center"/>
          </w:tcPr>
          <w:p w14:paraId="06119DA2" w14:textId="719B852C" w:rsidR="00583AC8" w:rsidRDefault="00575521" w:rsidP="000B4A9D">
            <w:pPr>
              <w:widowControl w:val="0"/>
              <w:jc w:val="center"/>
              <w:rPr>
                <w:rFonts w:ascii="Source Sans Pro" w:hAnsi="Source Sans Pro" w:cs="Arial"/>
                <w:sz w:val="16"/>
                <w:szCs w:val="16"/>
              </w:rPr>
            </w:pPr>
            <w:r>
              <w:rPr>
                <w:rFonts w:ascii="Source Sans Pro" w:hAnsi="Source Sans Pro" w:cs="Arial"/>
                <w:sz w:val="16"/>
                <w:szCs w:val="16"/>
              </w:rPr>
              <w:t>MUC</w:t>
            </w:r>
          </w:p>
        </w:tc>
        <w:tc>
          <w:tcPr>
            <w:tcW w:w="2682" w:type="dxa"/>
            <w:shd w:val="clear" w:color="auto" w:fill="auto"/>
            <w:vAlign w:val="center"/>
          </w:tcPr>
          <w:p w14:paraId="6CD90978" w14:textId="4510A993" w:rsidR="00583AC8" w:rsidRPr="00A86AFC" w:rsidRDefault="00575521" w:rsidP="000B4A9D">
            <w:pPr>
              <w:widowControl w:val="0"/>
              <w:jc w:val="center"/>
              <w:rPr>
                <w:rFonts w:ascii="Source Sans Pro" w:hAnsi="Source Sans Pro" w:cs="Arial"/>
                <w:sz w:val="16"/>
                <w:szCs w:val="16"/>
              </w:rPr>
            </w:pPr>
            <w:r>
              <w:rPr>
                <w:rFonts w:ascii="Source Sans Pro" w:hAnsi="Source Sans Pro" w:cs="Arial"/>
                <w:sz w:val="16"/>
                <w:szCs w:val="16"/>
              </w:rPr>
              <w:t>„</w:t>
            </w:r>
            <w:r w:rsidR="00F8412D" w:rsidRPr="00575521">
              <w:rPr>
                <w:rFonts w:ascii="Source Sans Pro" w:hAnsi="Source Sans Pro" w:cs="Arial"/>
                <w:sz w:val="16"/>
                <w:szCs w:val="16"/>
              </w:rPr>
              <w:t>R</w:t>
            </w:r>
            <w:r w:rsidR="00F8412D">
              <w:rPr>
                <w:rFonts w:ascii="Source Sans Pro" w:hAnsi="Source Sans Pro" w:cs="Arial"/>
                <w:sz w:val="16"/>
                <w:szCs w:val="16"/>
              </w:rPr>
              <w:t>139</w:t>
            </w:r>
            <w:r>
              <w:rPr>
                <w:rFonts w:ascii="Source Sans Pro" w:hAnsi="Source Sans Pro" w:cs="Arial"/>
                <w:sz w:val="16"/>
                <w:szCs w:val="16"/>
              </w:rPr>
              <w:t>“</w:t>
            </w:r>
            <w:r w:rsidRPr="00575521">
              <w:rPr>
                <w:rFonts w:ascii="Source Sans Pro" w:hAnsi="Source Sans Pro" w:cs="Arial"/>
                <w:sz w:val="16"/>
                <w:szCs w:val="16"/>
              </w:rPr>
              <w:t>,</w:t>
            </w:r>
            <w:r w:rsidR="0015690C">
              <w:rPr>
                <w:rFonts w:ascii="Source Sans Pro" w:hAnsi="Source Sans Pro" w:cs="Arial"/>
                <w:sz w:val="16"/>
                <w:szCs w:val="16"/>
              </w:rPr>
              <w:t xml:space="preserve"> Rosenheimer Straße 139</w:t>
            </w:r>
          </w:p>
        </w:tc>
        <w:tc>
          <w:tcPr>
            <w:tcW w:w="2658" w:type="dxa"/>
            <w:shd w:val="clear" w:color="auto" w:fill="auto"/>
            <w:vAlign w:val="center"/>
          </w:tcPr>
          <w:p w14:paraId="5D4D3495" w14:textId="599175CB" w:rsidR="00583AC8" w:rsidRPr="00A86AFC" w:rsidRDefault="0015690C" w:rsidP="000B4A9D">
            <w:pPr>
              <w:widowControl w:val="0"/>
              <w:jc w:val="center"/>
              <w:rPr>
                <w:rFonts w:ascii="Source Sans Pro" w:hAnsi="Source Sans Pro" w:cs="Arial"/>
                <w:sz w:val="16"/>
                <w:szCs w:val="16"/>
              </w:rPr>
            </w:pPr>
            <w:proofErr w:type="spellStart"/>
            <w:r>
              <w:rPr>
                <w:rFonts w:ascii="Source Sans Pro" w:hAnsi="Source Sans Pro" w:cs="Arial"/>
                <w:sz w:val="16"/>
                <w:szCs w:val="16"/>
              </w:rPr>
              <w:t>Generali</w:t>
            </w:r>
            <w:proofErr w:type="spellEnd"/>
          </w:p>
        </w:tc>
        <w:tc>
          <w:tcPr>
            <w:tcW w:w="2190" w:type="dxa"/>
            <w:shd w:val="clear" w:color="auto" w:fill="auto"/>
            <w:vAlign w:val="center"/>
          </w:tcPr>
          <w:p w14:paraId="75E718DC" w14:textId="62842EBC" w:rsidR="00583AC8" w:rsidRPr="00A86AFC" w:rsidRDefault="0015690C" w:rsidP="000B4A9D">
            <w:pPr>
              <w:widowControl w:val="0"/>
              <w:jc w:val="center"/>
              <w:rPr>
                <w:rFonts w:ascii="Source Sans Pro" w:hAnsi="Source Sans Pro" w:cs="Arial"/>
                <w:sz w:val="16"/>
                <w:szCs w:val="16"/>
              </w:rPr>
            </w:pPr>
            <w:r>
              <w:rPr>
                <w:rFonts w:ascii="Source Sans Pro" w:hAnsi="Source Sans Pro" w:cs="Arial"/>
                <w:sz w:val="16"/>
                <w:szCs w:val="16"/>
              </w:rPr>
              <w:t xml:space="preserve">Art </w:t>
            </w:r>
            <w:proofErr w:type="spellStart"/>
            <w:r>
              <w:rPr>
                <w:rFonts w:ascii="Source Sans Pro" w:hAnsi="Source Sans Pro" w:cs="Arial"/>
                <w:sz w:val="16"/>
                <w:szCs w:val="16"/>
              </w:rPr>
              <w:t>Invest</w:t>
            </w:r>
            <w:proofErr w:type="spellEnd"/>
          </w:p>
        </w:tc>
        <w:tc>
          <w:tcPr>
            <w:tcW w:w="1014" w:type="dxa"/>
            <w:shd w:val="clear" w:color="auto" w:fill="auto"/>
            <w:vAlign w:val="center"/>
          </w:tcPr>
          <w:p w14:paraId="3DB19CDE" w14:textId="5C4DC317" w:rsidR="00583AC8" w:rsidRPr="00A86AFC" w:rsidRDefault="0015690C" w:rsidP="000B4A9D">
            <w:pPr>
              <w:widowControl w:val="0"/>
              <w:jc w:val="center"/>
              <w:rPr>
                <w:rFonts w:ascii="Source Sans Pro" w:hAnsi="Source Sans Pro" w:cs="Arial"/>
                <w:sz w:val="16"/>
                <w:szCs w:val="16"/>
              </w:rPr>
            </w:pPr>
            <w:r>
              <w:rPr>
                <w:rFonts w:ascii="Source Sans Pro" w:hAnsi="Source Sans Pro" w:cs="Arial"/>
                <w:sz w:val="16"/>
                <w:szCs w:val="16"/>
              </w:rPr>
              <w:t>150</w:t>
            </w:r>
          </w:p>
        </w:tc>
      </w:tr>
      <w:tr w:rsidR="00A8377D" w:rsidRPr="00161817" w14:paraId="0EC1C3E7" w14:textId="77777777" w:rsidTr="00F40B12">
        <w:trPr>
          <w:trHeight w:val="552"/>
        </w:trPr>
        <w:tc>
          <w:tcPr>
            <w:tcW w:w="687" w:type="dxa"/>
            <w:shd w:val="clear" w:color="auto" w:fill="auto"/>
            <w:vAlign w:val="center"/>
          </w:tcPr>
          <w:p w14:paraId="405AA306" w14:textId="6231C83F" w:rsidR="00A8377D" w:rsidRDefault="00A8377D" w:rsidP="000B4A9D">
            <w:pPr>
              <w:widowControl w:val="0"/>
              <w:jc w:val="center"/>
              <w:rPr>
                <w:rFonts w:ascii="Source Sans Pro" w:hAnsi="Source Sans Pro" w:cs="Arial"/>
                <w:sz w:val="16"/>
                <w:szCs w:val="16"/>
              </w:rPr>
            </w:pPr>
            <w:r>
              <w:rPr>
                <w:rFonts w:ascii="Source Sans Pro" w:hAnsi="Source Sans Pro" w:cs="Arial"/>
                <w:sz w:val="16"/>
                <w:szCs w:val="16"/>
              </w:rPr>
              <w:t>CGN</w:t>
            </w:r>
          </w:p>
        </w:tc>
        <w:tc>
          <w:tcPr>
            <w:tcW w:w="2682" w:type="dxa"/>
            <w:shd w:val="clear" w:color="auto" w:fill="auto"/>
            <w:vAlign w:val="center"/>
          </w:tcPr>
          <w:p w14:paraId="702CF298" w14:textId="03D3F7BB" w:rsidR="00A8377D" w:rsidRDefault="00A8377D" w:rsidP="000B4A9D">
            <w:pPr>
              <w:widowControl w:val="0"/>
              <w:jc w:val="center"/>
              <w:rPr>
                <w:rFonts w:ascii="Source Sans Pro" w:hAnsi="Source Sans Pro" w:cs="Arial"/>
                <w:sz w:val="16"/>
                <w:szCs w:val="16"/>
              </w:rPr>
            </w:pPr>
            <w:r>
              <w:rPr>
                <w:rFonts w:ascii="Source Sans Pro" w:hAnsi="Source Sans Pro" w:cs="Arial"/>
                <w:sz w:val="16"/>
                <w:szCs w:val="16"/>
              </w:rPr>
              <w:t>„</w:t>
            </w:r>
            <w:proofErr w:type="spellStart"/>
            <w:r>
              <w:rPr>
                <w:rFonts w:ascii="Source Sans Pro" w:hAnsi="Source Sans Pro" w:cs="Arial"/>
                <w:sz w:val="16"/>
                <w:szCs w:val="16"/>
              </w:rPr>
              <w:t>Pullman</w:t>
            </w:r>
            <w:proofErr w:type="spellEnd"/>
            <w:r>
              <w:rPr>
                <w:rFonts w:ascii="Source Sans Pro" w:hAnsi="Source Sans Pro" w:cs="Arial"/>
                <w:sz w:val="16"/>
                <w:szCs w:val="16"/>
              </w:rPr>
              <w:t xml:space="preserve">-Hotel“, </w:t>
            </w:r>
            <w:r w:rsidRPr="00A8377D">
              <w:rPr>
                <w:rFonts w:ascii="Source Sans Pro" w:hAnsi="Source Sans Pro" w:cs="Arial"/>
                <w:sz w:val="16"/>
                <w:szCs w:val="16"/>
              </w:rPr>
              <w:t>Helenenstraße 14</w:t>
            </w:r>
          </w:p>
        </w:tc>
        <w:tc>
          <w:tcPr>
            <w:tcW w:w="2658" w:type="dxa"/>
            <w:shd w:val="clear" w:color="auto" w:fill="auto"/>
            <w:vAlign w:val="center"/>
          </w:tcPr>
          <w:p w14:paraId="0763B41F" w14:textId="4BE1791C" w:rsidR="00A8377D" w:rsidRPr="0015690C" w:rsidRDefault="00A8377D" w:rsidP="000B4A9D">
            <w:pPr>
              <w:widowControl w:val="0"/>
              <w:jc w:val="center"/>
              <w:rPr>
                <w:rFonts w:ascii="Source Sans Pro" w:hAnsi="Source Sans Pro" w:cs="Arial"/>
                <w:sz w:val="16"/>
                <w:szCs w:val="16"/>
              </w:rPr>
            </w:pPr>
            <w:proofErr w:type="spellStart"/>
            <w:r w:rsidRPr="00A8377D">
              <w:rPr>
                <w:rFonts w:ascii="Source Sans Pro" w:hAnsi="Source Sans Pro" w:cs="Arial"/>
                <w:sz w:val="16"/>
                <w:szCs w:val="16"/>
              </w:rPr>
              <w:t>Pandox</w:t>
            </w:r>
            <w:proofErr w:type="spellEnd"/>
          </w:p>
        </w:tc>
        <w:tc>
          <w:tcPr>
            <w:tcW w:w="2190" w:type="dxa"/>
            <w:shd w:val="clear" w:color="auto" w:fill="auto"/>
            <w:vAlign w:val="center"/>
          </w:tcPr>
          <w:p w14:paraId="1701C954" w14:textId="03C2AF24" w:rsidR="00A8377D" w:rsidRPr="0015690C" w:rsidRDefault="00081DAD" w:rsidP="00935423">
            <w:pPr>
              <w:widowControl w:val="0"/>
              <w:jc w:val="center"/>
              <w:rPr>
                <w:rFonts w:ascii="Source Sans Pro" w:hAnsi="Source Sans Pro" w:cs="Arial"/>
                <w:sz w:val="16"/>
                <w:szCs w:val="16"/>
              </w:rPr>
            </w:pPr>
            <w:r>
              <w:rPr>
                <w:rFonts w:ascii="Source Sans Pro" w:hAnsi="Source Sans Pro" w:cs="Arial"/>
                <w:sz w:val="16"/>
                <w:szCs w:val="16"/>
              </w:rPr>
              <w:t>„</w:t>
            </w:r>
            <w:r w:rsidR="00D72472" w:rsidRPr="00D72472">
              <w:rPr>
                <w:rFonts w:ascii="Source Sans Pro" w:hAnsi="Source Sans Pro" w:cs="Arial"/>
                <w:sz w:val="16"/>
                <w:szCs w:val="16"/>
              </w:rPr>
              <w:t xml:space="preserve">Hotel-Manage </w:t>
            </w:r>
            <w:proofErr w:type="spellStart"/>
            <w:r w:rsidR="00D72472" w:rsidRPr="00D72472">
              <w:rPr>
                <w:rFonts w:ascii="Source Sans Pro" w:hAnsi="Source Sans Pro" w:cs="Arial"/>
                <w:sz w:val="16"/>
                <w:szCs w:val="16"/>
              </w:rPr>
              <w:t>to</w:t>
            </w:r>
            <w:proofErr w:type="spellEnd"/>
            <w:r w:rsidR="00D72472" w:rsidRPr="00D72472">
              <w:rPr>
                <w:rFonts w:ascii="Source Sans Pro" w:hAnsi="Source Sans Pro" w:cs="Arial"/>
                <w:sz w:val="16"/>
                <w:szCs w:val="16"/>
              </w:rPr>
              <w:t xml:space="preserve"> Core-Fonds</w:t>
            </w:r>
            <w:r>
              <w:rPr>
                <w:rFonts w:ascii="Source Sans Pro" w:hAnsi="Source Sans Pro" w:cs="Arial"/>
                <w:sz w:val="16"/>
                <w:szCs w:val="16"/>
              </w:rPr>
              <w:t>“</w:t>
            </w:r>
            <w:r w:rsidR="00D72472" w:rsidRPr="00D72472">
              <w:rPr>
                <w:rFonts w:ascii="Source Sans Pro" w:hAnsi="Source Sans Pro" w:cs="Arial"/>
                <w:sz w:val="16"/>
                <w:szCs w:val="16"/>
              </w:rPr>
              <w:t xml:space="preserve"> (Hotelfonds der Art-</w:t>
            </w:r>
            <w:proofErr w:type="spellStart"/>
            <w:r w:rsidR="00D72472" w:rsidRPr="00D72472">
              <w:rPr>
                <w:rFonts w:ascii="Source Sans Pro" w:hAnsi="Source Sans Pro" w:cs="Arial"/>
                <w:sz w:val="16"/>
                <w:szCs w:val="16"/>
              </w:rPr>
              <w:t>Invest</w:t>
            </w:r>
            <w:proofErr w:type="spellEnd"/>
            <w:r w:rsidR="00D72472" w:rsidRPr="00D72472">
              <w:rPr>
                <w:rFonts w:ascii="Source Sans Pro" w:hAnsi="Source Sans Pro" w:cs="Arial"/>
                <w:sz w:val="16"/>
                <w:szCs w:val="16"/>
              </w:rPr>
              <w:t xml:space="preserve"> Real Estate)</w:t>
            </w:r>
          </w:p>
        </w:tc>
        <w:tc>
          <w:tcPr>
            <w:tcW w:w="1014" w:type="dxa"/>
            <w:shd w:val="clear" w:color="auto" w:fill="auto"/>
            <w:vAlign w:val="center"/>
          </w:tcPr>
          <w:p w14:paraId="3A955A9B" w14:textId="763CC25B" w:rsidR="00A8377D" w:rsidRDefault="00A8377D" w:rsidP="000B4A9D">
            <w:pPr>
              <w:widowControl w:val="0"/>
              <w:jc w:val="center"/>
              <w:rPr>
                <w:rFonts w:ascii="Source Sans Pro" w:hAnsi="Source Sans Pro" w:cs="Arial"/>
                <w:sz w:val="16"/>
                <w:szCs w:val="16"/>
              </w:rPr>
            </w:pPr>
            <w:r>
              <w:rPr>
                <w:rFonts w:ascii="Source Sans Pro" w:hAnsi="Source Sans Pro" w:cs="Arial"/>
                <w:sz w:val="16"/>
                <w:szCs w:val="16"/>
              </w:rPr>
              <w:t>66</w:t>
            </w:r>
          </w:p>
        </w:tc>
      </w:tr>
      <w:tr w:rsidR="000B4A9D" w:rsidRPr="00161817" w14:paraId="5809275A" w14:textId="77777777" w:rsidTr="00F40B12">
        <w:trPr>
          <w:trHeight w:val="552"/>
        </w:trPr>
        <w:tc>
          <w:tcPr>
            <w:tcW w:w="687" w:type="dxa"/>
            <w:shd w:val="clear" w:color="auto" w:fill="auto"/>
            <w:vAlign w:val="center"/>
          </w:tcPr>
          <w:p w14:paraId="7CE0EC77" w14:textId="583861CA" w:rsidR="000B4A9D" w:rsidRDefault="0015690C" w:rsidP="000B4A9D">
            <w:pPr>
              <w:widowControl w:val="0"/>
              <w:jc w:val="center"/>
              <w:rPr>
                <w:rFonts w:ascii="Source Sans Pro" w:hAnsi="Source Sans Pro" w:cs="Arial"/>
                <w:sz w:val="16"/>
                <w:szCs w:val="16"/>
              </w:rPr>
            </w:pPr>
            <w:r>
              <w:rPr>
                <w:rFonts w:ascii="Source Sans Pro" w:hAnsi="Source Sans Pro" w:cs="Arial"/>
                <w:sz w:val="16"/>
                <w:szCs w:val="16"/>
              </w:rPr>
              <w:t>MUC</w:t>
            </w:r>
          </w:p>
        </w:tc>
        <w:tc>
          <w:tcPr>
            <w:tcW w:w="2682" w:type="dxa"/>
            <w:shd w:val="clear" w:color="auto" w:fill="auto"/>
            <w:vAlign w:val="center"/>
          </w:tcPr>
          <w:p w14:paraId="5BDC97A7" w14:textId="5EC5BB5D" w:rsidR="000B4A9D" w:rsidRPr="00A86AFC" w:rsidRDefault="0015690C" w:rsidP="00081DAD">
            <w:pPr>
              <w:widowControl w:val="0"/>
              <w:jc w:val="center"/>
              <w:rPr>
                <w:rFonts w:ascii="Source Sans Pro" w:hAnsi="Source Sans Pro" w:cs="Arial"/>
                <w:sz w:val="16"/>
                <w:szCs w:val="16"/>
              </w:rPr>
            </w:pPr>
            <w:r>
              <w:rPr>
                <w:rFonts w:ascii="Source Sans Pro" w:hAnsi="Source Sans Pro" w:cs="Arial"/>
                <w:sz w:val="16"/>
                <w:szCs w:val="16"/>
              </w:rPr>
              <w:t>„</w:t>
            </w:r>
            <w:r w:rsidRPr="0015690C">
              <w:rPr>
                <w:rFonts w:ascii="Source Sans Pro" w:hAnsi="Source Sans Pro" w:cs="Arial"/>
                <w:sz w:val="16"/>
                <w:szCs w:val="16"/>
              </w:rPr>
              <w:t>Streitfeld Lofts</w:t>
            </w:r>
            <w:r>
              <w:rPr>
                <w:rFonts w:ascii="Source Sans Pro" w:hAnsi="Source Sans Pro" w:cs="Arial"/>
                <w:sz w:val="16"/>
                <w:szCs w:val="16"/>
              </w:rPr>
              <w:t xml:space="preserve">“, </w:t>
            </w:r>
            <w:r w:rsidR="00081DAD">
              <w:rPr>
                <w:rFonts w:ascii="Source Sans Pro" w:hAnsi="Source Sans Pro" w:cs="Arial"/>
                <w:sz w:val="16"/>
                <w:szCs w:val="16"/>
              </w:rPr>
              <w:br/>
            </w:r>
            <w:r>
              <w:rPr>
                <w:rFonts w:ascii="Source Sans Pro" w:hAnsi="Source Sans Pro" w:cs="Arial"/>
                <w:sz w:val="16"/>
                <w:szCs w:val="16"/>
              </w:rPr>
              <w:t>Streitfeldstr</w:t>
            </w:r>
            <w:r w:rsidR="00081DAD">
              <w:rPr>
                <w:rFonts w:ascii="Source Sans Pro" w:hAnsi="Source Sans Pro" w:cs="Arial"/>
                <w:sz w:val="16"/>
                <w:szCs w:val="16"/>
              </w:rPr>
              <w:t>aße</w:t>
            </w:r>
            <w:r>
              <w:rPr>
                <w:rFonts w:ascii="Source Sans Pro" w:hAnsi="Source Sans Pro" w:cs="Arial"/>
                <w:sz w:val="16"/>
                <w:szCs w:val="16"/>
              </w:rPr>
              <w:t xml:space="preserve"> 17</w:t>
            </w:r>
          </w:p>
        </w:tc>
        <w:tc>
          <w:tcPr>
            <w:tcW w:w="2658" w:type="dxa"/>
            <w:shd w:val="clear" w:color="auto" w:fill="auto"/>
            <w:vAlign w:val="center"/>
          </w:tcPr>
          <w:p w14:paraId="38B2B66A" w14:textId="0E6A60ED" w:rsidR="000B4A9D" w:rsidRPr="00A86AFC" w:rsidRDefault="0015690C" w:rsidP="000B4A9D">
            <w:pPr>
              <w:widowControl w:val="0"/>
              <w:jc w:val="center"/>
              <w:rPr>
                <w:rFonts w:ascii="Source Sans Pro" w:hAnsi="Source Sans Pro" w:cs="Arial"/>
                <w:sz w:val="16"/>
                <w:szCs w:val="16"/>
              </w:rPr>
            </w:pPr>
            <w:r w:rsidRPr="0015690C">
              <w:rPr>
                <w:rFonts w:ascii="Source Sans Pro" w:hAnsi="Source Sans Pro" w:cs="Arial"/>
                <w:sz w:val="16"/>
                <w:szCs w:val="16"/>
              </w:rPr>
              <w:t>KGAL</w:t>
            </w:r>
          </w:p>
        </w:tc>
        <w:tc>
          <w:tcPr>
            <w:tcW w:w="2190" w:type="dxa"/>
            <w:shd w:val="clear" w:color="auto" w:fill="auto"/>
            <w:vAlign w:val="center"/>
          </w:tcPr>
          <w:p w14:paraId="3B0CC4B1" w14:textId="33A9DC24" w:rsidR="000B4A9D" w:rsidRPr="00A86AFC" w:rsidRDefault="0015690C" w:rsidP="000B4A9D">
            <w:pPr>
              <w:widowControl w:val="0"/>
              <w:jc w:val="center"/>
              <w:rPr>
                <w:rFonts w:ascii="Source Sans Pro" w:hAnsi="Source Sans Pro" w:cs="Arial"/>
                <w:sz w:val="16"/>
                <w:szCs w:val="16"/>
              </w:rPr>
            </w:pPr>
            <w:proofErr w:type="spellStart"/>
            <w:r w:rsidRPr="0015690C">
              <w:rPr>
                <w:rFonts w:ascii="Source Sans Pro" w:hAnsi="Source Sans Pro" w:cs="Arial"/>
                <w:sz w:val="16"/>
                <w:szCs w:val="16"/>
              </w:rPr>
              <w:t>blackrock</w:t>
            </w:r>
            <w:proofErr w:type="spellEnd"/>
          </w:p>
        </w:tc>
        <w:tc>
          <w:tcPr>
            <w:tcW w:w="1014" w:type="dxa"/>
            <w:shd w:val="clear" w:color="auto" w:fill="auto"/>
            <w:vAlign w:val="center"/>
          </w:tcPr>
          <w:p w14:paraId="73E29F60" w14:textId="0BF9A9ED" w:rsidR="000B4A9D" w:rsidRPr="00A86AFC" w:rsidRDefault="0015690C" w:rsidP="000B4A9D">
            <w:pPr>
              <w:widowControl w:val="0"/>
              <w:jc w:val="center"/>
              <w:rPr>
                <w:rFonts w:ascii="Source Sans Pro" w:hAnsi="Source Sans Pro" w:cs="Arial"/>
                <w:sz w:val="16"/>
                <w:szCs w:val="16"/>
              </w:rPr>
            </w:pPr>
            <w:r>
              <w:rPr>
                <w:rFonts w:ascii="Source Sans Pro" w:hAnsi="Source Sans Pro" w:cs="Arial"/>
                <w:sz w:val="16"/>
                <w:szCs w:val="16"/>
              </w:rPr>
              <w:t>55</w:t>
            </w:r>
          </w:p>
        </w:tc>
      </w:tr>
      <w:tr w:rsidR="0015690C" w:rsidRPr="00161817" w14:paraId="56BA8532" w14:textId="77777777" w:rsidTr="00F40B12">
        <w:trPr>
          <w:trHeight w:val="552"/>
        </w:trPr>
        <w:tc>
          <w:tcPr>
            <w:tcW w:w="687" w:type="dxa"/>
            <w:shd w:val="clear" w:color="auto" w:fill="auto"/>
            <w:vAlign w:val="center"/>
          </w:tcPr>
          <w:p w14:paraId="0FCB2338" w14:textId="12AF88E3" w:rsidR="0015690C" w:rsidRDefault="0015690C" w:rsidP="0015690C">
            <w:pPr>
              <w:widowControl w:val="0"/>
              <w:jc w:val="center"/>
              <w:rPr>
                <w:rFonts w:ascii="Source Sans Pro" w:hAnsi="Source Sans Pro" w:cs="Arial"/>
                <w:sz w:val="16"/>
                <w:szCs w:val="16"/>
              </w:rPr>
            </w:pPr>
            <w:r>
              <w:rPr>
                <w:rFonts w:ascii="Source Sans Pro" w:hAnsi="Source Sans Pro" w:cs="Arial"/>
                <w:sz w:val="16"/>
                <w:szCs w:val="16"/>
              </w:rPr>
              <w:t>MUC</w:t>
            </w:r>
          </w:p>
        </w:tc>
        <w:tc>
          <w:tcPr>
            <w:tcW w:w="2682" w:type="dxa"/>
            <w:shd w:val="clear" w:color="auto" w:fill="auto"/>
            <w:vAlign w:val="center"/>
          </w:tcPr>
          <w:p w14:paraId="7F12C1DA" w14:textId="62B1BCF8" w:rsidR="0015690C" w:rsidRPr="00A86AFC" w:rsidRDefault="0015690C" w:rsidP="0015690C">
            <w:pPr>
              <w:widowControl w:val="0"/>
              <w:jc w:val="center"/>
              <w:rPr>
                <w:rFonts w:ascii="Source Sans Pro" w:hAnsi="Source Sans Pro" w:cs="Arial"/>
                <w:sz w:val="16"/>
                <w:szCs w:val="16"/>
              </w:rPr>
            </w:pPr>
            <w:r>
              <w:rPr>
                <w:rFonts w:ascii="Source Sans Pro" w:hAnsi="Source Sans Pro" w:cs="Arial"/>
                <w:sz w:val="16"/>
                <w:szCs w:val="16"/>
              </w:rPr>
              <w:t>Taunusstr</w:t>
            </w:r>
            <w:r w:rsidR="00081DAD">
              <w:rPr>
                <w:rFonts w:ascii="Source Sans Pro" w:hAnsi="Source Sans Pro" w:cs="Arial"/>
                <w:sz w:val="16"/>
                <w:szCs w:val="16"/>
              </w:rPr>
              <w:t>aße</w:t>
            </w:r>
            <w:r>
              <w:rPr>
                <w:rFonts w:ascii="Source Sans Pro" w:hAnsi="Source Sans Pro" w:cs="Arial"/>
                <w:sz w:val="16"/>
                <w:szCs w:val="16"/>
              </w:rPr>
              <w:t xml:space="preserve"> 41</w:t>
            </w:r>
          </w:p>
        </w:tc>
        <w:tc>
          <w:tcPr>
            <w:tcW w:w="2658" w:type="dxa"/>
            <w:shd w:val="clear" w:color="auto" w:fill="auto"/>
            <w:vAlign w:val="center"/>
          </w:tcPr>
          <w:p w14:paraId="0DA3D656" w14:textId="25763342" w:rsidR="0015690C" w:rsidRPr="00A86AFC" w:rsidRDefault="0015690C" w:rsidP="0015690C">
            <w:pPr>
              <w:widowControl w:val="0"/>
              <w:jc w:val="center"/>
              <w:rPr>
                <w:rFonts w:ascii="Source Sans Pro" w:hAnsi="Source Sans Pro" w:cs="Arial"/>
                <w:sz w:val="16"/>
                <w:szCs w:val="16"/>
              </w:rPr>
            </w:pPr>
            <w:proofErr w:type="spellStart"/>
            <w:r>
              <w:rPr>
                <w:rFonts w:ascii="Source Sans Pro" w:hAnsi="Source Sans Pro" w:cs="Arial"/>
                <w:sz w:val="16"/>
                <w:szCs w:val="16"/>
              </w:rPr>
              <w:t>Montano</w:t>
            </w:r>
            <w:proofErr w:type="spellEnd"/>
          </w:p>
        </w:tc>
        <w:tc>
          <w:tcPr>
            <w:tcW w:w="2190" w:type="dxa"/>
            <w:shd w:val="clear" w:color="auto" w:fill="auto"/>
            <w:vAlign w:val="center"/>
          </w:tcPr>
          <w:p w14:paraId="61626ABF" w14:textId="42993F1F" w:rsidR="0015690C" w:rsidRPr="00A86AFC" w:rsidRDefault="0015690C" w:rsidP="0015690C">
            <w:pPr>
              <w:widowControl w:val="0"/>
              <w:jc w:val="center"/>
              <w:rPr>
                <w:rFonts w:ascii="Source Sans Pro" w:hAnsi="Source Sans Pro" w:cs="Arial"/>
                <w:sz w:val="16"/>
                <w:szCs w:val="16"/>
              </w:rPr>
            </w:pPr>
            <w:r w:rsidRPr="0015690C">
              <w:rPr>
                <w:rFonts w:ascii="Source Sans Pro" w:hAnsi="Source Sans Pro" w:cs="Arial"/>
                <w:sz w:val="16"/>
                <w:szCs w:val="16"/>
              </w:rPr>
              <w:t>HIH Hamburgische Immobilien Handlung</w:t>
            </w:r>
          </w:p>
        </w:tc>
        <w:tc>
          <w:tcPr>
            <w:tcW w:w="1014" w:type="dxa"/>
            <w:shd w:val="clear" w:color="auto" w:fill="auto"/>
            <w:vAlign w:val="center"/>
          </w:tcPr>
          <w:p w14:paraId="17A6027F" w14:textId="0C17616E" w:rsidR="0015690C" w:rsidRPr="00A86AFC" w:rsidRDefault="0015690C" w:rsidP="0015690C">
            <w:pPr>
              <w:widowControl w:val="0"/>
              <w:jc w:val="center"/>
              <w:rPr>
                <w:rFonts w:ascii="Source Sans Pro" w:hAnsi="Source Sans Pro" w:cs="Arial"/>
                <w:sz w:val="16"/>
                <w:szCs w:val="16"/>
              </w:rPr>
            </w:pPr>
            <w:r>
              <w:rPr>
                <w:rFonts w:ascii="Source Sans Pro" w:hAnsi="Source Sans Pro" w:cs="Arial"/>
                <w:sz w:val="16"/>
                <w:szCs w:val="16"/>
              </w:rPr>
              <w:t>40</w:t>
            </w:r>
          </w:p>
        </w:tc>
      </w:tr>
      <w:tr w:rsidR="0015690C" w:rsidRPr="00161817" w14:paraId="1698F7EE" w14:textId="77777777" w:rsidTr="00F40B12">
        <w:trPr>
          <w:trHeight w:val="552"/>
        </w:trPr>
        <w:tc>
          <w:tcPr>
            <w:tcW w:w="687" w:type="dxa"/>
            <w:shd w:val="clear" w:color="auto" w:fill="auto"/>
            <w:vAlign w:val="center"/>
          </w:tcPr>
          <w:p w14:paraId="73A28B85" w14:textId="70E8CD4A" w:rsidR="0015690C" w:rsidRDefault="0015690C" w:rsidP="0015690C">
            <w:pPr>
              <w:widowControl w:val="0"/>
              <w:jc w:val="center"/>
              <w:rPr>
                <w:rFonts w:ascii="Source Sans Pro" w:hAnsi="Source Sans Pro" w:cs="Arial"/>
                <w:sz w:val="16"/>
                <w:szCs w:val="16"/>
              </w:rPr>
            </w:pPr>
            <w:r>
              <w:rPr>
                <w:rFonts w:ascii="Source Sans Pro" w:hAnsi="Source Sans Pro" w:cs="Arial"/>
                <w:sz w:val="16"/>
                <w:szCs w:val="16"/>
              </w:rPr>
              <w:lastRenderedPageBreak/>
              <w:t>DUS</w:t>
            </w:r>
          </w:p>
        </w:tc>
        <w:tc>
          <w:tcPr>
            <w:tcW w:w="2682" w:type="dxa"/>
            <w:shd w:val="clear" w:color="auto" w:fill="auto"/>
            <w:vAlign w:val="center"/>
          </w:tcPr>
          <w:p w14:paraId="3DCF553E" w14:textId="79222024" w:rsidR="0015690C" w:rsidRPr="00A86AFC" w:rsidRDefault="0015690C" w:rsidP="0015690C">
            <w:pPr>
              <w:widowControl w:val="0"/>
              <w:jc w:val="center"/>
              <w:rPr>
                <w:rFonts w:ascii="Source Sans Pro" w:hAnsi="Source Sans Pro" w:cs="Arial"/>
                <w:sz w:val="16"/>
                <w:szCs w:val="16"/>
              </w:rPr>
            </w:pPr>
            <w:r w:rsidRPr="0015690C">
              <w:rPr>
                <w:rFonts w:ascii="Source Sans Pro" w:hAnsi="Source Sans Pro" w:cs="Arial"/>
                <w:sz w:val="16"/>
                <w:szCs w:val="16"/>
              </w:rPr>
              <w:t xml:space="preserve">Eckhaus, </w:t>
            </w:r>
            <w:proofErr w:type="spellStart"/>
            <w:r w:rsidRPr="0015690C">
              <w:rPr>
                <w:rFonts w:ascii="Source Sans Pro" w:hAnsi="Source Sans Pro" w:cs="Arial"/>
                <w:sz w:val="16"/>
                <w:szCs w:val="16"/>
              </w:rPr>
              <w:t>Kö</w:t>
            </w:r>
            <w:proofErr w:type="spellEnd"/>
            <w:r w:rsidRPr="0015690C">
              <w:rPr>
                <w:rFonts w:ascii="Source Sans Pro" w:hAnsi="Source Sans Pro" w:cs="Arial"/>
                <w:sz w:val="16"/>
                <w:szCs w:val="16"/>
              </w:rPr>
              <w:t xml:space="preserve"> 52-54</w:t>
            </w:r>
          </w:p>
        </w:tc>
        <w:tc>
          <w:tcPr>
            <w:tcW w:w="2658" w:type="dxa"/>
            <w:shd w:val="clear" w:color="auto" w:fill="auto"/>
            <w:vAlign w:val="center"/>
          </w:tcPr>
          <w:p w14:paraId="560602F7" w14:textId="348758DC" w:rsidR="0015690C" w:rsidRPr="00A86AFC" w:rsidRDefault="0015690C" w:rsidP="0015690C">
            <w:pPr>
              <w:widowControl w:val="0"/>
              <w:jc w:val="center"/>
              <w:rPr>
                <w:rFonts w:ascii="Source Sans Pro" w:hAnsi="Source Sans Pro" w:cs="Arial"/>
                <w:sz w:val="16"/>
                <w:szCs w:val="16"/>
              </w:rPr>
            </w:pPr>
            <w:r w:rsidRPr="0015690C">
              <w:rPr>
                <w:rFonts w:ascii="Source Sans Pro" w:hAnsi="Source Sans Pro" w:cs="Arial"/>
                <w:sz w:val="16"/>
                <w:szCs w:val="16"/>
              </w:rPr>
              <w:t>k. A.</w:t>
            </w:r>
          </w:p>
        </w:tc>
        <w:tc>
          <w:tcPr>
            <w:tcW w:w="2190" w:type="dxa"/>
            <w:shd w:val="clear" w:color="auto" w:fill="auto"/>
            <w:vAlign w:val="center"/>
          </w:tcPr>
          <w:p w14:paraId="3FAC9699" w14:textId="6625FD2D" w:rsidR="0015690C" w:rsidRPr="00A86AFC" w:rsidRDefault="0015690C" w:rsidP="0015690C">
            <w:pPr>
              <w:widowControl w:val="0"/>
              <w:jc w:val="center"/>
              <w:rPr>
                <w:rFonts w:ascii="Source Sans Pro" w:hAnsi="Source Sans Pro" w:cs="Arial"/>
                <w:sz w:val="16"/>
                <w:szCs w:val="16"/>
              </w:rPr>
            </w:pPr>
            <w:r w:rsidRPr="0015690C">
              <w:rPr>
                <w:rFonts w:ascii="Source Sans Pro" w:hAnsi="Source Sans Pro" w:cs="Arial"/>
                <w:sz w:val="16"/>
                <w:szCs w:val="16"/>
              </w:rPr>
              <w:t>Centrum-Gruppe</w:t>
            </w:r>
          </w:p>
        </w:tc>
        <w:tc>
          <w:tcPr>
            <w:tcW w:w="1014" w:type="dxa"/>
            <w:shd w:val="clear" w:color="auto" w:fill="auto"/>
            <w:vAlign w:val="center"/>
          </w:tcPr>
          <w:p w14:paraId="5B1A2F64" w14:textId="7F71265F" w:rsidR="0015690C" w:rsidRPr="00A86AFC" w:rsidRDefault="0015690C" w:rsidP="0015690C">
            <w:pPr>
              <w:widowControl w:val="0"/>
              <w:jc w:val="center"/>
              <w:rPr>
                <w:rFonts w:ascii="Source Sans Pro" w:hAnsi="Source Sans Pro" w:cs="Arial"/>
                <w:sz w:val="16"/>
                <w:szCs w:val="16"/>
              </w:rPr>
            </w:pPr>
            <w:r>
              <w:rPr>
                <w:rFonts w:ascii="Source Sans Pro" w:hAnsi="Source Sans Pro" w:cs="Arial"/>
                <w:sz w:val="16"/>
                <w:szCs w:val="16"/>
              </w:rPr>
              <w:t>30</w:t>
            </w:r>
          </w:p>
        </w:tc>
      </w:tr>
      <w:tr w:rsidR="0015690C" w:rsidRPr="00161817" w14:paraId="63828BED" w14:textId="77777777" w:rsidTr="00F40B12">
        <w:trPr>
          <w:trHeight w:val="552"/>
        </w:trPr>
        <w:tc>
          <w:tcPr>
            <w:tcW w:w="687" w:type="dxa"/>
            <w:shd w:val="clear" w:color="auto" w:fill="auto"/>
            <w:vAlign w:val="center"/>
          </w:tcPr>
          <w:p w14:paraId="00D05ABB" w14:textId="02663B16" w:rsidR="0015690C" w:rsidRDefault="0015690C" w:rsidP="0015690C">
            <w:pPr>
              <w:widowControl w:val="0"/>
              <w:jc w:val="center"/>
              <w:rPr>
                <w:rFonts w:ascii="Source Sans Pro" w:hAnsi="Source Sans Pro" w:cs="Arial"/>
                <w:sz w:val="16"/>
                <w:szCs w:val="16"/>
              </w:rPr>
            </w:pPr>
            <w:r>
              <w:rPr>
                <w:rFonts w:ascii="Source Sans Pro" w:hAnsi="Source Sans Pro" w:cs="Arial"/>
                <w:sz w:val="16"/>
                <w:szCs w:val="16"/>
              </w:rPr>
              <w:t>DUS</w:t>
            </w:r>
          </w:p>
        </w:tc>
        <w:tc>
          <w:tcPr>
            <w:tcW w:w="2682" w:type="dxa"/>
            <w:shd w:val="clear" w:color="auto" w:fill="auto"/>
            <w:vAlign w:val="center"/>
          </w:tcPr>
          <w:p w14:paraId="54356EB5" w14:textId="6DFC140B" w:rsidR="0015690C" w:rsidRPr="00A86AFC" w:rsidRDefault="0015690C" w:rsidP="0015690C">
            <w:pPr>
              <w:widowControl w:val="0"/>
              <w:jc w:val="center"/>
              <w:rPr>
                <w:rFonts w:ascii="Source Sans Pro" w:hAnsi="Source Sans Pro" w:cs="Arial"/>
                <w:sz w:val="16"/>
                <w:szCs w:val="16"/>
              </w:rPr>
            </w:pPr>
            <w:r w:rsidRPr="0015690C">
              <w:rPr>
                <w:rFonts w:ascii="Source Sans Pro" w:hAnsi="Source Sans Pro" w:cs="Arial"/>
                <w:sz w:val="16"/>
                <w:szCs w:val="16"/>
              </w:rPr>
              <w:t xml:space="preserve">Präsidentenhaus, </w:t>
            </w:r>
            <w:proofErr w:type="spellStart"/>
            <w:r w:rsidRPr="0015690C">
              <w:rPr>
                <w:rFonts w:ascii="Source Sans Pro" w:hAnsi="Source Sans Pro" w:cs="Arial"/>
                <w:sz w:val="16"/>
                <w:szCs w:val="16"/>
              </w:rPr>
              <w:t>Cecilienallee</w:t>
            </w:r>
            <w:proofErr w:type="spellEnd"/>
            <w:r w:rsidRPr="0015690C">
              <w:rPr>
                <w:rFonts w:ascii="Source Sans Pro" w:hAnsi="Source Sans Pro" w:cs="Arial"/>
                <w:sz w:val="16"/>
                <w:szCs w:val="16"/>
              </w:rPr>
              <w:t xml:space="preserve"> 4</w:t>
            </w:r>
          </w:p>
        </w:tc>
        <w:tc>
          <w:tcPr>
            <w:tcW w:w="2658" w:type="dxa"/>
            <w:shd w:val="clear" w:color="auto" w:fill="auto"/>
            <w:vAlign w:val="center"/>
          </w:tcPr>
          <w:p w14:paraId="20E4E721" w14:textId="0E66E45F" w:rsidR="0015690C" w:rsidRPr="00A86AFC" w:rsidRDefault="0015690C" w:rsidP="0015690C">
            <w:pPr>
              <w:widowControl w:val="0"/>
              <w:jc w:val="center"/>
              <w:rPr>
                <w:rFonts w:ascii="Source Sans Pro" w:hAnsi="Source Sans Pro" w:cs="Arial"/>
                <w:sz w:val="16"/>
                <w:szCs w:val="16"/>
              </w:rPr>
            </w:pPr>
            <w:r w:rsidRPr="0015690C">
              <w:rPr>
                <w:rFonts w:ascii="Source Sans Pro" w:hAnsi="Source Sans Pro" w:cs="Arial"/>
                <w:sz w:val="16"/>
                <w:szCs w:val="16"/>
              </w:rPr>
              <w:t>Tatar Holding</w:t>
            </w:r>
          </w:p>
        </w:tc>
        <w:tc>
          <w:tcPr>
            <w:tcW w:w="2190" w:type="dxa"/>
            <w:shd w:val="clear" w:color="auto" w:fill="auto"/>
            <w:vAlign w:val="center"/>
          </w:tcPr>
          <w:p w14:paraId="0883A5F9" w14:textId="3F71A1B6" w:rsidR="0015690C" w:rsidRPr="00A86AFC" w:rsidRDefault="0015690C" w:rsidP="0015690C">
            <w:pPr>
              <w:widowControl w:val="0"/>
              <w:jc w:val="center"/>
              <w:rPr>
                <w:rFonts w:ascii="Source Sans Pro" w:hAnsi="Source Sans Pro" w:cs="Arial"/>
                <w:sz w:val="16"/>
                <w:szCs w:val="16"/>
              </w:rPr>
            </w:pPr>
            <w:r w:rsidRPr="0015690C">
              <w:rPr>
                <w:rFonts w:ascii="Source Sans Pro" w:hAnsi="Source Sans Pro" w:cs="Arial"/>
                <w:sz w:val="16"/>
                <w:szCs w:val="16"/>
              </w:rPr>
              <w:t>Centrum-Gruppe</w:t>
            </w:r>
          </w:p>
        </w:tc>
        <w:tc>
          <w:tcPr>
            <w:tcW w:w="1014" w:type="dxa"/>
            <w:shd w:val="clear" w:color="auto" w:fill="auto"/>
            <w:vAlign w:val="center"/>
          </w:tcPr>
          <w:p w14:paraId="3D82F1C9" w14:textId="57AB5C4B" w:rsidR="0015690C" w:rsidRPr="00A86AFC" w:rsidRDefault="00734725" w:rsidP="0015690C">
            <w:pPr>
              <w:widowControl w:val="0"/>
              <w:jc w:val="center"/>
              <w:rPr>
                <w:rFonts w:ascii="Source Sans Pro" w:hAnsi="Source Sans Pro" w:cs="Arial"/>
                <w:sz w:val="16"/>
                <w:szCs w:val="16"/>
              </w:rPr>
            </w:pPr>
            <w:r>
              <w:rPr>
                <w:rFonts w:ascii="Source Sans Pro" w:hAnsi="Source Sans Pro" w:cs="Arial"/>
                <w:sz w:val="16"/>
                <w:szCs w:val="16"/>
              </w:rPr>
              <w:t>13</w:t>
            </w:r>
          </w:p>
        </w:tc>
      </w:tr>
      <w:tr w:rsidR="0015690C" w:rsidRPr="00161817" w14:paraId="4962DD99" w14:textId="77777777" w:rsidTr="00073A63">
        <w:trPr>
          <w:trHeight w:val="140"/>
        </w:trPr>
        <w:tc>
          <w:tcPr>
            <w:tcW w:w="687" w:type="dxa"/>
            <w:shd w:val="clear" w:color="auto" w:fill="AEAAAA" w:themeFill="background2" w:themeFillShade="BF"/>
            <w:vAlign w:val="center"/>
          </w:tcPr>
          <w:p w14:paraId="75742589" w14:textId="77777777" w:rsidR="0015690C" w:rsidRDefault="0015690C" w:rsidP="0015690C">
            <w:pPr>
              <w:widowControl w:val="0"/>
              <w:jc w:val="center"/>
              <w:rPr>
                <w:rFonts w:ascii="Source Sans Pro" w:hAnsi="Source Sans Pro" w:cs="Arial"/>
                <w:sz w:val="16"/>
                <w:szCs w:val="16"/>
              </w:rPr>
            </w:pPr>
          </w:p>
        </w:tc>
        <w:tc>
          <w:tcPr>
            <w:tcW w:w="2682" w:type="dxa"/>
            <w:shd w:val="clear" w:color="auto" w:fill="AEAAAA" w:themeFill="background2" w:themeFillShade="BF"/>
            <w:vAlign w:val="center"/>
          </w:tcPr>
          <w:p w14:paraId="03D0F1B5" w14:textId="77777777" w:rsidR="0015690C" w:rsidRPr="003613CB" w:rsidRDefault="0015690C" w:rsidP="0015690C">
            <w:pPr>
              <w:widowControl w:val="0"/>
              <w:jc w:val="center"/>
              <w:rPr>
                <w:rFonts w:ascii="Source Sans Pro" w:hAnsi="Source Sans Pro" w:cs="Arial"/>
                <w:sz w:val="16"/>
                <w:szCs w:val="16"/>
                <w:highlight w:val="yellow"/>
              </w:rPr>
            </w:pPr>
          </w:p>
        </w:tc>
        <w:tc>
          <w:tcPr>
            <w:tcW w:w="2658" w:type="dxa"/>
            <w:shd w:val="clear" w:color="auto" w:fill="AEAAAA" w:themeFill="background2" w:themeFillShade="BF"/>
            <w:vAlign w:val="center"/>
          </w:tcPr>
          <w:p w14:paraId="01D566D4" w14:textId="77777777" w:rsidR="0015690C" w:rsidRPr="003613CB" w:rsidRDefault="0015690C" w:rsidP="0015690C">
            <w:pPr>
              <w:widowControl w:val="0"/>
              <w:jc w:val="center"/>
              <w:rPr>
                <w:rFonts w:ascii="Source Sans Pro" w:hAnsi="Source Sans Pro" w:cs="Arial"/>
                <w:sz w:val="16"/>
                <w:szCs w:val="16"/>
                <w:highlight w:val="yellow"/>
              </w:rPr>
            </w:pPr>
          </w:p>
        </w:tc>
        <w:tc>
          <w:tcPr>
            <w:tcW w:w="2190" w:type="dxa"/>
            <w:shd w:val="clear" w:color="auto" w:fill="AEAAAA" w:themeFill="background2" w:themeFillShade="BF"/>
            <w:vAlign w:val="center"/>
          </w:tcPr>
          <w:p w14:paraId="72D67DB9" w14:textId="77777777" w:rsidR="0015690C" w:rsidRPr="003613CB" w:rsidRDefault="0015690C" w:rsidP="0015690C">
            <w:pPr>
              <w:widowControl w:val="0"/>
              <w:jc w:val="center"/>
              <w:rPr>
                <w:rFonts w:ascii="Source Sans Pro" w:hAnsi="Source Sans Pro" w:cs="Arial"/>
                <w:sz w:val="16"/>
                <w:szCs w:val="16"/>
                <w:highlight w:val="yellow"/>
              </w:rPr>
            </w:pPr>
          </w:p>
        </w:tc>
        <w:tc>
          <w:tcPr>
            <w:tcW w:w="1014" w:type="dxa"/>
            <w:shd w:val="clear" w:color="auto" w:fill="AEAAAA" w:themeFill="background2" w:themeFillShade="BF"/>
            <w:vAlign w:val="center"/>
          </w:tcPr>
          <w:p w14:paraId="29A21095" w14:textId="77777777" w:rsidR="0015690C" w:rsidRPr="003613CB" w:rsidRDefault="0015690C" w:rsidP="0015690C">
            <w:pPr>
              <w:widowControl w:val="0"/>
              <w:jc w:val="center"/>
              <w:rPr>
                <w:rFonts w:ascii="Source Sans Pro" w:hAnsi="Source Sans Pro" w:cs="Arial"/>
                <w:sz w:val="16"/>
                <w:szCs w:val="16"/>
                <w:highlight w:val="yellow"/>
              </w:rPr>
            </w:pPr>
          </w:p>
        </w:tc>
      </w:tr>
      <w:tr w:rsidR="0015690C" w:rsidRPr="00161817" w14:paraId="5F44FAC1" w14:textId="77777777" w:rsidTr="000021F4">
        <w:trPr>
          <w:trHeight w:val="552"/>
        </w:trPr>
        <w:tc>
          <w:tcPr>
            <w:tcW w:w="687" w:type="dxa"/>
            <w:shd w:val="clear" w:color="auto" w:fill="auto"/>
            <w:vAlign w:val="center"/>
          </w:tcPr>
          <w:p w14:paraId="498977BA" w14:textId="26C5C2C8" w:rsidR="0015690C" w:rsidRDefault="0015690C" w:rsidP="0015690C">
            <w:pPr>
              <w:widowControl w:val="0"/>
              <w:jc w:val="center"/>
              <w:rPr>
                <w:rFonts w:ascii="Source Sans Pro" w:hAnsi="Source Sans Pro" w:cs="Arial"/>
                <w:sz w:val="16"/>
                <w:szCs w:val="16"/>
              </w:rPr>
            </w:pPr>
            <w:r>
              <w:rPr>
                <w:rFonts w:ascii="Source Sans Pro" w:hAnsi="Source Sans Pro" w:cs="Arial"/>
                <w:sz w:val="16"/>
                <w:szCs w:val="16"/>
              </w:rPr>
              <w:t>FFM</w:t>
            </w:r>
          </w:p>
        </w:tc>
        <w:tc>
          <w:tcPr>
            <w:tcW w:w="2682" w:type="dxa"/>
            <w:shd w:val="clear" w:color="auto" w:fill="auto"/>
            <w:vAlign w:val="center"/>
          </w:tcPr>
          <w:p w14:paraId="39C2F037" w14:textId="070D027D" w:rsidR="0015690C" w:rsidRPr="003613CB" w:rsidRDefault="00081DAD" w:rsidP="0015690C">
            <w:pPr>
              <w:widowControl w:val="0"/>
              <w:jc w:val="center"/>
              <w:rPr>
                <w:rFonts w:ascii="Source Sans Pro" w:hAnsi="Source Sans Pro" w:cs="Arial"/>
                <w:sz w:val="16"/>
                <w:szCs w:val="16"/>
                <w:highlight w:val="yellow"/>
              </w:rPr>
            </w:pPr>
            <w:r>
              <w:rPr>
                <w:rFonts w:ascii="Source Sans Pro" w:hAnsi="Source Sans Pro" w:cs="Arial"/>
                <w:sz w:val="16"/>
                <w:szCs w:val="16"/>
              </w:rPr>
              <w:t>„</w:t>
            </w:r>
            <w:proofErr w:type="spellStart"/>
            <w:r w:rsidR="0015690C">
              <w:rPr>
                <w:rFonts w:ascii="Source Sans Pro" w:hAnsi="Source Sans Pro" w:cs="Arial"/>
                <w:sz w:val="16"/>
                <w:szCs w:val="16"/>
              </w:rPr>
              <w:t>Rahmhof</w:t>
            </w:r>
            <w:proofErr w:type="spellEnd"/>
            <w:r>
              <w:rPr>
                <w:rFonts w:ascii="Source Sans Pro" w:hAnsi="Source Sans Pro" w:cs="Arial"/>
                <w:sz w:val="16"/>
                <w:szCs w:val="16"/>
              </w:rPr>
              <w:t>“</w:t>
            </w:r>
            <w:r w:rsidR="0015690C">
              <w:rPr>
                <w:rFonts w:ascii="Source Sans Pro" w:hAnsi="Source Sans Pro" w:cs="Arial"/>
                <w:sz w:val="16"/>
                <w:szCs w:val="16"/>
              </w:rPr>
              <w:t>, Rahmhofstraße 2-4</w:t>
            </w:r>
          </w:p>
        </w:tc>
        <w:tc>
          <w:tcPr>
            <w:tcW w:w="2658" w:type="dxa"/>
            <w:shd w:val="clear" w:color="auto" w:fill="auto"/>
            <w:vAlign w:val="center"/>
          </w:tcPr>
          <w:p w14:paraId="06863910" w14:textId="6BC4325A" w:rsidR="0015690C" w:rsidRPr="00935423" w:rsidRDefault="0015690C" w:rsidP="0015690C">
            <w:pPr>
              <w:widowControl w:val="0"/>
              <w:jc w:val="center"/>
              <w:rPr>
                <w:rFonts w:ascii="Source Sans Pro" w:hAnsi="Source Sans Pro" w:cs="Arial"/>
                <w:sz w:val="16"/>
                <w:szCs w:val="16"/>
                <w:highlight w:val="yellow"/>
                <w:lang w:val="en-US"/>
              </w:rPr>
            </w:pPr>
            <w:r w:rsidRPr="00935423">
              <w:rPr>
                <w:rFonts w:ascii="Source Sans Pro" w:hAnsi="Source Sans Pro" w:cs="Arial"/>
                <w:sz w:val="16"/>
                <w:szCs w:val="16"/>
                <w:lang w:val="en-US"/>
              </w:rPr>
              <w:t>CILON Crafted Real Estate Management</w:t>
            </w:r>
          </w:p>
        </w:tc>
        <w:tc>
          <w:tcPr>
            <w:tcW w:w="2190" w:type="dxa"/>
            <w:shd w:val="clear" w:color="auto" w:fill="auto"/>
            <w:vAlign w:val="center"/>
          </w:tcPr>
          <w:p w14:paraId="6647CE70" w14:textId="5056033D" w:rsidR="0015690C" w:rsidRPr="003613CB" w:rsidRDefault="0015690C" w:rsidP="0015690C">
            <w:pPr>
              <w:widowControl w:val="0"/>
              <w:jc w:val="center"/>
              <w:rPr>
                <w:rFonts w:ascii="Source Sans Pro" w:hAnsi="Source Sans Pro" w:cs="Arial"/>
                <w:sz w:val="16"/>
                <w:szCs w:val="16"/>
                <w:highlight w:val="yellow"/>
              </w:rPr>
            </w:pPr>
            <w:r w:rsidRPr="0015690C">
              <w:rPr>
                <w:rFonts w:ascii="Source Sans Pro" w:hAnsi="Source Sans Pro" w:cs="Arial"/>
                <w:sz w:val="16"/>
                <w:szCs w:val="16"/>
              </w:rPr>
              <w:t>von ESR Europe beratener Fonds</w:t>
            </w:r>
          </w:p>
        </w:tc>
        <w:tc>
          <w:tcPr>
            <w:tcW w:w="1014" w:type="dxa"/>
            <w:shd w:val="clear" w:color="auto" w:fill="auto"/>
            <w:vAlign w:val="center"/>
          </w:tcPr>
          <w:p w14:paraId="6BC77E4B" w14:textId="39BED66C" w:rsidR="0015690C" w:rsidRPr="003613CB" w:rsidRDefault="0015690C" w:rsidP="0015690C">
            <w:pPr>
              <w:widowControl w:val="0"/>
              <w:jc w:val="center"/>
              <w:rPr>
                <w:rFonts w:ascii="Source Sans Pro" w:hAnsi="Source Sans Pro" w:cs="Arial"/>
                <w:sz w:val="16"/>
                <w:szCs w:val="16"/>
                <w:highlight w:val="yellow"/>
              </w:rPr>
            </w:pPr>
            <w:r w:rsidRPr="00A86AFC">
              <w:rPr>
                <w:rFonts w:ascii="Source Sans Pro" w:hAnsi="Source Sans Pro" w:cs="Arial"/>
                <w:sz w:val="16"/>
                <w:szCs w:val="16"/>
              </w:rPr>
              <w:t>vertraulich</w:t>
            </w:r>
          </w:p>
        </w:tc>
      </w:tr>
      <w:tr w:rsidR="0015690C" w:rsidRPr="00161817" w14:paraId="72F51164" w14:textId="77777777" w:rsidTr="000021F4">
        <w:trPr>
          <w:trHeight w:val="552"/>
        </w:trPr>
        <w:tc>
          <w:tcPr>
            <w:tcW w:w="687" w:type="dxa"/>
            <w:shd w:val="clear" w:color="auto" w:fill="auto"/>
            <w:vAlign w:val="center"/>
          </w:tcPr>
          <w:p w14:paraId="6E275A54" w14:textId="4A91D9EF" w:rsidR="0015690C" w:rsidRDefault="0015690C" w:rsidP="0015690C">
            <w:pPr>
              <w:widowControl w:val="0"/>
              <w:jc w:val="center"/>
              <w:rPr>
                <w:rFonts w:ascii="Source Sans Pro" w:hAnsi="Source Sans Pro" w:cs="Arial"/>
                <w:sz w:val="16"/>
                <w:szCs w:val="16"/>
              </w:rPr>
            </w:pPr>
            <w:r>
              <w:rPr>
                <w:rFonts w:ascii="Source Sans Pro" w:hAnsi="Source Sans Pro" w:cs="Arial"/>
                <w:sz w:val="16"/>
                <w:szCs w:val="16"/>
              </w:rPr>
              <w:t>DUS</w:t>
            </w:r>
          </w:p>
        </w:tc>
        <w:tc>
          <w:tcPr>
            <w:tcW w:w="2682" w:type="dxa"/>
            <w:shd w:val="clear" w:color="auto" w:fill="auto"/>
            <w:vAlign w:val="center"/>
          </w:tcPr>
          <w:p w14:paraId="76C13D07" w14:textId="646C9168" w:rsidR="0015690C" w:rsidRPr="003613CB" w:rsidRDefault="0015690C" w:rsidP="0015690C">
            <w:pPr>
              <w:widowControl w:val="0"/>
              <w:jc w:val="center"/>
              <w:rPr>
                <w:rFonts w:ascii="Source Sans Pro" w:hAnsi="Source Sans Pro" w:cs="Arial"/>
                <w:sz w:val="16"/>
                <w:szCs w:val="16"/>
                <w:highlight w:val="yellow"/>
              </w:rPr>
            </w:pPr>
            <w:r w:rsidRPr="0015690C">
              <w:rPr>
                <w:rFonts w:ascii="Source Sans Pro" w:hAnsi="Source Sans Pro" w:cs="Arial"/>
                <w:sz w:val="16"/>
                <w:szCs w:val="16"/>
              </w:rPr>
              <w:t xml:space="preserve">Hotel Stadt München, </w:t>
            </w:r>
            <w:r w:rsidR="00081DAD">
              <w:rPr>
                <w:rFonts w:ascii="Source Sans Pro" w:hAnsi="Source Sans Pro" w:cs="Arial"/>
                <w:sz w:val="16"/>
                <w:szCs w:val="16"/>
              </w:rPr>
              <w:br/>
            </w:r>
            <w:r w:rsidRPr="0015690C">
              <w:rPr>
                <w:rFonts w:ascii="Source Sans Pro" w:hAnsi="Source Sans Pro" w:cs="Arial"/>
                <w:sz w:val="16"/>
                <w:szCs w:val="16"/>
              </w:rPr>
              <w:t>Pionierstraße  6</w:t>
            </w:r>
          </w:p>
        </w:tc>
        <w:tc>
          <w:tcPr>
            <w:tcW w:w="2658" w:type="dxa"/>
            <w:shd w:val="clear" w:color="auto" w:fill="auto"/>
            <w:vAlign w:val="center"/>
          </w:tcPr>
          <w:p w14:paraId="6E4F20C3" w14:textId="2D733069" w:rsidR="0015690C" w:rsidRPr="003613CB" w:rsidRDefault="0015690C" w:rsidP="0015690C">
            <w:pPr>
              <w:widowControl w:val="0"/>
              <w:jc w:val="center"/>
              <w:rPr>
                <w:rFonts w:ascii="Source Sans Pro" w:hAnsi="Source Sans Pro" w:cs="Arial"/>
                <w:sz w:val="16"/>
                <w:szCs w:val="16"/>
                <w:highlight w:val="yellow"/>
              </w:rPr>
            </w:pPr>
            <w:proofErr w:type="spellStart"/>
            <w:r w:rsidRPr="0015690C">
              <w:rPr>
                <w:rFonts w:ascii="Source Sans Pro" w:hAnsi="Source Sans Pro" w:cs="Arial"/>
                <w:sz w:val="16"/>
                <w:szCs w:val="16"/>
              </w:rPr>
              <w:t>Centralis</w:t>
            </w:r>
            <w:proofErr w:type="spellEnd"/>
            <w:r w:rsidRPr="0015690C">
              <w:rPr>
                <w:rFonts w:ascii="Source Sans Pro" w:hAnsi="Source Sans Pro" w:cs="Arial"/>
                <w:sz w:val="16"/>
                <w:szCs w:val="16"/>
              </w:rPr>
              <w:t xml:space="preserve"> Immobilien</w:t>
            </w:r>
          </w:p>
        </w:tc>
        <w:tc>
          <w:tcPr>
            <w:tcW w:w="2190" w:type="dxa"/>
            <w:shd w:val="clear" w:color="auto" w:fill="auto"/>
            <w:vAlign w:val="center"/>
          </w:tcPr>
          <w:p w14:paraId="6CA8D658" w14:textId="01D83CB0" w:rsidR="0015690C" w:rsidRPr="003613CB" w:rsidRDefault="0015690C" w:rsidP="0015690C">
            <w:pPr>
              <w:widowControl w:val="0"/>
              <w:jc w:val="center"/>
              <w:rPr>
                <w:rFonts w:ascii="Source Sans Pro" w:hAnsi="Source Sans Pro" w:cs="Arial"/>
                <w:sz w:val="16"/>
                <w:szCs w:val="16"/>
                <w:highlight w:val="yellow"/>
              </w:rPr>
            </w:pPr>
            <w:r w:rsidRPr="0015690C">
              <w:rPr>
                <w:rFonts w:ascii="Source Sans Pro" w:hAnsi="Source Sans Pro" w:cs="Arial"/>
                <w:sz w:val="16"/>
                <w:szCs w:val="16"/>
              </w:rPr>
              <w:t xml:space="preserve">Karl </w:t>
            </w:r>
            <w:proofErr w:type="spellStart"/>
            <w:r w:rsidRPr="0015690C">
              <w:rPr>
                <w:rFonts w:ascii="Source Sans Pro" w:hAnsi="Source Sans Pro" w:cs="Arial"/>
                <w:sz w:val="16"/>
                <w:szCs w:val="16"/>
              </w:rPr>
              <w:t>Herfurtner</w:t>
            </w:r>
            <w:proofErr w:type="spellEnd"/>
          </w:p>
        </w:tc>
        <w:tc>
          <w:tcPr>
            <w:tcW w:w="1014" w:type="dxa"/>
            <w:shd w:val="clear" w:color="auto" w:fill="auto"/>
            <w:vAlign w:val="center"/>
          </w:tcPr>
          <w:p w14:paraId="2433D167" w14:textId="61AF6149" w:rsidR="0015690C" w:rsidRPr="003613CB" w:rsidRDefault="0015690C" w:rsidP="0015690C">
            <w:pPr>
              <w:widowControl w:val="0"/>
              <w:jc w:val="center"/>
              <w:rPr>
                <w:rFonts w:ascii="Source Sans Pro" w:hAnsi="Source Sans Pro" w:cs="Arial"/>
                <w:sz w:val="16"/>
                <w:szCs w:val="16"/>
                <w:highlight w:val="yellow"/>
              </w:rPr>
            </w:pPr>
            <w:r w:rsidRPr="00A86AFC">
              <w:rPr>
                <w:rFonts w:ascii="Source Sans Pro" w:hAnsi="Source Sans Pro" w:cs="Arial"/>
                <w:sz w:val="16"/>
                <w:szCs w:val="16"/>
              </w:rPr>
              <w:t>vertraulich</w:t>
            </w:r>
          </w:p>
        </w:tc>
      </w:tr>
    </w:tbl>
    <w:p w14:paraId="26AE2616" w14:textId="09D96CE5" w:rsidR="00604E20" w:rsidRPr="002704CD" w:rsidRDefault="002704CD" w:rsidP="00EF0944">
      <w:pPr>
        <w:widowControl w:val="0"/>
        <w:rPr>
          <w:rFonts w:ascii="Source Sans Pro" w:hAnsi="Source Sans Pro" w:cs="Arial"/>
          <w:sz w:val="16"/>
          <w:szCs w:val="16"/>
        </w:rPr>
      </w:pPr>
      <w:r>
        <w:rPr>
          <w:rFonts w:ascii="Source Sans Pro" w:hAnsi="Source Sans Pro" w:cs="Arial"/>
          <w:sz w:val="16"/>
          <w:szCs w:val="16"/>
        </w:rPr>
        <w:t>*</w:t>
      </w:r>
      <w:r w:rsidRPr="009E00E8">
        <w:rPr>
          <w:rFonts w:ascii="Source Sans Pro" w:hAnsi="Source Sans Pro" w:cs="Arial"/>
          <w:sz w:val="16"/>
          <w:szCs w:val="16"/>
        </w:rPr>
        <w:t>Die aufgeführten Kaufpreise basieren auf öffentlich verfügbaren Angaben; wo solche fehlen, sind die Kaufpreise geschätzt</w:t>
      </w:r>
      <w:r>
        <w:rPr>
          <w:rFonts w:ascii="Source Sans Pro" w:hAnsi="Source Sans Pro" w:cs="Arial"/>
          <w:sz w:val="16"/>
          <w:szCs w:val="16"/>
        </w:rPr>
        <w:t xml:space="preserve">. </w:t>
      </w:r>
      <w:r w:rsidR="00161817" w:rsidRPr="00161817">
        <w:rPr>
          <w:rFonts w:ascii="Source Sans Pro" w:hAnsi="Source Sans Pro" w:cs="Arial"/>
          <w:sz w:val="16"/>
          <w:szCs w:val="16"/>
        </w:rPr>
        <w:t>Quelle:</w:t>
      </w:r>
      <w:r w:rsidR="00161817" w:rsidRPr="002704CD">
        <w:rPr>
          <w:rFonts w:ascii="Source Sans Pro" w:hAnsi="Source Sans Pro" w:cs="Arial"/>
          <w:sz w:val="16"/>
          <w:szCs w:val="16"/>
        </w:rPr>
        <w:t xml:space="preserve"> German Property Partners (GPP)</w:t>
      </w:r>
    </w:p>
    <w:p w14:paraId="384D0EB4" w14:textId="110C0624" w:rsidR="00161817" w:rsidRDefault="00073A63" w:rsidP="00E822DD">
      <w:pPr>
        <w:widowControl w:val="0"/>
        <w:rPr>
          <w:rFonts w:ascii="Source Sans Pro" w:hAnsi="Source Sans Pro" w:cs="Source Sans Pro"/>
          <w:sz w:val="22"/>
          <w:szCs w:val="22"/>
        </w:rPr>
      </w:pPr>
      <w:r w:rsidRPr="002704CD">
        <w:rPr>
          <w:rFonts w:ascii="Source Sans Pro" w:hAnsi="Source Sans Pro" w:cs="Arial"/>
          <w:b/>
          <w:sz w:val="20"/>
        </w:rPr>
        <w:br/>
      </w:r>
    </w:p>
    <w:p w14:paraId="527E0B5F" w14:textId="77777777" w:rsidR="00384735" w:rsidRPr="006456EA" w:rsidRDefault="00384735" w:rsidP="00384735">
      <w:pPr>
        <w:overflowPunct/>
        <w:autoSpaceDE/>
        <w:autoSpaceDN/>
        <w:adjustRightInd/>
        <w:textAlignment w:val="auto"/>
        <w:rPr>
          <w:rFonts w:ascii="Source Sans Pro SemiBold" w:hAnsi="Source Sans Pro SemiBold" w:cs="Source Sans Pro"/>
          <w:b/>
          <w:bCs/>
          <w:caps/>
          <w:color w:val="0087A8"/>
          <w:sz w:val="18"/>
          <w:szCs w:val="18"/>
        </w:rPr>
      </w:pPr>
      <w:bookmarkStart w:id="0" w:name="_Hlk194423614"/>
      <w:r w:rsidRPr="006456EA">
        <w:rPr>
          <w:rFonts w:ascii="Source Sans Pro SemiBold" w:hAnsi="Source Sans Pro SemiBold" w:cs="Source Sans Pro SemiBold"/>
          <w:b/>
          <w:bCs/>
          <w:caps/>
          <w:color w:val="0087A8"/>
          <w:sz w:val="18"/>
          <w:szCs w:val="18"/>
        </w:rPr>
        <w:t>ÜBER GERMAN PROPERTY PARTNERS</w:t>
      </w:r>
    </w:p>
    <w:p w14:paraId="48870DC9"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hyperlink r:id="rId8" w:history="1">
        <w:r w:rsidRPr="00E1280F">
          <w:rPr>
            <w:rFonts w:ascii="Source Sans Pro SemiBold" w:hAnsi="Source Sans Pro SemiBold" w:cs="Source Sans Pro SemiBold"/>
            <w:bCs/>
            <w:caps/>
            <w:color w:val="0087A8"/>
            <w:sz w:val="18"/>
            <w:szCs w:val="18"/>
          </w:rPr>
          <w:t>German Property Partners</w:t>
        </w:r>
      </w:hyperlink>
      <w:r w:rsidRPr="00E1280F">
        <w:rPr>
          <w:rFonts w:ascii="Source Sans Pro SemiBold" w:hAnsi="Source Sans Pro SemiBold" w:cs="Source Sans Pro SemiBold"/>
          <w:bCs/>
          <w:caps/>
          <w:color w:val="0087A8"/>
          <w:sz w:val="18"/>
          <w:szCs w:val="18"/>
        </w:rPr>
        <w:t xml:space="preserve"> (GPP) ist ein deutschlandweites Netzwerk lokal führender Gewerbe-Immobiliendienstleister. Hierzu gehören Grossmann &amp; Berger</w:t>
      </w:r>
      <w:r>
        <w:rPr>
          <w:rFonts w:ascii="Source Sans Pro SemiBold" w:hAnsi="Source Sans Pro SemiBold" w:cs="Source Sans Pro SemiBold"/>
          <w:bCs/>
          <w:caps/>
          <w:color w:val="0087A8"/>
          <w:sz w:val="18"/>
          <w:szCs w:val="18"/>
        </w:rPr>
        <w:t xml:space="preserve"> Immobilien</w:t>
      </w:r>
      <w:r w:rsidRPr="00E1280F">
        <w:rPr>
          <w:rFonts w:ascii="Source Sans Pro SemiBold" w:hAnsi="Source Sans Pro SemiBold" w:cs="Source Sans Pro SemiBold"/>
          <w:bCs/>
          <w:caps/>
          <w:color w:val="0087A8"/>
          <w:sz w:val="18"/>
          <w:szCs w:val="18"/>
        </w:rPr>
        <w:t xml:space="preserve">, Anteon Immobilien, GREIF &amp; CONTZEN Immobilien, blackolive und E &amp; G </w:t>
      </w:r>
      <w:r>
        <w:rPr>
          <w:rFonts w:ascii="Source Sans Pro SemiBold" w:hAnsi="Source Sans Pro SemiBold" w:cs="Source Sans Pro SemiBold"/>
          <w:bCs/>
          <w:caps/>
          <w:color w:val="0087A8"/>
          <w:sz w:val="18"/>
          <w:szCs w:val="18"/>
        </w:rPr>
        <w:t>Immobilien</w:t>
      </w:r>
      <w:r w:rsidRPr="00E1280F">
        <w:rPr>
          <w:rFonts w:ascii="Source Sans Pro SemiBold" w:hAnsi="Source Sans Pro SemiBold" w:cs="Source Sans Pro SemiBold"/>
          <w:bCs/>
          <w:caps/>
          <w:color w:val="0087A8"/>
          <w:sz w:val="18"/>
          <w:szCs w:val="18"/>
        </w:rPr>
        <w:t xml:space="preserve">. Es zeichnet sich durch tiefe Marktkenntnisse vor Ort, langjährig für die Partnerunternehmen tätige Immobilienberater und das persönliche Engagement der Gesellschafter und Geschäftsführer aus. </w:t>
      </w:r>
    </w:p>
    <w:p w14:paraId="0028A7E6"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p>
    <w:p w14:paraId="32BDC7CC"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r w:rsidRPr="00E1280F">
        <w:rPr>
          <w:rFonts w:ascii="Source Sans Pro SemiBold" w:hAnsi="Source Sans Pro SemiBold" w:cs="Source Sans Pro SemiBold"/>
          <w:bCs/>
          <w:caps/>
          <w:color w:val="0087A8"/>
          <w:sz w:val="18"/>
          <w:szCs w:val="18"/>
        </w:rPr>
        <w:t>Das Netzwerk verfügt in den Top-7-Städten Hamburg, Berlin, Düsseldorf</w:t>
      </w:r>
      <w:r>
        <w:rPr>
          <w:rFonts w:ascii="Source Sans Pro SemiBold" w:hAnsi="Source Sans Pro SemiBold" w:cs="Source Sans Pro SemiBold"/>
          <w:bCs/>
          <w:caps/>
          <w:color w:val="0087A8"/>
          <w:sz w:val="18"/>
          <w:szCs w:val="18"/>
        </w:rPr>
        <w:t>|Essen</w:t>
      </w:r>
      <w:r w:rsidRPr="00E1280F">
        <w:rPr>
          <w:rFonts w:ascii="Source Sans Pro SemiBold" w:hAnsi="Source Sans Pro SemiBold" w:cs="Source Sans Pro SemiBold"/>
          <w:bCs/>
          <w:caps/>
          <w:color w:val="0087A8"/>
          <w:sz w:val="18"/>
          <w:szCs w:val="18"/>
        </w:rPr>
        <w:t xml:space="preserve">, Köln|Bonn, Frankfurt, Stuttgart und München über eigene Standorte und bietet Dienstleistungen in den Bereichen Immobilien-Investments, gewerbliche Vermietung, unternehmerisches Immobilienmanagement (CREM), Immobilienbewertung und Research an. Bank-, Finanzierungs- und Verwaltungs-Dienstleistungen runden das Leistungsspektrum ab. </w:t>
      </w:r>
    </w:p>
    <w:p w14:paraId="35A69B27"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p>
    <w:p w14:paraId="539AF850" w14:textId="77777777" w:rsidR="00384735" w:rsidRPr="00E1280F" w:rsidRDefault="00384735" w:rsidP="00384735">
      <w:pPr>
        <w:pStyle w:val="EinfAbs"/>
        <w:tabs>
          <w:tab w:val="left" w:pos="200"/>
        </w:tabs>
        <w:spacing w:line="220" w:lineRule="exact"/>
        <w:jc w:val="both"/>
        <w:rPr>
          <w:rFonts w:ascii="Source Sans Pro SemiBold" w:hAnsi="Source Sans Pro SemiBold" w:cs="Source Sans Pro SemiBold"/>
          <w:bCs/>
          <w:caps/>
          <w:color w:val="0087A8"/>
          <w:sz w:val="18"/>
          <w:szCs w:val="18"/>
        </w:rPr>
      </w:pPr>
      <w:r>
        <w:rPr>
          <w:rFonts w:ascii="Source Sans Pro SemiBold" w:hAnsi="Source Sans Pro SemiBold" w:cs="Source Sans Pro SemiBold"/>
          <w:bCs/>
          <w:caps/>
          <w:color w:val="0087A8"/>
          <w:sz w:val="18"/>
          <w:szCs w:val="18"/>
        </w:rPr>
        <w:t>Aktuell sind mehr als 380</w:t>
      </w:r>
      <w:r w:rsidRPr="00E1280F">
        <w:rPr>
          <w:rFonts w:ascii="Source Sans Pro SemiBold" w:hAnsi="Source Sans Pro SemiBold" w:cs="Source Sans Pro SemiBold"/>
          <w:bCs/>
          <w:caps/>
          <w:color w:val="0087A8"/>
          <w:sz w:val="18"/>
          <w:szCs w:val="18"/>
        </w:rPr>
        <w:t xml:space="preserve"> Immobilienspezialisten für das Netzwerk tätig. 202</w:t>
      </w:r>
      <w:r>
        <w:rPr>
          <w:rFonts w:ascii="Source Sans Pro SemiBold" w:hAnsi="Source Sans Pro SemiBold" w:cs="Source Sans Pro SemiBold"/>
          <w:bCs/>
          <w:caps/>
          <w:color w:val="0087A8"/>
          <w:sz w:val="18"/>
          <w:szCs w:val="18"/>
        </w:rPr>
        <w:t>4</w:t>
      </w:r>
      <w:r w:rsidRPr="00E1280F">
        <w:rPr>
          <w:rFonts w:ascii="Source Sans Pro SemiBold" w:hAnsi="Source Sans Pro SemiBold" w:cs="Source Sans Pro SemiBold"/>
          <w:bCs/>
          <w:caps/>
          <w:color w:val="0087A8"/>
          <w:sz w:val="18"/>
          <w:szCs w:val="18"/>
        </w:rPr>
        <w:t xml:space="preserve"> vermittelte GPP deutschlandweit rund </w:t>
      </w:r>
      <w:r>
        <w:rPr>
          <w:rFonts w:ascii="Source Sans Pro SemiBold" w:hAnsi="Source Sans Pro SemiBold" w:cs="Source Sans Pro SemiBold"/>
          <w:bCs/>
          <w:caps/>
          <w:color w:val="0087A8"/>
          <w:sz w:val="18"/>
          <w:szCs w:val="18"/>
        </w:rPr>
        <w:t>350</w:t>
      </w:r>
      <w:r w:rsidRPr="00E1280F">
        <w:rPr>
          <w:rFonts w:ascii="Source Sans Pro SemiBold" w:hAnsi="Source Sans Pro SemiBold" w:cs="Source Sans Pro SemiBold"/>
          <w:bCs/>
          <w:caps/>
          <w:color w:val="0087A8"/>
          <w:sz w:val="18"/>
          <w:szCs w:val="18"/>
        </w:rPr>
        <w:t>.</w:t>
      </w:r>
      <w:r>
        <w:rPr>
          <w:rFonts w:ascii="Source Sans Pro SemiBold" w:hAnsi="Source Sans Pro SemiBold" w:cs="Source Sans Pro SemiBold"/>
          <w:bCs/>
          <w:caps/>
          <w:color w:val="0087A8"/>
          <w:sz w:val="18"/>
          <w:szCs w:val="18"/>
        </w:rPr>
        <w:t>0</w:t>
      </w:r>
      <w:r w:rsidRPr="00E1280F">
        <w:rPr>
          <w:rFonts w:ascii="Source Sans Pro SemiBold" w:hAnsi="Source Sans Pro SemiBold" w:cs="Source Sans Pro SemiBold"/>
          <w:bCs/>
          <w:caps/>
          <w:color w:val="0087A8"/>
          <w:sz w:val="18"/>
          <w:szCs w:val="18"/>
        </w:rPr>
        <w:t xml:space="preserve">00 m² Gewerbefläche und betreute ein Transaktionsvolumen in Höhe von rund </w:t>
      </w:r>
      <w:r>
        <w:rPr>
          <w:rFonts w:ascii="Source Sans Pro SemiBold" w:hAnsi="Source Sans Pro SemiBold" w:cs="Source Sans Pro SemiBold"/>
          <w:bCs/>
          <w:caps/>
          <w:color w:val="0087A8"/>
          <w:sz w:val="18"/>
          <w:szCs w:val="18"/>
        </w:rPr>
        <w:t>890 MIO</w:t>
      </w:r>
      <w:r w:rsidRPr="00E1280F">
        <w:rPr>
          <w:rFonts w:ascii="Source Sans Pro SemiBold" w:hAnsi="Source Sans Pro SemiBold" w:cs="Source Sans Pro SemiBold"/>
          <w:bCs/>
          <w:caps/>
          <w:color w:val="0087A8"/>
          <w:sz w:val="18"/>
          <w:szCs w:val="18"/>
        </w:rPr>
        <w:t>. €.</w:t>
      </w:r>
    </w:p>
    <w:p w14:paraId="7B350A66" w14:textId="77777777" w:rsidR="00384735" w:rsidRPr="006456EA" w:rsidRDefault="00384735" w:rsidP="00384735">
      <w:pPr>
        <w:pStyle w:val="EinfAbs"/>
        <w:tabs>
          <w:tab w:val="left" w:pos="200"/>
        </w:tabs>
        <w:spacing w:line="220" w:lineRule="exact"/>
        <w:jc w:val="both"/>
        <w:rPr>
          <w:rFonts w:ascii="Source Sans Pro" w:hAnsi="Source Sans Pro" w:cs="Source Sans Pro"/>
          <w:color w:val="0087A8"/>
          <w:sz w:val="18"/>
          <w:szCs w:val="18"/>
        </w:rPr>
      </w:pPr>
    </w:p>
    <w:p w14:paraId="3CDCD621" w14:textId="77777777" w:rsidR="00384735" w:rsidRPr="006456EA" w:rsidRDefault="00384735" w:rsidP="00384735">
      <w:pPr>
        <w:pStyle w:val="EinfAbs"/>
        <w:tabs>
          <w:tab w:val="left" w:pos="200"/>
        </w:tabs>
        <w:spacing w:line="220" w:lineRule="exact"/>
        <w:jc w:val="both"/>
        <w:rPr>
          <w:rFonts w:ascii="Source Sans Pro SemiBold" w:hAnsi="Source Sans Pro SemiBold" w:cs="Source Sans Pro"/>
          <w:b/>
          <w:bCs/>
          <w:color w:val="0087A8"/>
          <w:sz w:val="18"/>
          <w:szCs w:val="18"/>
        </w:rPr>
      </w:pPr>
      <w:r w:rsidRPr="006456EA">
        <w:rPr>
          <w:rFonts w:ascii="Source Sans Pro SemiBold" w:hAnsi="Source Sans Pro SemiBold" w:cs="Source Sans Pro SemiBold"/>
          <w:b/>
          <w:bCs/>
          <w:color w:val="0087A8"/>
          <w:sz w:val="18"/>
          <w:szCs w:val="18"/>
        </w:rPr>
        <w:t>www.germanpropertypartners.de</w:t>
      </w:r>
    </w:p>
    <w:p w14:paraId="44867C81" w14:textId="77777777" w:rsidR="00F6024C" w:rsidRDefault="00F6024C" w:rsidP="00D56A51">
      <w:pPr>
        <w:pStyle w:val="EinfAbs"/>
        <w:tabs>
          <w:tab w:val="left" w:pos="200"/>
        </w:tabs>
        <w:spacing w:line="220" w:lineRule="exact"/>
        <w:jc w:val="both"/>
        <w:rPr>
          <w:rFonts w:ascii="Source Sans Pro SemiBold" w:hAnsi="Source Sans Pro SemiBold" w:cs="Source Sans Pro SemiBold"/>
          <w:bCs/>
          <w:sz w:val="14"/>
          <w:szCs w:val="14"/>
        </w:rPr>
      </w:pPr>
      <w:bookmarkStart w:id="1" w:name="_GoBack"/>
      <w:bookmarkEnd w:id="0"/>
      <w:bookmarkEnd w:id="1"/>
    </w:p>
    <w:p w14:paraId="468FAFF6" w14:textId="00332105" w:rsidR="005C25D5" w:rsidRPr="00D56A51" w:rsidRDefault="00290672" w:rsidP="00D56A51">
      <w:pPr>
        <w:pStyle w:val="EinfAbs"/>
        <w:tabs>
          <w:tab w:val="left" w:pos="200"/>
        </w:tabs>
        <w:spacing w:line="220" w:lineRule="exact"/>
        <w:jc w:val="both"/>
        <w:rPr>
          <w:rFonts w:ascii="Source Sans Pro SemiBold" w:hAnsi="Source Sans Pro SemiBold" w:cs="Source Sans Pro"/>
          <w:b/>
          <w:bCs/>
          <w:color w:val="0087A8"/>
          <w:sz w:val="18"/>
          <w:szCs w:val="18"/>
        </w:rPr>
      </w:pPr>
      <w:r w:rsidRPr="00290672">
        <w:rPr>
          <w:rFonts w:ascii="Source Sans Pro SemiBold" w:hAnsi="Source Sans Pro SemiBold" w:cs="Source Sans Pro SemiBold"/>
          <w:bCs/>
          <w:sz w:val="14"/>
          <w:szCs w:val="14"/>
        </w:rPr>
        <w:t>Die</w:t>
      </w:r>
      <w:r>
        <w:rPr>
          <w:rFonts w:ascii="Source Sans Pro SemiBold" w:hAnsi="Source Sans Pro SemiBold" w:cs="Source Sans Pro SemiBold"/>
          <w:b/>
          <w:bCs/>
          <w:caps/>
          <w:sz w:val="14"/>
          <w:szCs w:val="14"/>
        </w:rPr>
        <w:t xml:space="preserve"> </w:t>
      </w:r>
      <w:r w:rsidR="00DA733A" w:rsidRPr="00917410">
        <w:rPr>
          <w:rFonts w:ascii="Source Sans Pro SemiBold" w:hAnsi="Source Sans Pro SemiBold" w:cs="Source Sans Pro SemiBold"/>
          <w:b/>
          <w:bCs/>
          <w:caps/>
          <w:sz w:val="14"/>
          <w:szCs w:val="14"/>
        </w:rPr>
        <w:t>Datenschutzerklärung</w:t>
      </w:r>
      <w:r w:rsidR="00DA733A" w:rsidRPr="00917410">
        <w:rPr>
          <w:rFonts w:ascii="Source Sans Pro" w:hAnsi="Source Sans Pro" w:cs="Source Sans Pro"/>
          <w:sz w:val="14"/>
          <w:szCs w:val="14"/>
        </w:rPr>
        <w:t xml:space="preserve"> von German Property Partners finden Sie auf der GPP-Website: www.germanpropertypartners.de/datenschutz. Wenn Sie künftig keine Informationen der GPP-Pressestelle mehr erhalten möchten, senden Sie bitte eine E-Mail an presse@germanpropertypartners.de mit dem Betreff „Abmeldung aus Presseverteiler“. </w:t>
      </w:r>
    </w:p>
    <w:sectPr w:rsidR="005C25D5" w:rsidRPr="00D56A51" w:rsidSect="001B786B">
      <w:headerReference w:type="default" r:id="rId9"/>
      <w:footerReference w:type="default" r:id="rId10"/>
      <w:headerReference w:type="first" r:id="rId11"/>
      <w:footerReference w:type="first" r:id="rId12"/>
      <w:pgSz w:w="11900" w:h="16820" w:code="9"/>
      <w:pgMar w:top="2552" w:right="1304" w:bottom="567" w:left="1304" w:header="885" w:footer="567"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6DBE0" w14:textId="77777777" w:rsidR="00E27DEF" w:rsidRDefault="00E27DEF">
      <w:r>
        <w:separator/>
      </w:r>
    </w:p>
  </w:endnote>
  <w:endnote w:type="continuationSeparator" w:id="0">
    <w:p w14:paraId="63E8188B" w14:textId="77777777" w:rsidR="00E27DEF" w:rsidRDefault="00E2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ans Pro SemiBold">
    <w:panose1 w:val="020B0603030403020204"/>
    <w:charset w:val="00"/>
    <w:family w:val="swiss"/>
    <w:pitch w:val="variable"/>
    <w:sig w:usb0="600002F7" w:usb1="02000001" w:usb2="00000000" w:usb3="00000000" w:csb0="0000019F" w:csb1="00000000"/>
  </w:font>
  <w:font w:name="HelveticaNeueLT Pro 55 Roman">
    <w:altName w:val="Arial"/>
    <w:charset w:val="4D"/>
    <w:family w:val="swiss"/>
    <w:pitch w:val="variable"/>
    <w:sig w:usb0="A00000AF" w:usb1="5000204A" w:usb2="00000000" w:usb3="00000000" w:csb0="00000093" w:csb1="00000000"/>
  </w:font>
  <w:font w:name="DengXian Light">
    <w:altName w:val="Microsoft JhengHei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FC666" w14:textId="0B1390D1" w:rsidR="001B786B" w:rsidRDefault="001B786B" w:rsidP="001B786B">
    <w:pPr>
      <w:pStyle w:val="Fuzeile"/>
      <w:spacing w:line="220" w:lineRule="exact"/>
      <w:rPr>
        <w:rStyle w:val="Seitenzahl"/>
        <w:rFonts w:ascii="Source Sans Pro" w:hAnsi="Source Sans Pro" w:cs="Arial"/>
        <w:color w:val="0086A8"/>
        <w:sz w:val="18"/>
        <w:szCs w:val="18"/>
      </w:rPr>
    </w:pPr>
  </w:p>
  <w:p w14:paraId="08A74C44" w14:textId="77777777" w:rsidR="006F154A" w:rsidRDefault="006F154A" w:rsidP="001B786B">
    <w:pPr>
      <w:pStyle w:val="Fuzeile"/>
      <w:spacing w:line="220" w:lineRule="exact"/>
      <w:rPr>
        <w:rStyle w:val="Seitenzahl"/>
        <w:rFonts w:ascii="Source Sans Pro" w:hAnsi="Source Sans Pro" w:cs="Arial"/>
        <w:color w:val="0086A8"/>
        <w:sz w:val="18"/>
        <w:szCs w:val="18"/>
      </w:rPr>
    </w:pPr>
  </w:p>
  <w:p w14:paraId="1F725FAF" w14:textId="77777777" w:rsidR="006F154A" w:rsidRPr="006456EA" w:rsidRDefault="006F154A" w:rsidP="001B786B">
    <w:pPr>
      <w:pStyle w:val="Fuzeile"/>
      <w:spacing w:line="220" w:lineRule="exact"/>
      <w:rPr>
        <w:rStyle w:val="Seitenzahl"/>
        <w:rFonts w:ascii="Source Sans Pro" w:hAnsi="Source Sans Pro" w:cs="Arial"/>
        <w:color w:val="0087A8"/>
        <w:sz w:val="18"/>
        <w:szCs w:val="18"/>
      </w:rPr>
    </w:pPr>
  </w:p>
  <w:p w14:paraId="3E5BA6C5" w14:textId="7832F51E" w:rsidR="005644BE" w:rsidRPr="006456EA" w:rsidRDefault="005644BE" w:rsidP="005644BE">
    <w:pPr>
      <w:pStyle w:val="Fuzeile"/>
      <w:spacing w:line="220" w:lineRule="exact"/>
      <w:rPr>
        <w:rStyle w:val="Seitenzahl"/>
        <w:rFonts w:ascii="Source Sans Pro" w:hAnsi="Source Sans Pro" w:cs="Arial"/>
        <w:color w:val="0087A8"/>
        <w:sz w:val="18"/>
        <w:szCs w:val="18"/>
      </w:rPr>
    </w:pP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PAGE </w:instrText>
    </w:r>
    <w:r w:rsidRPr="006456EA">
      <w:rPr>
        <w:rStyle w:val="Seitenzahl"/>
        <w:rFonts w:ascii="Source Sans Pro" w:hAnsi="Source Sans Pro" w:cs="Arial"/>
        <w:color w:val="0087A8"/>
        <w:sz w:val="18"/>
        <w:szCs w:val="18"/>
      </w:rPr>
      <w:fldChar w:fldCharType="separate"/>
    </w:r>
    <w:r w:rsidR="00384735">
      <w:rPr>
        <w:rStyle w:val="Seitenzahl"/>
        <w:rFonts w:ascii="Source Sans Pro" w:hAnsi="Source Sans Pro" w:cs="Arial"/>
        <w:noProof/>
        <w:color w:val="0087A8"/>
        <w:sz w:val="18"/>
        <w:szCs w:val="18"/>
      </w:rPr>
      <w:t>2</w:t>
    </w:r>
    <w:r w:rsidRPr="006456EA">
      <w:rPr>
        <w:rStyle w:val="Seitenzahl"/>
        <w:rFonts w:ascii="Source Sans Pro" w:hAnsi="Source Sans Pro" w:cs="Arial"/>
        <w:color w:val="0087A8"/>
        <w:sz w:val="18"/>
        <w:szCs w:val="18"/>
      </w:rPr>
      <w:fldChar w:fldCharType="end"/>
    </w:r>
    <w:r w:rsidRPr="006456EA">
      <w:rPr>
        <w:rStyle w:val="Seitenzahl"/>
        <w:rFonts w:ascii="Source Sans Pro" w:hAnsi="Source Sans Pro" w:cs="Arial"/>
        <w:color w:val="0087A8"/>
        <w:sz w:val="18"/>
        <w:szCs w:val="18"/>
      </w:rPr>
      <w:t xml:space="preserve"> I </w:t>
    </w: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NUMPAGES </w:instrText>
    </w:r>
    <w:r w:rsidRPr="006456EA">
      <w:rPr>
        <w:rStyle w:val="Seitenzahl"/>
        <w:rFonts w:ascii="Source Sans Pro" w:hAnsi="Source Sans Pro" w:cs="Arial"/>
        <w:color w:val="0087A8"/>
        <w:sz w:val="18"/>
        <w:szCs w:val="18"/>
      </w:rPr>
      <w:fldChar w:fldCharType="separate"/>
    </w:r>
    <w:r w:rsidR="00384735">
      <w:rPr>
        <w:rStyle w:val="Seitenzahl"/>
        <w:rFonts w:ascii="Source Sans Pro" w:hAnsi="Source Sans Pro" w:cs="Arial"/>
        <w:noProof/>
        <w:color w:val="0087A8"/>
        <w:sz w:val="18"/>
        <w:szCs w:val="18"/>
      </w:rPr>
      <w:t>3</w:t>
    </w:r>
    <w:r w:rsidRPr="006456EA">
      <w:rPr>
        <w:rStyle w:val="Seitenzahl"/>
        <w:rFonts w:ascii="Source Sans Pro" w:hAnsi="Source Sans Pro" w:cs="Arial"/>
        <w:color w:val="0087A8"/>
        <w:sz w:val="18"/>
        <w:szCs w:val="18"/>
      </w:rPr>
      <w:fldChar w:fldCharType="end"/>
    </w:r>
  </w:p>
  <w:p w14:paraId="5D199B7F" w14:textId="183E2E75" w:rsidR="005644BE" w:rsidRPr="006456EA" w:rsidRDefault="005644BE" w:rsidP="005644BE">
    <w:pPr>
      <w:pStyle w:val="EinfAbs"/>
      <w:tabs>
        <w:tab w:val="left" w:pos="2268"/>
      </w:tabs>
      <w:spacing w:line="220" w:lineRule="exact"/>
      <w:rPr>
        <w:rFonts w:ascii="Source Sans Pro" w:hAnsi="Source Sans Pro" w:cs="Source Sans Pro"/>
        <w:color w:val="0087A8"/>
        <w:sz w:val="18"/>
        <w:szCs w:val="18"/>
      </w:rPr>
    </w:pPr>
    <w:r w:rsidRPr="006456EA">
      <w:rPr>
        <w:rFonts w:ascii="Source Sans Pro SemiBold" w:hAnsi="Source Sans Pro SemiBold" w:cs="Source Sans Pro SemiBold"/>
        <w:b/>
        <w:bCs/>
        <w:caps/>
        <w:color w:val="0087A8"/>
        <w:sz w:val="18"/>
        <w:szCs w:val="18"/>
      </w:rPr>
      <w:t>PRESSEKONTAKT:</w:t>
    </w:r>
    <w:r w:rsidRPr="006456EA">
      <w:rPr>
        <w:rFonts w:ascii="Source Sans Pro SemiBold" w:hAnsi="Source Sans Pro SemiBold" w:cs="Source Sans Pro SemiBold"/>
        <w:b/>
        <w:bCs/>
        <w:caps/>
        <w:color w:val="0087A8"/>
        <w:sz w:val="18"/>
        <w:szCs w:val="18"/>
      </w:rPr>
      <w:tab/>
    </w:r>
    <w:r w:rsidR="009B008F">
      <w:rPr>
        <w:rFonts w:ascii="Source Sans Pro" w:hAnsi="Source Sans Pro" w:cs="Source Sans Pro"/>
        <w:color w:val="0087A8"/>
        <w:sz w:val="18"/>
        <w:szCs w:val="18"/>
      </w:rPr>
      <w:t>T  +49 40 350802</w:t>
    </w:r>
    <w:r w:rsidR="00282ED8">
      <w:rPr>
        <w:rFonts w:ascii="Source Sans Pro" w:hAnsi="Source Sans Pro" w:cs="Source Sans Pro"/>
        <w:color w:val="0087A8"/>
        <w:sz w:val="18"/>
        <w:szCs w:val="18"/>
      </w:rPr>
      <w:t>-</w:t>
    </w:r>
    <w:r w:rsidR="008B1BA3">
      <w:rPr>
        <w:rFonts w:ascii="Source Sans Pro" w:hAnsi="Source Sans Pro" w:cs="Source Sans Pro"/>
        <w:color w:val="0087A8"/>
        <w:sz w:val="18"/>
        <w:szCs w:val="18"/>
      </w:rPr>
      <w:t>9</w:t>
    </w:r>
    <w:r w:rsidR="001A6DC9">
      <w:rPr>
        <w:rFonts w:ascii="Source Sans Pro" w:hAnsi="Source Sans Pro" w:cs="Source Sans Pro"/>
        <w:color w:val="0087A8"/>
        <w:sz w:val="18"/>
        <w:szCs w:val="18"/>
      </w:rPr>
      <w:t>88</w:t>
    </w:r>
    <w:r w:rsidRPr="006456EA">
      <w:rPr>
        <w:rFonts w:ascii="Source Sans Pro" w:hAnsi="Source Sans Pro" w:cs="Source Sans Pro"/>
        <w:color w:val="0087A8"/>
        <w:sz w:val="18"/>
        <w:szCs w:val="18"/>
      </w:rPr>
      <w:t xml:space="preserve"> </w:t>
    </w:r>
  </w:p>
  <w:p w14:paraId="6F9C1B3C" w14:textId="0D703A99" w:rsidR="00C41C74" w:rsidRPr="005644BE" w:rsidRDefault="00965DEB" w:rsidP="001B786B">
    <w:pPr>
      <w:pStyle w:val="EinfAbs"/>
      <w:tabs>
        <w:tab w:val="left" w:pos="2268"/>
      </w:tabs>
      <w:spacing w:line="220" w:lineRule="exact"/>
      <w:rPr>
        <w:rFonts w:ascii="Source Sans Pro" w:hAnsi="Source Sans Pro" w:cs="Source Sans Pro"/>
        <w:color w:val="0086A8"/>
        <w:sz w:val="18"/>
        <w:szCs w:val="18"/>
      </w:rPr>
    </w:pPr>
    <w:r w:rsidRPr="00965DEB">
      <w:rPr>
        <w:noProof/>
      </w:rPr>
      <w:drawing>
        <wp:anchor distT="0" distB="0" distL="114300" distR="114300" simplePos="0" relativeHeight="251676672" behindDoc="0" locked="0" layoutInCell="1" allowOverlap="1" wp14:anchorId="74B63C0B" wp14:editId="0C6711F5">
          <wp:simplePos x="0" y="0"/>
          <wp:positionH relativeFrom="page">
            <wp:posOffset>4788535</wp:posOffset>
          </wp:positionH>
          <wp:positionV relativeFrom="page">
            <wp:posOffset>10196195</wp:posOffset>
          </wp:positionV>
          <wp:extent cx="1947600" cy="100800"/>
          <wp:effectExtent l="0" t="0" r="0" b="127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pic:cNvPicPr/>
                </pic:nvPicPr>
                <pic:blipFill>
                  <a:blip r:embed="rId1">
                    <a:extLst>
                      <a:ext uri="{28A0092B-C50C-407E-A947-70E740481C1C}">
                        <a14:useLocalDpi xmlns:a14="http://schemas.microsoft.com/office/drawing/2010/main" val="0"/>
                      </a:ext>
                    </a:extLst>
                  </a:blip>
                  <a:stretch>
                    <a:fillRect/>
                  </a:stretch>
                </pic:blipFill>
                <pic:spPr>
                  <a:xfrm>
                    <a:off x="0" y="0"/>
                    <a:ext cx="1947600" cy="100800"/>
                  </a:xfrm>
                  <a:prstGeom prst="rect">
                    <a:avLst/>
                  </a:prstGeom>
                </pic:spPr>
              </pic:pic>
            </a:graphicData>
          </a:graphic>
          <wp14:sizeRelH relativeFrom="margin">
            <wp14:pctWidth>0</wp14:pctWidth>
          </wp14:sizeRelH>
          <wp14:sizeRelV relativeFrom="margin">
            <wp14:pctHeight>0</wp14:pctHeight>
          </wp14:sizeRelV>
        </wp:anchor>
      </w:drawing>
    </w:r>
    <w:r w:rsidR="001A6DC9">
      <w:rPr>
        <w:rFonts w:ascii="Source Sans Pro" w:hAnsi="Source Sans Pro" w:cs="Source Sans Pro"/>
        <w:color w:val="0087A8"/>
        <w:sz w:val="18"/>
        <w:szCs w:val="18"/>
      </w:rPr>
      <w:t>Katharina Koester</w:t>
    </w:r>
    <w:r w:rsidR="005644BE" w:rsidRPr="006456EA">
      <w:rPr>
        <w:rFonts w:ascii="Source Sans Pro" w:hAnsi="Source Sans Pro" w:cs="Source Sans Pro"/>
        <w:color w:val="0087A8"/>
        <w:sz w:val="18"/>
        <w:szCs w:val="18"/>
      </w:rPr>
      <w:tab/>
      <w:t>presse@germanpropertypartners.de</w:t>
    </w:r>
    <w:r w:rsidR="00077E8A">
      <w:rPr>
        <w:rStyle w:val="Seitenzahl"/>
      </w:rPr>
      <w:tab/>
    </w:r>
    <w:r w:rsidR="00077E8A">
      <w:rPr>
        <w:rStyle w:val="Seitenzah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AF12" w14:textId="78D04753" w:rsidR="00C41C74" w:rsidRPr="001B786B" w:rsidRDefault="00C41C74" w:rsidP="001B786B">
    <w:pPr>
      <w:pStyle w:val="Fuzeile"/>
      <w:spacing w:line="220" w:lineRule="exact"/>
      <w:rPr>
        <w:rStyle w:val="Seitenzahl"/>
        <w:rFonts w:ascii="Source Sans Pro" w:hAnsi="Source Sans Pro"/>
        <w:color w:val="0086A8"/>
        <w:sz w:val="18"/>
        <w:szCs w:val="18"/>
      </w:rPr>
    </w:pPr>
  </w:p>
  <w:p w14:paraId="00991498" w14:textId="288251DA" w:rsidR="00C41C74" w:rsidRPr="006456EA" w:rsidRDefault="00C41C74" w:rsidP="00C35841">
    <w:pPr>
      <w:pStyle w:val="Fuzeile"/>
      <w:spacing w:line="220" w:lineRule="exact"/>
      <w:rPr>
        <w:rStyle w:val="Seitenzahl"/>
        <w:rFonts w:ascii="Source Sans Pro" w:hAnsi="Source Sans Pro" w:cs="Arial"/>
        <w:color w:val="0087A8"/>
        <w:sz w:val="18"/>
        <w:szCs w:val="18"/>
      </w:rPr>
    </w:pP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PAGE </w:instrText>
    </w:r>
    <w:r w:rsidRPr="006456EA">
      <w:rPr>
        <w:rStyle w:val="Seitenzahl"/>
        <w:rFonts w:ascii="Source Sans Pro" w:hAnsi="Source Sans Pro" w:cs="Arial"/>
        <w:color w:val="0087A8"/>
        <w:sz w:val="18"/>
        <w:szCs w:val="18"/>
      </w:rPr>
      <w:fldChar w:fldCharType="separate"/>
    </w:r>
    <w:r w:rsidR="00384735">
      <w:rPr>
        <w:rStyle w:val="Seitenzahl"/>
        <w:rFonts w:ascii="Source Sans Pro" w:hAnsi="Source Sans Pro" w:cs="Arial"/>
        <w:noProof/>
        <w:color w:val="0087A8"/>
        <w:sz w:val="18"/>
        <w:szCs w:val="18"/>
      </w:rPr>
      <w:t>1</w:t>
    </w:r>
    <w:r w:rsidRPr="006456EA">
      <w:rPr>
        <w:rStyle w:val="Seitenzahl"/>
        <w:rFonts w:ascii="Source Sans Pro" w:hAnsi="Source Sans Pro" w:cs="Arial"/>
        <w:color w:val="0087A8"/>
        <w:sz w:val="18"/>
        <w:szCs w:val="18"/>
      </w:rPr>
      <w:fldChar w:fldCharType="end"/>
    </w:r>
    <w:r w:rsidRPr="006456EA">
      <w:rPr>
        <w:rStyle w:val="Seitenzahl"/>
        <w:rFonts w:ascii="Source Sans Pro" w:hAnsi="Source Sans Pro" w:cs="Arial"/>
        <w:color w:val="0087A8"/>
        <w:sz w:val="18"/>
        <w:szCs w:val="18"/>
      </w:rPr>
      <w:t xml:space="preserve"> </w:t>
    </w:r>
    <w:r w:rsidR="00B862DB" w:rsidRPr="006456EA">
      <w:rPr>
        <w:rStyle w:val="Seitenzahl"/>
        <w:rFonts w:ascii="Source Sans Pro" w:hAnsi="Source Sans Pro" w:cs="Arial"/>
        <w:color w:val="0087A8"/>
        <w:sz w:val="18"/>
        <w:szCs w:val="18"/>
      </w:rPr>
      <w:t>I</w:t>
    </w:r>
    <w:r w:rsidRPr="006456EA">
      <w:rPr>
        <w:rStyle w:val="Seitenzahl"/>
        <w:rFonts w:ascii="Source Sans Pro" w:hAnsi="Source Sans Pro" w:cs="Arial"/>
        <w:color w:val="0087A8"/>
        <w:sz w:val="18"/>
        <w:szCs w:val="18"/>
      </w:rPr>
      <w:t xml:space="preserve"> </w:t>
    </w:r>
    <w:r w:rsidRPr="006456EA">
      <w:rPr>
        <w:rStyle w:val="Seitenzahl"/>
        <w:rFonts w:ascii="Source Sans Pro" w:hAnsi="Source Sans Pro" w:cs="Arial"/>
        <w:color w:val="0087A8"/>
        <w:sz w:val="18"/>
        <w:szCs w:val="18"/>
      </w:rPr>
      <w:fldChar w:fldCharType="begin"/>
    </w:r>
    <w:r w:rsidRPr="006456EA">
      <w:rPr>
        <w:rStyle w:val="Seitenzahl"/>
        <w:rFonts w:ascii="Source Sans Pro" w:hAnsi="Source Sans Pro" w:cs="Arial"/>
        <w:color w:val="0087A8"/>
        <w:sz w:val="18"/>
        <w:szCs w:val="18"/>
      </w:rPr>
      <w:instrText xml:space="preserve"> NUMPAGES </w:instrText>
    </w:r>
    <w:r w:rsidRPr="006456EA">
      <w:rPr>
        <w:rStyle w:val="Seitenzahl"/>
        <w:rFonts w:ascii="Source Sans Pro" w:hAnsi="Source Sans Pro" w:cs="Arial"/>
        <w:color w:val="0087A8"/>
        <w:sz w:val="18"/>
        <w:szCs w:val="18"/>
      </w:rPr>
      <w:fldChar w:fldCharType="separate"/>
    </w:r>
    <w:r w:rsidR="00384735">
      <w:rPr>
        <w:rStyle w:val="Seitenzahl"/>
        <w:rFonts w:ascii="Source Sans Pro" w:hAnsi="Source Sans Pro" w:cs="Arial"/>
        <w:noProof/>
        <w:color w:val="0087A8"/>
        <w:sz w:val="18"/>
        <w:szCs w:val="18"/>
      </w:rPr>
      <w:t>3</w:t>
    </w:r>
    <w:r w:rsidRPr="006456EA">
      <w:rPr>
        <w:rStyle w:val="Seitenzahl"/>
        <w:rFonts w:ascii="Source Sans Pro" w:hAnsi="Source Sans Pro" w:cs="Arial"/>
        <w:color w:val="0087A8"/>
        <w:sz w:val="18"/>
        <w:szCs w:val="18"/>
      </w:rPr>
      <w:fldChar w:fldCharType="end"/>
    </w:r>
  </w:p>
  <w:p w14:paraId="664ECE5C" w14:textId="196BBEF1" w:rsidR="001E1829" w:rsidRPr="006456EA" w:rsidRDefault="001E1829" w:rsidP="00C846F6">
    <w:pPr>
      <w:pStyle w:val="EinfAbs"/>
      <w:tabs>
        <w:tab w:val="left" w:pos="2268"/>
      </w:tabs>
      <w:spacing w:line="220" w:lineRule="exact"/>
      <w:rPr>
        <w:rFonts w:ascii="Source Sans Pro" w:hAnsi="Source Sans Pro" w:cs="Source Sans Pro"/>
        <w:color w:val="0087A8"/>
        <w:sz w:val="18"/>
        <w:szCs w:val="18"/>
      </w:rPr>
    </w:pPr>
    <w:r w:rsidRPr="006456EA">
      <w:rPr>
        <w:rFonts w:ascii="Source Sans Pro SemiBold" w:hAnsi="Source Sans Pro SemiBold" w:cs="Source Sans Pro SemiBold"/>
        <w:b/>
        <w:bCs/>
        <w:caps/>
        <w:color w:val="0087A8"/>
        <w:sz w:val="18"/>
        <w:szCs w:val="18"/>
      </w:rPr>
      <w:t>PRESSEKONTAKT:</w:t>
    </w:r>
    <w:r w:rsidR="00C846F6" w:rsidRPr="006456EA">
      <w:rPr>
        <w:rFonts w:ascii="Source Sans Pro SemiBold" w:hAnsi="Source Sans Pro SemiBold" w:cs="Source Sans Pro SemiBold"/>
        <w:b/>
        <w:bCs/>
        <w:caps/>
        <w:color w:val="0087A8"/>
        <w:sz w:val="18"/>
        <w:szCs w:val="18"/>
      </w:rPr>
      <w:tab/>
    </w:r>
    <w:r w:rsidR="00C35841" w:rsidRPr="006456EA">
      <w:rPr>
        <w:rFonts w:ascii="Source Sans Pro" w:hAnsi="Source Sans Pro" w:cs="Source Sans Pro"/>
        <w:color w:val="0087A8"/>
        <w:sz w:val="18"/>
        <w:szCs w:val="18"/>
      </w:rPr>
      <w:t>T  +</w:t>
    </w:r>
    <w:r w:rsidR="003D5215">
      <w:rPr>
        <w:rFonts w:ascii="Source Sans Pro" w:hAnsi="Source Sans Pro" w:cs="Source Sans Pro"/>
        <w:color w:val="0087A8"/>
        <w:sz w:val="18"/>
        <w:szCs w:val="18"/>
      </w:rPr>
      <w:t>49 40 350802-</w:t>
    </w:r>
    <w:r w:rsidR="008B1BA3">
      <w:rPr>
        <w:rFonts w:ascii="Source Sans Pro" w:hAnsi="Source Sans Pro" w:cs="Source Sans Pro"/>
        <w:color w:val="0087A8"/>
        <w:sz w:val="18"/>
        <w:szCs w:val="18"/>
      </w:rPr>
      <w:t>9</w:t>
    </w:r>
    <w:r w:rsidR="001A6DC9">
      <w:rPr>
        <w:rFonts w:ascii="Source Sans Pro" w:hAnsi="Source Sans Pro" w:cs="Source Sans Pro"/>
        <w:color w:val="0087A8"/>
        <w:sz w:val="18"/>
        <w:szCs w:val="18"/>
      </w:rPr>
      <w:t>88</w:t>
    </w:r>
  </w:p>
  <w:p w14:paraId="5F7CBAE8" w14:textId="4643A2BF" w:rsidR="001E1829" w:rsidRPr="006456EA" w:rsidRDefault="00965DEB" w:rsidP="001B786B">
    <w:pPr>
      <w:pStyle w:val="EinfAbs"/>
      <w:tabs>
        <w:tab w:val="left" w:pos="2268"/>
      </w:tabs>
      <w:spacing w:line="220" w:lineRule="exact"/>
      <w:rPr>
        <w:rFonts w:ascii="Source Sans Pro" w:hAnsi="Source Sans Pro" w:cs="Source Sans Pro"/>
        <w:color w:val="0087A8"/>
        <w:sz w:val="18"/>
        <w:szCs w:val="18"/>
      </w:rPr>
    </w:pPr>
    <w:r>
      <w:rPr>
        <w:rFonts w:ascii="Source Sans Pro" w:hAnsi="Source Sans Pro" w:cs="Arial"/>
        <w:noProof/>
        <w:color w:val="0087A8"/>
        <w:sz w:val="18"/>
        <w:szCs w:val="18"/>
      </w:rPr>
      <w:drawing>
        <wp:anchor distT="0" distB="0" distL="114300" distR="114300" simplePos="0" relativeHeight="251673600" behindDoc="0" locked="0" layoutInCell="1" allowOverlap="1" wp14:anchorId="5D69998A" wp14:editId="68FB5133">
          <wp:simplePos x="0" y="0"/>
          <wp:positionH relativeFrom="page">
            <wp:posOffset>4788535</wp:posOffset>
          </wp:positionH>
          <wp:positionV relativeFrom="page">
            <wp:posOffset>10196195</wp:posOffset>
          </wp:positionV>
          <wp:extent cx="1947600" cy="100800"/>
          <wp:effectExtent l="0" t="0" r="0" b="127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pic:cNvPicPr/>
                </pic:nvPicPr>
                <pic:blipFill>
                  <a:blip r:embed="rId1">
                    <a:extLst>
                      <a:ext uri="{28A0092B-C50C-407E-A947-70E740481C1C}">
                        <a14:useLocalDpi xmlns:a14="http://schemas.microsoft.com/office/drawing/2010/main" val="0"/>
                      </a:ext>
                    </a:extLst>
                  </a:blip>
                  <a:stretch>
                    <a:fillRect/>
                  </a:stretch>
                </pic:blipFill>
                <pic:spPr>
                  <a:xfrm>
                    <a:off x="0" y="0"/>
                    <a:ext cx="1947600" cy="100800"/>
                  </a:xfrm>
                  <a:prstGeom prst="rect">
                    <a:avLst/>
                  </a:prstGeom>
                </pic:spPr>
              </pic:pic>
            </a:graphicData>
          </a:graphic>
          <wp14:sizeRelH relativeFrom="margin">
            <wp14:pctWidth>0</wp14:pctWidth>
          </wp14:sizeRelH>
          <wp14:sizeRelV relativeFrom="margin">
            <wp14:pctHeight>0</wp14:pctHeight>
          </wp14:sizeRelV>
        </wp:anchor>
      </w:drawing>
    </w:r>
    <w:r w:rsidR="001A6DC9">
      <w:rPr>
        <w:rFonts w:ascii="Source Sans Pro" w:hAnsi="Source Sans Pro" w:cs="Source Sans Pro"/>
        <w:color w:val="0087A8"/>
        <w:sz w:val="18"/>
        <w:szCs w:val="18"/>
      </w:rPr>
      <w:t>Katharina Koester</w:t>
    </w:r>
    <w:r w:rsidR="00C35841" w:rsidRPr="006456EA">
      <w:rPr>
        <w:rFonts w:ascii="Source Sans Pro" w:hAnsi="Source Sans Pro" w:cs="Source Sans Pro"/>
        <w:color w:val="0087A8"/>
        <w:sz w:val="18"/>
        <w:szCs w:val="18"/>
      </w:rPr>
      <w:tab/>
      <w:t>presse@germanpropertypartners.de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D1D2D" w14:textId="77777777" w:rsidR="00E27DEF" w:rsidRDefault="00E27DEF">
      <w:r>
        <w:separator/>
      </w:r>
    </w:p>
  </w:footnote>
  <w:footnote w:type="continuationSeparator" w:id="0">
    <w:p w14:paraId="76B94CF8" w14:textId="77777777" w:rsidR="00E27DEF" w:rsidRDefault="00E27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9AE73" w14:textId="5A8CA290" w:rsidR="004D2CD0" w:rsidRDefault="00965DEB" w:rsidP="004D2CD0">
    <w:pPr>
      <w:pStyle w:val="Kopfzeile"/>
      <w:tabs>
        <w:tab w:val="clear" w:pos="4536"/>
        <w:tab w:val="clear" w:pos="9072"/>
        <w:tab w:val="left" w:pos="7938"/>
      </w:tabs>
      <w:ind w:right="-2043"/>
    </w:pPr>
    <w:r w:rsidRPr="00965DEB">
      <w:rPr>
        <w:noProof/>
      </w:rPr>
      <w:drawing>
        <wp:anchor distT="0" distB="0" distL="114300" distR="114300" simplePos="0" relativeHeight="251675648" behindDoc="0" locked="0" layoutInCell="1" allowOverlap="1" wp14:anchorId="08033756" wp14:editId="605ECF66">
          <wp:simplePos x="0" y="0"/>
          <wp:positionH relativeFrom="page">
            <wp:posOffset>5995035</wp:posOffset>
          </wp:positionH>
          <wp:positionV relativeFrom="page">
            <wp:posOffset>100965</wp:posOffset>
          </wp:positionV>
          <wp:extent cx="828000" cy="1065600"/>
          <wp:effectExtent l="0" t="0" r="0" b="127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828000" cy="1065600"/>
                  </a:xfrm>
                  <a:prstGeom prst="rect">
                    <a:avLst/>
                  </a:prstGeom>
                </pic:spPr>
              </pic:pic>
            </a:graphicData>
          </a:graphic>
          <wp14:sizeRelH relativeFrom="margin">
            <wp14:pctWidth>0</wp14:pctWidth>
          </wp14:sizeRelH>
          <wp14:sizeRelV relativeFrom="margin">
            <wp14:pctHeight>0</wp14:pctHeight>
          </wp14:sizeRelV>
        </wp:anchor>
      </w:drawing>
    </w:r>
    <w:r w:rsidR="004D2CD0">
      <w:tab/>
    </w:r>
  </w:p>
  <w:p w14:paraId="1736273E" w14:textId="0051BB57" w:rsidR="004D2CD0" w:rsidRDefault="004D2CD0" w:rsidP="004D2CD0">
    <w:pPr>
      <w:pStyle w:val="Kopfzeile"/>
      <w:tabs>
        <w:tab w:val="clear" w:pos="4536"/>
        <w:tab w:val="clear" w:pos="9072"/>
        <w:tab w:val="left" w:pos="7938"/>
      </w:tabs>
      <w:ind w:right="-1985"/>
    </w:pPr>
  </w:p>
  <w:p w14:paraId="138C2CDC" w14:textId="18B83CBB" w:rsidR="00C41C74" w:rsidRDefault="00BB0F85" w:rsidP="001E5503">
    <w:pPr>
      <w:pStyle w:val="Kopfzeile"/>
      <w:tabs>
        <w:tab w:val="clear" w:pos="4536"/>
        <w:tab w:val="clear" w:pos="9072"/>
        <w:tab w:val="left" w:pos="7938"/>
      </w:tabs>
      <w:ind w:right="-1985"/>
    </w:pPr>
    <w:r>
      <w:rPr>
        <w:noProof/>
      </w:rPr>
      <mc:AlternateContent>
        <mc:Choice Requires="wps">
          <w:drawing>
            <wp:anchor distT="0" distB="0" distL="114300" distR="114300" simplePos="0" relativeHeight="251655168" behindDoc="0" locked="0" layoutInCell="0" allowOverlap="1" wp14:anchorId="36E0A73C" wp14:editId="0C60B6D8">
              <wp:simplePos x="0" y="0"/>
              <wp:positionH relativeFrom="column">
                <wp:posOffset>-26035</wp:posOffset>
              </wp:positionH>
              <wp:positionV relativeFrom="page">
                <wp:posOffset>1332865</wp:posOffset>
              </wp:positionV>
              <wp:extent cx="685800" cy="60134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01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9444D80" id="Rectangle 5" o:spid="_x0000_s1026" style="position:absolute;margin-left:-2.05pt;margin-top:104.95pt;width:54pt;height:4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" o:allowincell="f" filled="f" stroked="f" strokeweight="0">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C617" w14:textId="0096DDD3" w:rsidR="00C41C74" w:rsidRDefault="007B33CE" w:rsidP="009F28F5">
    <w:pPr>
      <w:pStyle w:val="Kopfzeile"/>
      <w:tabs>
        <w:tab w:val="clear" w:pos="4536"/>
        <w:tab w:val="clear" w:pos="9072"/>
        <w:tab w:val="left" w:pos="7938"/>
      </w:tabs>
      <w:ind w:right="-2043"/>
    </w:pPr>
    <w:r>
      <w:rPr>
        <w:noProof/>
      </w:rPr>
      <w:drawing>
        <wp:anchor distT="0" distB="0" distL="114300" distR="114300" simplePos="0" relativeHeight="251654143" behindDoc="0" locked="0" layoutInCell="1" allowOverlap="1" wp14:anchorId="5CC17046" wp14:editId="66798E8E">
          <wp:simplePos x="0" y="0"/>
          <wp:positionH relativeFrom="page">
            <wp:posOffset>5995035</wp:posOffset>
          </wp:positionH>
          <wp:positionV relativeFrom="page">
            <wp:posOffset>102235</wp:posOffset>
          </wp:positionV>
          <wp:extent cx="828000" cy="1065600"/>
          <wp:effectExtent l="0" t="0" r="0" b="127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pic:cNvPicPr/>
                </pic:nvPicPr>
                <pic:blipFill>
                  <a:blip r:embed="rId1">
                    <a:extLst>
                      <a:ext uri="{28A0092B-C50C-407E-A947-70E740481C1C}">
                        <a14:useLocalDpi xmlns:a14="http://schemas.microsoft.com/office/drawing/2010/main" val="0"/>
                      </a:ext>
                    </a:extLst>
                  </a:blip>
                  <a:stretch>
                    <a:fillRect/>
                  </a:stretch>
                </pic:blipFill>
                <pic:spPr>
                  <a:xfrm>
                    <a:off x="0" y="0"/>
                    <a:ext cx="828000" cy="1065600"/>
                  </a:xfrm>
                  <a:prstGeom prst="rect">
                    <a:avLst/>
                  </a:prstGeom>
                </pic:spPr>
              </pic:pic>
            </a:graphicData>
          </a:graphic>
          <wp14:sizeRelH relativeFrom="margin">
            <wp14:pctWidth>0</wp14:pctWidth>
          </wp14:sizeRelH>
          <wp14:sizeRelV relativeFrom="margin">
            <wp14:pctHeight>0</wp14:pctHeight>
          </wp14:sizeRelV>
        </wp:anchor>
      </w:drawing>
    </w:r>
    <w:r w:rsidR="00E8471E">
      <w:rPr>
        <w:noProof/>
      </w:rPr>
      <mc:AlternateContent>
        <mc:Choice Requires="wps">
          <w:drawing>
            <wp:anchor distT="0" distB="0" distL="114300" distR="114300" simplePos="0" relativeHeight="251666432" behindDoc="0" locked="1" layoutInCell="0" allowOverlap="1" wp14:anchorId="7A25BCC8" wp14:editId="12A8C88E">
              <wp:simplePos x="0" y="0"/>
              <wp:positionH relativeFrom="page">
                <wp:posOffset>828040</wp:posOffset>
              </wp:positionH>
              <wp:positionV relativeFrom="page">
                <wp:posOffset>617220</wp:posOffset>
              </wp:positionV>
              <wp:extent cx="3333600" cy="288000"/>
              <wp:effectExtent l="0" t="0" r="6985" b="444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600" cy="28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B4E771" w14:textId="77777777" w:rsidR="000E6577" w:rsidRDefault="000E6577" w:rsidP="000E6577">
                          <w:pPr>
                            <w:pStyle w:val="EinfAbs"/>
                            <w:rPr>
                              <w:rFonts w:ascii="Source Sans Pro" w:hAnsi="Source Sans Pro" w:cs="Source Sans Pro"/>
                              <w:sz w:val="32"/>
                              <w:szCs w:val="32"/>
                            </w:rPr>
                          </w:pPr>
                          <w:r>
                            <w:rPr>
                              <w:rFonts w:ascii="Source Sans Pro" w:hAnsi="Source Sans Pro" w:cs="Source Sans Pro"/>
                              <w:sz w:val="32"/>
                              <w:szCs w:val="32"/>
                            </w:rPr>
                            <w:t>PRESSEMITTEILUNG</w:t>
                          </w:r>
                          <w:r>
                            <w:rPr>
                              <w:rFonts w:ascii="Source Sans Pro" w:hAnsi="Source Sans Pro" w:cs="Source Sans Pro"/>
                              <w:sz w:val="32"/>
                              <w:szCs w:val="32"/>
                            </w:rPr>
                            <w:br/>
                          </w:r>
                        </w:p>
                        <w:p w14:paraId="10D6939D" w14:textId="4BFF8C44" w:rsidR="00E775AC" w:rsidRPr="00B922EE" w:rsidRDefault="00E775AC" w:rsidP="00E775AC">
                          <w:pPr>
                            <w:pStyle w:val="AbsenderArial2"/>
                            <w:spacing w:line="240" w:lineRule="auto"/>
                            <w:rPr>
                              <w:rFonts w:ascii="HelveticaNeueLT Pro 55 Roman" w:hAnsi="HelveticaNeueLT Pro 55 Roman" w:cs="Arial"/>
                              <w:b w:val="0"/>
                              <w:color w:val="002639"/>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BCC8" id="Rectangle 6" o:spid="_x0000_s1026" style="position:absolute;margin-left:65.2pt;margin-top:48.6pt;width:262.5pt;height:22.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" o:allowincell="f" filled="f" stroked="f" strokeweight="0">
              <v:textbox inset="0,0,0,0">
                <w:txbxContent>
                  <w:p w14:paraId="25B4E771" w14:textId="77777777" w:rsidR="000E6577" w:rsidRDefault="000E6577" w:rsidP="000E6577">
                    <w:pPr>
                      <w:pStyle w:val="EinfAbs"/>
                      <w:rPr>
                        <w:rFonts w:ascii="Source Sans Pro" w:hAnsi="Source Sans Pro" w:cs="Source Sans Pro"/>
                        <w:sz w:val="32"/>
                        <w:szCs w:val="32"/>
                      </w:rPr>
                    </w:pPr>
                    <w:r>
                      <w:rPr>
                        <w:rFonts w:ascii="Source Sans Pro" w:hAnsi="Source Sans Pro" w:cs="Source Sans Pro"/>
                        <w:sz w:val="32"/>
                        <w:szCs w:val="32"/>
                      </w:rPr>
                      <w:t>PRESSEMITTEILUNG</w:t>
                    </w:r>
                    <w:r>
                      <w:rPr>
                        <w:rFonts w:ascii="Source Sans Pro" w:hAnsi="Source Sans Pro" w:cs="Source Sans Pro"/>
                        <w:sz w:val="32"/>
                        <w:szCs w:val="32"/>
                      </w:rPr>
                      <w:br/>
                    </w:r>
                  </w:p>
                  <w:p w14:paraId="10D6939D" w14:textId="4BFF8C44" w:rsidR="00E775AC" w:rsidRPr="00B922EE" w:rsidRDefault="00E775AC" w:rsidP="00E775AC">
                    <w:pPr>
                      <w:pStyle w:val="AbsenderArial2"/>
                      <w:spacing w:line="240" w:lineRule="auto"/>
                      <w:rPr>
                        <w:rFonts w:ascii="HelveticaNeueLT Pro 55 Roman" w:hAnsi="HelveticaNeueLT Pro 55 Roman" w:cs="Arial"/>
                        <w:b w:val="0"/>
                        <w:color w:val="002639"/>
                        <w:sz w:val="36"/>
                        <w:szCs w:val="36"/>
                      </w:rPr>
                    </w:pPr>
                  </w:p>
                </w:txbxContent>
              </v:textbox>
              <w10:wrap anchorx="page" anchory="page"/>
              <w10:anchorlock/>
            </v:rect>
          </w:pict>
        </mc:Fallback>
      </mc:AlternateContent>
    </w:r>
    <w:r w:rsidR="009F28F5">
      <w:tab/>
    </w:r>
  </w:p>
  <w:p w14:paraId="3EAD45CF" w14:textId="5FC2DEDD" w:rsidR="004D2CD0" w:rsidRDefault="004D2CD0" w:rsidP="0005029E">
    <w:r>
      <w:tab/>
    </w:r>
  </w:p>
  <w:p w14:paraId="185BEDCB" w14:textId="4F512084" w:rsidR="004D2CD0" w:rsidRDefault="004D2CD0" w:rsidP="004D2CD0">
    <w:pPr>
      <w:pStyle w:val="Kopfzeile"/>
      <w:tabs>
        <w:tab w:val="clear" w:pos="4536"/>
        <w:tab w:val="clear" w:pos="9072"/>
        <w:tab w:val="left" w:pos="7938"/>
      </w:tabs>
      <w:ind w:right="-1985"/>
    </w:pPr>
    <w:r>
      <w:tab/>
    </w:r>
  </w:p>
  <w:p w14:paraId="19BE4530" w14:textId="5BD8E383" w:rsidR="004D2CD0" w:rsidRDefault="004D2CD0" w:rsidP="004D2CD0">
    <w:pPr>
      <w:pStyle w:val="Kopfzeile"/>
      <w:tabs>
        <w:tab w:val="clear" w:pos="4536"/>
        <w:tab w:val="clear" w:pos="9072"/>
        <w:tab w:val="left" w:pos="6265"/>
      </w:tabs>
      <w:ind w:right="-2043"/>
    </w:pPr>
  </w:p>
  <w:p w14:paraId="3370FE02" w14:textId="755B0682" w:rsidR="00C41C74" w:rsidRPr="00DA6836" w:rsidRDefault="00DA6836" w:rsidP="00FC69D9">
    <w:pPr>
      <w:pStyle w:val="Kopfzeile"/>
      <w:tabs>
        <w:tab w:val="clear" w:pos="4536"/>
        <w:tab w:val="clear" w:pos="9072"/>
        <w:tab w:val="left" w:pos="7230"/>
        <w:tab w:val="left" w:pos="8445"/>
      </w:tabs>
      <w:ind w:right="-2043"/>
      <w:rPr>
        <w:b/>
      </w:rPr>
    </w:pPr>
    <w:r>
      <w:tab/>
    </w:r>
  </w:p>
  <w:p w14:paraId="10CD55B7" w14:textId="6876FB57" w:rsidR="00C41C74" w:rsidRDefault="00F5697E">
    <w:pPr>
      <w:pStyle w:val="Kopfzeile"/>
      <w:tabs>
        <w:tab w:val="clear" w:pos="4536"/>
        <w:tab w:val="clear" w:pos="9072"/>
        <w:tab w:val="left" w:pos="6265"/>
      </w:tabs>
      <w:ind w:right="-2043"/>
      <w:rPr>
        <w:rFonts w:ascii="Arial" w:hAnsi="Arial"/>
        <w:sz w:val="15"/>
      </w:rPr>
    </w:pPr>
    <w:r>
      <w:rPr>
        <w:rFonts w:ascii="Arial" w:hAnsi="Arial"/>
        <w:sz w:val="15"/>
      </w:rPr>
      <w:softHyphen/>
    </w:r>
    <w:r>
      <w:rPr>
        <w:rFonts w:ascii="Arial" w:hAnsi="Arial"/>
        <w:sz w:val="15"/>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E87"/>
    <w:multiLevelType w:val="hybridMultilevel"/>
    <w:tmpl w:val="D2941DE4"/>
    <w:lvl w:ilvl="0" w:tplc="E22A0C4A">
      <w:start w:val="37"/>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040F1E"/>
    <w:multiLevelType w:val="hybridMultilevel"/>
    <w:tmpl w:val="4B542F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2B53BB"/>
    <w:multiLevelType w:val="hybridMultilevel"/>
    <w:tmpl w:val="A8BA5CB4"/>
    <w:lvl w:ilvl="0" w:tplc="8778A3DC">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6C0E33"/>
    <w:multiLevelType w:val="hybridMultilevel"/>
    <w:tmpl w:val="2BE8E350"/>
    <w:lvl w:ilvl="0" w:tplc="B82AA302">
      <w:start w:val="20"/>
      <w:numFmt w:val="bullet"/>
      <w:lvlText w:val="-"/>
      <w:lvlJc w:val="left"/>
      <w:pPr>
        <w:ind w:left="720" w:hanging="360"/>
      </w:pPr>
      <w:rPr>
        <w:rFonts w:ascii="Source Sans Pro" w:eastAsia="Times New Roman"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5D19DC"/>
    <w:multiLevelType w:val="hybridMultilevel"/>
    <w:tmpl w:val="7068B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BC36C0"/>
    <w:multiLevelType w:val="hybridMultilevel"/>
    <w:tmpl w:val="51220B10"/>
    <w:lvl w:ilvl="0" w:tplc="782E1AFA">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A1712F"/>
    <w:multiLevelType w:val="hybridMultilevel"/>
    <w:tmpl w:val="ABC89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9030DF"/>
    <w:multiLevelType w:val="hybridMultilevel"/>
    <w:tmpl w:val="C9B00D30"/>
    <w:lvl w:ilvl="0" w:tplc="59D258AA">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BC230A"/>
    <w:multiLevelType w:val="hybridMultilevel"/>
    <w:tmpl w:val="C442B6BA"/>
    <w:lvl w:ilvl="0" w:tplc="5A6C3342">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A813C1"/>
    <w:multiLevelType w:val="hybridMultilevel"/>
    <w:tmpl w:val="05F49C50"/>
    <w:lvl w:ilvl="0" w:tplc="82300CEC">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0B6D1F"/>
    <w:multiLevelType w:val="hybridMultilevel"/>
    <w:tmpl w:val="456A7860"/>
    <w:lvl w:ilvl="0" w:tplc="B774640A">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44D78BD"/>
    <w:multiLevelType w:val="hybridMultilevel"/>
    <w:tmpl w:val="904C4D60"/>
    <w:lvl w:ilvl="0" w:tplc="51F0D846">
      <w:start w:val="37"/>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EC4963"/>
    <w:multiLevelType w:val="hybridMultilevel"/>
    <w:tmpl w:val="751880B2"/>
    <w:lvl w:ilvl="0" w:tplc="AF12DF7E">
      <w:start w:val="20"/>
      <w:numFmt w:val="bullet"/>
      <w:lvlText w:val="-"/>
      <w:lvlJc w:val="left"/>
      <w:pPr>
        <w:ind w:left="720" w:hanging="360"/>
      </w:pPr>
      <w:rPr>
        <w:rFonts w:ascii="Source Sans Pro" w:eastAsia="Times New Roman" w:hAnsi="Source Sans Pro" w:cs="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985149"/>
    <w:multiLevelType w:val="hybridMultilevel"/>
    <w:tmpl w:val="EDEAD9E0"/>
    <w:lvl w:ilvl="0" w:tplc="2782346E">
      <w:numFmt w:val="bullet"/>
      <w:lvlText w:val="-"/>
      <w:lvlJc w:val="left"/>
      <w:pPr>
        <w:ind w:left="720" w:hanging="360"/>
      </w:pPr>
      <w:rPr>
        <w:rFonts w:ascii="Source Sans Pro" w:eastAsia="Times New Roman" w:hAnsi="Source Sans Pro"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3"/>
  </w:num>
  <w:num w:numId="5">
    <w:abstractNumId w:val="0"/>
  </w:num>
  <w:num w:numId="6">
    <w:abstractNumId w:val="11"/>
  </w:num>
  <w:num w:numId="7">
    <w:abstractNumId w:val="10"/>
  </w:num>
  <w:num w:numId="8">
    <w:abstractNumId w:val="8"/>
  </w:num>
  <w:num w:numId="9">
    <w:abstractNumId w:val="2"/>
  </w:num>
  <w:num w:numId="10">
    <w:abstractNumId w:val="5"/>
  </w:num>
  <w:num w:numId="11">
    <w:abstractNumId w:val="7"/>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85"/>
    <w:rsid w:val="00001F24"/>
    <w:rsid w:val="000021F4"/>
    <w:rsid w:val="00004E93"/>
    <w:rsid w:val="000136D7"/>
    <w:rsid w:val="00013C9D"/>
    <w:rsid w:val="00013D73"/>
    <w:rsid w:val="0001662B"/>
    <w:rsid w:val="00020AC9"/>
    <w:rsid w:val="00027EA3"/>
    <w:rsid w:val="00032028"/>
    <w:rsid w:val="00034121"/>
    <w:rsid w:val="000440EB"/>
    <w:rsid w:val="0005029E"/>
    <w:rsid w:val="000610DA"/>
    <w:rsid w:val="00062237"/>
    <w:rsid w:val="00065685"/>
    <w:rsid w:val="000663B5"/>
    <w:rsid w:val="000665E2"/>
    <w:rsid w:val="00066A8A"/>
    <w:rsid w:val="00072A30"/>
    <w:rsid w:val="00073A63"/>
    <w:rsid w:val="000772AE"/>
    <w:rsid w:val="00077E8A"/>
    <w:rsid w:val="00080FD4"/>
    <w:rsid w:val="00081DAD"/>
    <w:rsid w:val="00082C59"/>
    <w:rsid w:val="00091562"/>
    <w:rsid w:val="00091D49"/>
    <w:rsid w:val="00091E5B"/>
    <w:rsid w:val="0009382E"/>
    <w:rsid w:val="000A072C"/>
    <w:rsid w:val="000A36D6"/>
    <w:rsid w:val="000A4FBB"/>
    <w:rsid w:val="000A6A78"/>
    <w:rsid w:val="000B2DF4"/>
    <w:rsid w:val="000B310B"/>
    <w:rsid w:val="000B4A9D"/>
    <w:rsid w:val="000C3A22"/>
    <w:rsid w:val="000C6B4F"/>
    <w:rsid w:val="000D5A87"/>
    <w:rsid w:val="000D6F1F"/>
    <w:rsid w:val="000D7B09"/>
    <w:rsid w:val="000D7FD3"/>
    <w:rsid w:val="000E194E"/>
    <w:rsid w:val="000E4F2C"/>
    <w:rsid w:val="000E6577"/>
    <w:rsid w:val="000E694E"/>
    <w:rsid w:val="000E753B"/>
    <w:rsid w:val="000F57F1"/>
    <w:rsid w:val="000F582C"/>
    <w:rsid w:val="001104E2"/>
    <w:rsid w:val="00110917"/>
    <w:rsid w:val="00110E37"/>
    <w:rsid w:val="00110F8E"/>
    <w:rsid w:val="00113D8C"/>
    <w:rsid w:val="00120624"/>
    <w:rsid w:val="0012156C"/>
    <w:rsid w:val="001304F6"/>
    <w:rsid w:val="00131DC5"/>
    <w:rsid w:val="001340F8"/>
    <w:rsid w:val="00146388"/>
    <w:rsid w:val="00150092"/>
    <w:rsid w:val="001550FE"/>
    <w:rsid w:val="00155828"/>
    <w:rsid w:val="0015690C"/>
    <w:rsid w:val="00156AF6"/>
    <w:rsid w:val="00161817"/>
    <w:rsid w:val="00162CC4"/>
    <w:rsid w:val="001647B3"/>
    <w:rsid w:val="00166ED2"/>
    <w:rsid w:val="00176433"/>
    <w:rsid w:val="0018092C"/>
    <w:rsid w:val="00181706"/>
    <w:rsid w:val="00184BB0"/>
    <w:rsid w:val="00190761"/>
    <w:rsid w:val="00195319"/>
    <w:rsid w:val="001963BB"/>
    <w:rsid w:val="0019772A"/>
    <w:rsid w:val="001A22F5"/>
    <w:rsid w:val="001A6DC9"/>
    <w:rsid w:val="001B786B"/>
    <w:rsid w:val="001C32DB"/>
    <w:rsid w:val="001C33FC"/>
    <w:rsid w:val="001C518B"/>
    <w:rsid w:val="001D00A5"/>
    <w:rsid w:val="001E1829"/>
    <w:rsid w:val="001E5503"/>
    <w:rsid w:val="001E7716"/>
    <w:rsid w:val="001F218D"/>
    <w:rsid w:val="001F35E1"/>
    <w:rsid w:val="001F53BE"/>
    <w:rsid w:val="00200C83"/>
    <w:rsid w:val="002014F7"/>
    <w:rsid w:val="00202DD3"/>
    <w:rsid w:val="0022694F"/>
    <w:rsid w:val="00235393"/>
    <w:rsid w:val="00235BF8"/>
    <w:rsid w:val="002373F7"/>
    <w:rsid w:val="00264A0A"/>
    <w:rsid w:val="00265CA3"/>
    <w:rsid w:val="002704CD"/>
    <w:rsid w:val="00270F3A"/>
    <w:rsid w:val="0028070D"/>
    <w:rsid w:val="00282ED8"/>
    <w:rsid w:val="00290672"/>
    <w:rsid w:val="00290917"/>
    <w:rsid w:val="002A09C2"/>
    <w:rsid w:val="002A21DD"/>
    <w:rsid w:val="002A42FA"/>
    <w:rsid w:val="002A480D"/>
    <w:rsid w:val="002A7D58"/>
    <w:rsid w:val="002B63FD"/>
    <w:rsid w:val="002B749A"/>
    <w:rsid w:val="002C52C5"/>
    <w:rsid w:val="002E1C45"/>
    <w:rsid w:val="002E5673"/>
    <w:rsid w:val="002F461A"/>
    <w:rsid w:val="002F53E5"/>
    <w:rsid w:val="002F786B"/>
    <w:rsid w:val="00306932"/>
    <w:rsid w:val="0030746C"/>
    <w:rsid w:val="003152C9"/>
    <w:rsid w:val="00315870"/>
    <w:rsid w:val="00316196"/>
    <w:rsid w:val="003250ED"/>
    <w:rsid w:val="00333A90"/>
    <w:rsid w:val="00340A89"/>
    <w:rsid w:val="00341D84"/>
    <w:rsid w:val="003424EC"/>
    <w:rsid w:val="0034454C"/>
    <w:rsid w:val="00355438"/>
    <w:rsid w:val="00355ED1"/>
    <w:rsid w:val="003613CB"/>
    <w:rsid w:val="00362B48"/>
    <w:rsid w:val="00363075"/>
    <w:rsid w:val="00364C2C"/>
    <w:rsid w:val="00366AF3"/>
    <w:rsid w:val="00367F4F"/>
    <w:rsid w:val="00370785"/>
    <w:rsid w:val="00371640"/>
    <w:rsid w:val="00374F87"/>
    <w:rsid w:val="00375256"/>
    <w:rsid w:val="00384735"/>
    <w:rsid w:val="00392E9E"/>
    <w:rsid w:val="003948FA"/>
    <w:rsid w:val="00394B04"/>
    <w:rsid w:val="003A463F"/>
    <w:rsid w:val="003B09DC"/>
    <w:rsid w:val="003B10B7"/>
    <w:rsid w:val="003B4145"/>
    <w:rsid w:val="003B4C22"/>
    <w:rsid w:val="003B63A8"/>
    <w:rsid w:val="003D36F0"/>
    <w:rsid w:val="003D3F73"/>
    <w:rsid w:val="003D5215"/>
    <w:rsid w:val="003D5D91"/>
    <w:rsid w:val="003E772C"/>
    <w:rsid w:val="003F293B"/>
    <w:rsid w:val="003F5E07"/>
    <w:rsid w:val="003F6066"/>
    <w:rsid w:val="0040331F"/>
    <w:rsid w:val="00403C95"/>
    <w:rsid w:val="00404BCC"/>
    <w:rsid w:val="00405679"/>
    <w:rsid w:val="004061B9"/>
    <w:rsid w:val="0041188F"/>
    <w:rsid w:val="00423DAC"/>
    <w:rsid w:val="00425DBF"/>
    <w:rsid w:val="00426531"/>
    <w:rsid w:val="00430DA2"/>
    <w:rsid w:val="0043217C"/>
    <w:rsid w:val="004329C6"/>
    <w:rsid w:val="004338CA"/>
    <w:rsid w:val="00433CD9"/>
    <w:rsid w:val="004343B1"/>
    <w:rsid w:val="00434EB9"/>
    <w:rsid w:val="00436DD0"/>
    <w:rsid w:val="00442B5C"/>
    <w:rsid w:val="00453F14"/>
    <w:rsid w:val="00456442"/>
    <w:rsid w:val="00462200"/>
    <w:rsid w:val="00465A6E"/>
    <w:rsid w:val="00474099"/>
    <w:rsid w:val="00474AC5"/>
    <w:rsid w:val="004751D8"/>
    <w:rsid w:val="004804A5"/>
    <w:rsid w:val="00481D27"/>
    <w:rsid w:val="00484027"/>
    <w:rsid w:val="00486F74"/>
    <w:rsid w:val="00491CBC"/>
    <w:rsid w:val="004956AE"/>
    <w:rsid w:val="004A2A30"/>
    <w:rsid w:val="004A2D54"/>
    <w:rsid w:val="004A60FB"/>
    <w:rsid w:val="004B5CB6"/>
    <w:rsid w:val="004C322C"/>
    <w:rsid w:val="004C616B"/>
    <w:rsid w:val="004D2CD0"/>
    <w:rsid w:val="004D30FB"/>
    <w:rsid w:val="004D31CF"/>
    <w:rsid w:val="004D6861"/>
    <w:rsid w:val="004E6096"/>
    <w:rsid w:val="004F09D7"/>
    <w:rsid w:val="004F1EDD"/>
    <w:rsid w:val="004F38BF"/>
    <w:rsid w:val="004F5262"/>
    <w:rsid w:val="004F77D4"/>
    <w:rsid w:val="00500981"/>
    <w:rsid w:val="00501428"/>
    <w:rsid w:val="0050248F"/>
    <w:rsid w:val="005045E7"/>
    <w:rsid w:val="00510C33"/>
    <w:rsid w:val="005122A0"/>
    <w:rsid w:val="0052371C"/>
    <w:rsid w:val="0054038E"/>
    <w:rsid w:val="0054593A"/>
    <w:rsid w:val="00547877"/>
    <w:rsid w:val="00554C9F"/>
    <w:rsid w:val="005550A4"/>
    <w:rsid w:val="00557B57"/>
    <w:rsid w:val="00563E13"/>
    <w:rsid w:val="005644BE"/>
    <w:rsid w:val="0057524E"/>
    <w:rsid w:val="00575521"/>
    <w:rsid w:val="00575A55"/>
    <w:rsid w:val="0057613A"/>
    <w:rsid w:val="00583AC8"/>
    <w:rsid w:val="00584565"/>
    <w:rsid w:val="00593E99"/>
    <w:rsid w:val="005A5999"/>
    <w:rsid w:val="005B1077"/>
    <w:rsid w:val="005C25D5"/>
    <w:rsid w:val="005C47F7"/>
    <w:rsid w:val="005D0D0E"/>
    <w:rsid w:val="005D449F"/>
    <w:rsid w:val="005D73BE"/>
    <w:rsid w:val="005E1C97"/>
    <w:rsid w:val="005E6515"/>
    <w:rsid w:val="005F1F6B"/>
    <w:rsid w:val="005F3B7B"/>
    <w:rsid w:val="0060257F"/>
    <w:rsid w:val="00604E20"/>
    <w:rsid w:val="00604F63"/>
    <w:rsid w:val="00605989"/>
    <w:rsid w:val="006061BF"/>
    <w:rsid w:val="00607CF6"/>
    <w:rsid w:val="00610BB3"/>
    <w:rsid w:val="00613713"/>
    <w:rsid w:val="006222FA"/>
    <w:rsid w:val="006224FB"/>
    <w:rsid w:val="00623BB8"/>
    <w:rsid w:val="0063115F"/>
    <w:rsid w:val="00632159"/>
    <w:rsid w:val="00635995"/>
    <w:rsid w:val="006363DA"/>
    <w:rsid w:val="006432C0"/>
    <w:rsid w:val="006456EA"/>
    <w:rsid w:val="00653983"/>
    <w:rsid w:val="00654CEA"/>
    <w:rsid w:val="006609C2"/>
    <w:rsid w:val="00663D75"/>
    <w:rsid w:val="0066478F"/>
    <w:rsid w:val="00675E89"/>
    <w:rsid w:val="00682849"/>
    <w:rsid w:val="00690558"/>
    <w:rsid w:val="00695F46"/>
    <w:rsid w:val="006969F1"/>
    <w:rsid w:val="006A3C35"/>
    <w:rsid w:val="006A6D11"/>
    <w:rsid w:val="006B2259"/>
    <w:rsid w:val="006B3ECE"/>
    <w:rsid w:val="006C5754"/>
    <w:rsid w:val="006D03D9"/>
    <w:rsid w:val="006D6526"/>
    <w:rsid w:val="006E06BE"/>
    <w:rsid w:val="006E1DD0"/>
    <w:rsid w:val="006E674D"/>
    <w:rsid w:val="006E6770"/>
    <w:rsid w:val="006F154A"/>
    <w:rsid w:val="00701992"/>
    <w:rsid w:val="0070363C"/>
    <w:rsid w:val="0070445B"/>
    <w:rsid w:val="00712023"/>
    <w:rsid w:val="007144E9"/>
    <w:rsid w:val="007145C9"/>
    <w:rsid w:val="00714A1F"/>
    <w:rsid w:val="00717328"/>
    <w:rsid w:val="0072073D"/>
    <w:rsid w:val="00734725"/>
    <w:rsid w:val="00742C04"/>
    <w:rsid w:val="0074571D"/>
    <w:rsid w:val="00750962"/>
    <w:rsid w:val="00750A05"/>
    <w:rsid w:val="00752C05"/>
    <w:rsid w:val="00767018"/>
    <w:rsid w:val="0077196D"/>
    <w:rsid w:val="00771C92"/>
    <w:rsid w:val="00795586"/>
    <w:rsid w:val="00797DA3"/>
    <w:rsid w:val="007A17C3"/>
    <w:rsid w:val="007A4844"/>
    <w:rsid w:val="007A4BE6"/>
    <w:rsid w:val="007B1DFE"/>
    <w:rsid w:val="007B33CE"/>
    <w:rsid w:val="007B7B81"/>
    <w:rsid w:val="007C1429"/>
    <w:rsid w:val="007C1D56"/>
    <w:rsid w:val="007C5441"/>
    <w:rsid w:val="007D1495"/>
    <w:rsid w:val="007D5A52"/>
    <w:rsid w:val="007D5CA1"/>
    <w:rsid w:val="007D75C8"/>
    <w:rsid w:val="007D7673"/>
    <w:rsid w:val="007E0EDC"/>
    <w:rsid w:val="007E2C66"/>
    <w:rsid w:val="007F1021"/>
    <w:rsid w:val="007F12A3"/>
    <w:rsid w:val="007F1BD3"/>
    <w:rsid w:val="007F2270"/>
    <w:rsid w:val="007F2DBB"/>
    <w:rsid w:val="007F7E7C"/>
    <w:rsid w:val="00801A08"/>
    <w:rsid w:val="00806C63"/>
    <w:rsid w:val="0081166B"/>
    <w:rsid w:val="00816613"/>
    <w:rsid w:val="00821A81"/>
    <w:rsid w:val="00825F63"/>
    <w:rsid w:val="008322D8"/>
    <w:rsid w:val="00837E5B"/>
    <w:rsid w:val="008472D3"/>
    <w:rsid w:val="008472F9"/>
    <w:rsid w:val="00851067"/>
    <w:rsid w:val="0085416C"/>
    <w:rsid w:val="00855329"/>
    <w:rsid w:val="00856A7C"/>
    <w:rsid w:val="0086041F"/>
    <w:rsid w:val="008739E7"/>
    <w:rsid w:val="00874645"/>
    <w:rsid w:val="008814E3"/>
    <w:rsid w:val="00881685"/>
    <w:rsid w:val="008844D9"/>
    <w:rsid w:val="00891C3A"/>
    <w:rsid w:val="00895E64"/>
    <w:rsid w:val="008A3638"/>
    <w:rsid w:val="008A3A3B"/>
    <w:rsid w:val="008A7188"/>
    <w:rsid w:val="008B1BA3"/>
    <w:rsid w:val="008B68F7"/>
    <w:rsid w:val="008C276D"/>
    <w:rsid w:val="008D72C3"/>
    <w:rsid w:val="008D799D"/>
    <w:rsid w:val="008E0A69"/>
    <w:rsid w:val="008F2058"/>
    <w:rsid w:val="008F3731"/>
    <w:rsid w:val="009020E3"/>
    <w:rsid w:val="00903C74"/>
    <w:rsid w:val="00904B69"/>
    <w:rsid w:val="009064CE"/>
    <w:rsid w:val="0090663A"/>
    <w:rsid w:val="00910AD1"/>
    <w:rsid w:val="00910B65"/>
    <w:rsid w:val="00912233"/>
    <w:rsid w:val="00914021"/>
    <w:rsid w:val="00917410"/>
    <w:rsid w:val="00921012"/>
    <w:rsid w:val="00921FB1"/>
    <w:rsid w:val="0092334A"/>
    <w:rsid w:val="009264D0"/>
    <w:rsid w:val="0093360A"/>
    <w:rsid w:val="00935423"/>
    <w:rsid w:val="009358D3"/>
    <w:rsid w:val="0093738F"/>
    <w:rsid w:val="00955433"/>
    <w:rsid w:val="00955764"/>
    <w:rsid w:val="00957A6F"/>
    <w:rsid w:val="0096086D"/>
    <w:rsid w:val="009649C2"/>
    <w:rsid w:val="00965DEB"/>
    <w:rsid w:val="00966A04"/>
    <w:rsid w:val="009738DE"/>
    <w:rsid w:val="00980BEB"/>
    <w:rsid w:val="00980D94"/>
    <w:rsid w:val="00982F7B"/>
    <w:rsid w:val="009843D4"/>
    <w:rsid w:val="00986361"/>
    <w:rsid w:val="009867A7"/>
    <w:rsid w:val="0099076D"/>
    <w:rsid w:val="00991B64"/>
    <w:rsid w:val="0099690F"/>
    <w:rsid w:val="00996D38"/>
    <w:rsid w:val="00997F89"/>
    <w:rsid w:val="009A10C6"/>
    <w:rsid w:val="009A4503"/>
    <w:rsid w:val="009B008F"/>
    <w:rsid w:val="009C2D11"/>
    <w:rsid w:val="009C3FDE"/>
    <w:rsid w:val="009C4CE9"/>
    <w:rsid w:val="009C5D27"/>
    <w:rsid w:val="009E17B9"/>
    <w:rsid w:val="009F28F5"/>
    <w:rsid w:val="009F5763"/>
    <w:rsid w:val="00A06310"/>
    <w:rsid w:val="00A07846"/>
    <w:rsid w:val="00A17CA6"/>
    <w:rsid w:val="00A22C2C"/>
    <w:rsid w:val="00A22FBF"/>
    <w:rsid w:val="00A2670C"/>
    <w:rsid w:val="00A3040C"/>
    <w:rsid w:val="00A346EF"/>
    <w:rsid w:val="00A53E9E"/>
    <w:rsid w:val="00A54087"/>
    <w:rsid w:val="00A57024"/>
    <w:rsid w:val="00A61757"/>
    <w:rsid w:val="00A62442"/>
    <w:rsid w:val="00A63939"/>
    <w:rsid w:val="00A65690"/>
    <w:rsid w:val="00A65FB0"/>
    <w:rsid w:val="00A66A23"/>
    <w:rsid w:val="00A743C6"/>
    <w:rsid w:val="00A8148C"/>
    <w:rsid w:val="00A831E7"/>
    <w:rsid w:val="00A8377D"/>
    <w:rsid w:val="00A85640"/>
    <w:rsid w:val="00A86AFC"/>
    <w:rsid w:val="00A91DC1"/>
    <w:rsid w:val="00A9412B"/>
    <w:rsid w:val="00A94903"/>
    <w:rsid w:val="00AB536E"/>
    <w:rsid w:val="00AB69AD"/>
    <w:rsid w:val="00AB747E"/>
    <w:rsid w:val="00AC31F4"/>
    <w:rsid w:val="00AC6B15"/>
    <w:rsid w:val="00AD2569"/>
    <w:rsid w:val="00AD4124"/>
    <w:rsid w:val="00AD7DB5"/>
    <w:rsid w:val="00AE0761"/>
    <w:rsid w:val="00AE07A3"/>
    <w:rsid w:val="00AE0E7B"/>
    <w:rsid w:val="00AE2412"/>
    <w:rsid w:val="00AE318F"/>
    <w:rsid w:val="00AF0066"/>
    <w:rsid w:val="00AF00B8"/>
    <w:rsid w:val="00AF237D"/>
    <w:rsid w:val="00AF27B7"/>
    <w:rsid w:val="00AF63B5"/>
    <w:rsid w:val="00B005BD"/>
    <w:rsid w:val="00B03444"/>
    <w:rsid w:val="00B04F23"/>
    <w:rsid w:val="00B05185"/>
    <w:rsid w:val="00B062A5"/>
    <w:rsid w:val="00B068E7"/>
    <w:rsid w:val="00B14C16"/>
    <w:rsid w:val="00B14E68"/>
    <w:rsid w:val="00B23669"/>
    <w:rsid w:val="00B24860"/>
    <w:rsid w:val="00B33789"/>
    <w:rsid w:val="00B434EA"/>
    <w:rsid w:val="00B46BC1"/>
    <w:rsid w:val="00B56AFB"/>
    <w:rsid w:val="00B576A5"/>
    <w:rsid w:val="00B62A24"/>
    <w:rsid w:val="00B862DB"/>
    <w:rsid w:val="00B9042E"/>
    <w:rsid w:val="00B922EE"/>
    <w:rsid w:val="00B9596E"/>
    <w:rsid w:val="00B9713B"/>
    <w:rsid w:val="00BA2FA0"/>
    <w:rsid w:val="00BA3D8E"/>
    <w:rsid w:val="00BA40B4"/>
    <w:rsid w:val="00BA49EB"/>
    <w:rsid w:val="00BB0F85"/>
    <w:rsid w:val="00BC0132"/>
    <w:rsid w:val="00BC0598"/>
    <w:rsid w:val="00BC3993"/>
    <w:rsid w:val="00BC6B47"/>
    <w:rsid w:val="00BC7A4D"/>
    <w:rsid w:val="00BD0526"/>
    <w:rsid w:val="00BD2784"/>
    <w:rsid w:val="00BD46B2"/>
    <w:rsid w:val="00BE21ED"/>
    <w:rsid w:val="00BE3DBC"/>
    <w:rsid w:val="00BE4710"/>
    <w:rsid w:val="00BF11C6"/>
    <w:rsid w:val="00C11004"/>
    <w:rsid w:val="00C111FE"/>
    <w:rsid w:val="00C1497F"/>
    <w:rsid w:val="00C20B9C"/>
    <w:rsid w:val="00C21E75"/>
    <w:rsid w:val="00C2509E"/>
    <w:rsid w:val="00C2778C"/>
    <w:rsid w:val="00C27F6A"/>
    <w:rsid w:val="00C3159C"/>
    <w:rsid w:val="00C35841"/>
    <w:rsid w:val="00C409C6"/>
    <w:rsid w:val="00C41C74"/>
    <w:rsid w:val="00C4260E"/>
    <w:rsid w:val="00C43C76"/>
    <w:rsid w:val="00C47B63"/>
    <w:rsid w:val="00C47F8B"/>
    <w:rsid w:val="00C50567"/>
    <w:rsid w:val="00C742DD"/>
    <w:rsid w:val="00C846F6"/>
    <w:rsid w:val="00C94B4E"/>
    <w:rsid w:val="00C96048"/>
    <w:rsid w:val="00C96214"/>
    <w:rsid w:val="00C9797F"/>
    <w:rsid w:val="00CA1FB9"/>
    <w:rsid w:val="00CA73C1"/>
    <w:rsid w:val="00CA79D7"/>
    <w:rsid w:val="00CB7BE6"/>
    <w:rsid w:val="00CC0E23"/>
    <w:rsid w:val="00CC2433"/>
    <w:rsid w:val="00CC40B9"/>
    <w:rsid w:val="00CD7E39"/>
    <w:rsid w:val="00CE2EFB"/>
    <w:rsid w:val="00CE5A10"/>
    <w:rsid w:val="00CF2D6E"/>
    <w:rsid w:val="00D02FD8"/>
    <w:rsid w:val="00D10832"/>
    <w:rsid w:val="00D11A3A"/>
    <w:rsid w:val="00D3104C"/>
    <w:rsid w:val="00D42152"/>
    <w:rsid w:val="00D43D89"/>
    <w:rsid w:val="00D50FDD"/>
    <w:rsid w:val="00D513E4"/>
    <w:rsid w:val="00D53B8E"/>
    <w:rsid w:val="00D56A51"/>
    <w:rsid w:val="00D602AC"/>
    <w:rsid w:val="00D70824"/>
    <w:rsid w:val="00D72472"/>
    <w:rsid w:val="00D760A9"/>
    <w:rsid w:val="00D760CF"/>
    <w:rsid w:val="00D925B8"/>
    <w:rsid w:val="00D93233"/>
    <w:rsid w:val="00D949D0"/>
    <w:rsid w:val="00DA3B66"/>
    <w:rsid w:val="00DA4453"/>
    <w:rsid w:val="00DA4D95"/>
    <w:rsid w:val="00DA6836"/>
    <w:rsid w:val="00DA733A"/>
    <w:rsid w:val="00DB2417"/>
    <w:rsid w:val="00DC05A3"/>
    <w:rsid w:val="00DC6A0C"/>
    <w:rsid w:val="00DE49B7"/>
    <w:rsid w:val="00E03DB3"/>
    <w:rsid w:val="00E04EB8"/>
    <w:rsid w:val="00E06757"/>
    <w:rsid w:val="00E1280F"/>
    <w:rsid w:val="00E178A3"/>
    <w:rsid w:val="00E17B2C"/>
    <w:rsid w:val="00E26EA1"/>
    <w:rsid w:val="00E27DEF"/>
    <w:rsid w:val="00E30081"/>
    <w:rsid w:val="00E30394"/>
    <w:rsid w:val="00E32743"/>
    <w:rsid w:val="00E342C7"/>
    <w:rsid w:val="00E354F6"/>
    <w:rsid w:val="00E356BD"/>
    <w:rsid w:val="00E412D0"/>
    <w:rsid w:val="00E4317C"/>
    <w:rsid w:val="00E53D4C"/>
    <w:rsid w:val="00E5677B"/>
    <w:rsid w:val="00E609ED"/>
    <w:rsid w:val="00E63703"/>
    <w:rsid w:val="00E64DDC"/>
    <w:rsid w:val="00E704C6"/>
    <w:rsid w:val="00E77545"/>
    <w:rsid w:val="00E775AC"/>
    <w:rsid w:val="00E77A47"/>
    <w:rsid w:val="00E77B98"/>
    <w:rsid w:val="00E822DD"/>
    <w:rsid w:val="00E8471E"/>
    <w:rsid w:val="00E91E8C"/>
    <w:rsid w:val="00E942DA"/>
    <w:rsid w:val="00E94EF3"/>
    <w:rsid w:val="00E959E9"/>
    <w:rsid w:val="00E95E00"/>
    <w:rsid w:val="00E97167"/>
    <w:rsid w:val="00EB1611"/>
    <w:rsid w:val="00EB468A"/>
    <w:rsid w:val="00EB4B3E"/>
    <w:rsid w:val="00EC01E6"/>
    <w:rsid w:val="00EC3DC1"/>
    <w:rsid w:val="00EC4845"/>
    <w:rsid w:val="00EC6CC2"/>
    <w:rsid w:val="00ED1C27"/>
    <w:rsid w:val="00ED3D73"/>
    <w:rsid w:val="00ED3FA6"/>
    <w:rsid w:val="00ED5CDF"/>
    <w:rsid w:val="00ED6DCA"/>
    <w:rsid w:val="00EF0944"/>
    <w:rsid w:val="00EF7BE7"/>
    <w:rsid w:val="00F020D9"/>
    <w:rsid w:val="00F05141"/>
    <w:rsid w:val="00F054F6"/>
    <w:rsid w:val="00F07267"/>
    <w:rsid w:val="00F159E2"/>
    <w:rsid w:val="00F167CB"/>
    <w:rsid w:val="00F16AA1"/>
    <w:rsid w:val="00F2164E"/>
    <w:rsid w:val="00F22F9A"/>
    <w:rsid w:val="00F240EB"/>
    <w:rsid w:val="00F315FE"/>
    <w:rsid w:val="00F31FE6"/>
    <w:rsid w:val="00F32290"/>
    <w:rsid w:val="00F33A67"/>
    <w:rsid w:val="00F40B12"/>
    <w:rsid w:val="00F45BB8"/>
    <w:rsid w:val="00F4739C"/>
    <w:rsid w:val="00F53F80"/>
    <w:rsid w:val="00F5697E"/>
    <w:rsid w:val="00F57625"/>
    <w:rsid w:val="00F6024C"/>
    <w:rsid w:val="00F673A2"/>
    <w:rsid w:val="00F67B89"/>
    <w:rsid w:val="00F71A10"/>
    <w:rsid w:val="00F72A3E"/>
    <w:rsid w:val="00F74B67"/>
    <w:rsid w:val="00F7577B"/>
    <w:rsid w:val="00F8348D"/>
    <w:rsid w:val="00F8412D"/>
    <w:rsid w:val="00F91726"/>
    <w:rsid w:val="00FB3B53"/>
    <w:rsid w:val="00FB551B"/>
    <w:rsid w:val="00FC2947"/>
    <w:rsid w:val="00FC69D9"/>
    <w:rsid w:val="00FD28C1"/>
    <w:rsid w:val="00FD7412"/>
    <w:rsid w:val="00FE6F42"/>
    <w:rsid w:val="00FE7EF3"/>
    <w:rsid w:val="00FF1703"/>
    <w:rsid w:val="00FF1EF9"/>
    <w:rsid w:val="00FF69E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2746E54"/>
  <w15:chartTrackingRefBased/>
  <w15:docId w15:val="{BD8A4DCD-E9B6-4CF3-BD97-B28BB205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sz w:val="24"/>
    </w:rPr>
  </w:style>
  <w:style w:type="paragraph" w:styleId="berschrift1">
    <w:name w:val="heading 1"/>
    <w:basedOn w:val="Standard"/>
    <w:next w:val="Standard"/>
    <w:qFormat/>
    <w:pPr>
      <w:keepNext/>
      <w:spacing w:before="240" w:after="240"/>
      <w:ind w:left="1134" w:hanging="1134"/>
      <w:outlineLvl w:val="0"/>
    </w:pPr>
    <w:rPr>
      <w:rFonts w:ascii="Arial" w:hAnsi="Arial"/>
      <w:b/>
      <w:kern w:val="28"/>
      <w:sz w:val="28"/>
    </w:rPr>
  </w:style>
  <w:style w:type="paragraph" w:styleId="berschrift2">
    <w:name w:val="heading 2"/>
    <w:basedOn w:val="Standard"/>
    <w:next w:val="Standard"/>
    <w:qFormat/>
    <w:pPr>
      <w:keepNext/>
      <w:spacing w:before="240" w:after="240"/>
      <w:ind w:left="1134" w:hanging="1134"/>
      <w:outlineLvl w:val="1"/>
    </w:pPr>
    <w:rPr>
      <w:rFonts w:ascii="Arial" w:hAnsi="Arial"/>
      <w:b/>
      <w:sz w:val="28"/>
    </w:rPr>
  </w:style>
  <w:style w:type="paragraph" w:styleId="berschrift3">
    <w:name w:val="heading 3"/>
    <w:basedOn w:val="Standard"/>
    <w:next w:val="Standard"/>
    <w:qFormat/>
    <w:pPr>
      <w:keepNext/>
      <w:spacing w:before="240" w:after="240"/>
      <w:ind w:left="1134" w:hanging="1134"/>
      <w:outlineLvl w:val="2"/>
    </w:pPr>
    <w:rPr>
      <w:rFonts w:ascii="Arial" w:hAnsi="Arial"/>
      <w:b/>
    </w:rPr>
  </w:style>
  <w:style w:type="paragraph" w:styleId="berschrift4">
    <w:name w:val="heading 4"/>
    <w:basedOn w:val="Standard"/>
    <w:next w:val="Standard"/>
    <w:qFormat/>
    <w:pPr>
      <w:ind w:left="2552" w:hanging="851"/>
      <w:outlineLvl w:val="3"/>
    </w:pPr>
    <w:rPr>
      <w:rFonts w:ascii="Arial" w:hAnsi="Arial"/>
      <w:b/>
    </w:rPr>
  </w:style>
  <w:style w:type="paragraph" w:styleId="berschrift5">
    <w:name w:val="heading 5"/>
    <w:basedOn w:val="Standard"/>
    <w:next w:val="Standard"/>
    <w:qFormat/>
    <w:pPr>
      <w:spacing w:before="240" w:after="240"/>
      <w:ind w:left="1418" w:hanging="1418"/>
      <w:outlineLvl w:val="4"/>
    </w:pPr>
    <w:rPr>
      <w:rFonts w:ascii="Arial" w:hAnsi="Arial"/>
      <w:b/>
    </w:rPr>
  </w:style>
  <w:style w:type="paragraph" w:styleId="berschrift6">
    <w:name w:val="heading 6"/>
    <w:basedOn w:val="Standard"/>
    <w:next w:val="Standard"/>
    <w:qFormat/>
    <w:pPr>
      <w:spacing w:before="240" w:after="240"/>
      <w:ind w:left="1418" w:hanging="1418"/>
      <w:outlineLvl w:val="5"/>
    </w:pPr>
    <w:rPr>
      <w:rFonts w:ascii="Arial" w:hAnsi="Arial"/>
      <w:b/>
    </w:rPr>
  </w:style>
  <w:style w:type="paragraph" w:styleId="berschrift7">
    <w:name w:val="heading 7"/>
    <w:basedOn w:val="Standard"/>
    <w:next w:val="Standard"/>
    <w:qFormat/>
    <w:pPr>
      <w:spacing w:before="240" w:after="240"/>
      <w:ind w:left="1418" w:hanging="1418"/>
      <w:outlineLvl w:val="6"/>
    </w:pPr>
    <w:rPr>
      <w:rFonts w:ascii="Arial" w:hAnsi="Arial"/>
      <w:b/>
    </w:rPr>
  </w:style>
  <w:style w:type="paragraph" w:styleId="berschrift8">
    <w:name w:val="heading 8"/>
    <w:basedOn w:val="Standard"/>
    <w:next w:val="Standard"/>
    <w:qFormat/>
    <w:pPr>
      <w:spacing w:before="240" w:after="240"/>
      <w:ind w:left="1418" w:hanging="1418"/>
      <w:outlineLvl w:val="7"/>
    </w:pPr>
    <w:rPr>
      <w:rFonts w:ascii="Arial" w:hAnsi="Arial"/>
      <w:b/>
    </w:rPr>
  </w:style>
  <w:style w:type="paragraph" w:styleId="berschrift9">
    <w:name w:val="heading 9"/>
    <w:basedOn w:val="Standard"/>
    <w:next w:val="Standard"/>
    <w:qFormat/>
    <w:pPr>
      <w:spacing w:before="240" w:after="240"/>
      <w:ind w:left="1418" w:hanging="1418"/>
      <w:outlineLvl w:val="8"/>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jc w:val="center"/>
    </w:pPr>
    <w:rPr>
      <w:rFonts w:ascii="Arial" w:hAnsi="Arial"/>
      <w:b/>
      <w:sz w:val="20"/>
    </w:rPr>
  </w:style>
  <w:style w:type="paragraph" w:styleId="Kopfzeile">
    <w:name w:val="header"/>
    <w:basedOn w:val="Standard"/>
    <w:link w:val="KopfzeileZchn"/>
    <w:pPr>
      <w:tabs>
        <w:tab w:val="center" w:pos="4536"/>
        <w:tab w:val="right" w:pos="9072"/>
      </w:tabs>
    </w:pPr>
    <w:rPr>
      <w:sz w:val="20"/>
    </w:rPr>
  </w:style>
  <w:style w:type="paragraph" w:customStyle="1" w:styleId="HFlietext">
    <w:name w:val="H_Fließtext"/>
    <w:pPr>
      <w:overflowPunct w:val="0"/>
      <w:autoSpaceDE w:val="0"/>
      <w:autoSpaceDN w:val="0"/>
      <w:adjustRightInd w:val="0"/>
      <w:spacing w:line="280" w:lineRule="exact"/>
      <w:textAlignment w:val="baseline"/>
    </w:pPr>
    <w:rPr>
      <w:sz w:val="22"/>
    </w:rPr>
  </w:style>
  <w:style w:type="paragraph" w:styleId="Fuzeile">
    <w:name w:val="footer"/>
    <w:basedOn w:val="Standard"/>
    <w:pPr>
      <w:tabs>
        <w:tab w:val="center" w:pos="4536"/>
        <w:tab w:val="right" w:pos="9072"/>
      </w:tabs>
    </w:pPr>
    <w:rPr>
      <w:sz w:val="20"/>
    </w:rPr>
  </w:style>
  <w:style w:type="paragraph" w:customStyle="1" w:styleId="HFlietextfett">
    <w:name w:val="H_Fließtext fett"/>
    <w:basedOn w:val="HFlietext"/>
    <w:rPr>
      <w:b/>
    </w:rPr>
  </w:style>
  <w:style w:type="paragraph" w:customStyle="1" w:styleId="AbsenderArial2">
    <w:name w:val="Absender_Arial2"/>
    <w:basedOn w:val="Standard"/>
    <w:pPr>
      <w:spacing w:after="85" w:line="190" w:lineRule="exact"/>
    </w:pPr>
    <w:rPr>
      <w:rFonts w:ascii="Arial" w:hAnsi="Arial"/>
      <w:b/>
      <w:sz w:val="15"/>
    </w:rPr>
  </w:style>
  <w:style w:type="character" w:styleId="Seitenzahl">
    <w:name w:val="page number"/>
    <w:basedOn w:val="Absatz-Standardschriftart"/>
  </w:style>
  <w:style w:type="paragraph" w:customStyle="1" w:styleId="Sprechblasentext1">
    <w:name w:val="Sprechblasentext1"/>
    <w:basedOn w:val="Standard"/>
    <w:rPr>
      <w:rFonts w:ascii="Tahoma" w:hAnsi="Tahoma"/>
      <w:sz w:val="16"/>
    </w:rPr>
  </w:style>
  <w:style w:type="paragraph" w:styleId="Sprechblasentext">
    <w:name w:val="Balloon Text"/>
    <w:basedOn w:val="Standard"/>
    <w:semiHidden/>
    <w:rsid w:val="00B9596E"/>
    <w:rPr>
      <w:rFonts w:ascii="Tahoma" w:hAnsi="Tahoma" w:cs="Tahoma"/>
      <w:sz w:val="16"/>
      <w:szCs w:val="16"/>
    </w:rPr>
  </w:style>
  <w:style w:type="character" w:customStyle="1" w:styleId="KopfzeileZchn">
    <w:name w:val="Kopfzeile Zchn"/>
    <w:basedOn w:val="Absatz-Standardschriftart"/>
    <w:link w:val="Kopfzeile"/>
    <w:rsid w:val="00575A55"/>
  </w:style>
  <w:style w:type="character" w:styleId="Hyperlink">
    <w:name w:val="Hyperlink"/>
    <w:uiPriority w:val="99"/>
    <w:unhideWhenUsed/>
    <w:rsid w:val="0072073D"/>
    <w:rPr>
      <w:color w:val="0563C1"/>
      <w:u w:val="single"/>
    </w:rPr>
  </w:style>
  <w:style w:type="paragraph" w:customStyle="1" w:styleId="EinfAbs">
    <w:name w:val="[Einf. Abs.]"/>
    <w:basedOn w:val="Standard"/>
    <w:uiPriority w:val="99"/>
    <w:rsid w:val="00E775AC"/>
    <w:pPr>
      <w:overflowPunct/>
      <w:spacing w:line="288" w:lineRule="auto"/>
      <w:textAlignment w:val="center"/>
    </w:pPr>
    <w:rPr>
      <w:rFonts w:ascii="MinionPro-Regular" w:hAnsi="MinionPro-Regular" w:cs="MinionPro-Regular"/>
      <w:color w:val="000000"/>
      <w:szCs w:val="24"/>
    </w:rPr>
  </w:style>
  <w:style w:type="character" w:customStyle="1" w:styleId="NichtaufgelsteErwhnung1">
    <w:name w:val="Nicht aufgelöste Erwähnung1"/>
    <w:basedOn w:val="Absatz-Standardschriftart"/>
    <w:uiPriority w:val="99"/>
    <w:semiHidden/>
    <w:unhideWhenUsed/>
    <w:rsid w:val="00881685"/>
    <w:rPr>
      <w:color w:val="605E5C"/>
      <w:shd w:val="clear" w:color="auto" w:fill="E1DFDD"/>
    </w:rPr>
  </w:style>
  <w:style w:type="character" w:styleId="BesuchterLink">
    <w:name w:val="FollowedHyperlink"/>
    <w:basedOn w:val="Absatz-Standardschriftart"/>
    <w:uiPriority w:val="99"/>
    <w:semiHidden/>
    <w:unhideWhenUsed/>
    <w:rsid w:val="00881685"/>
    <w:rPr>
      <w:color w:val="954F72" w:themeColor="followedHyperlink"/>
      <w:u w:val="single"/>
    </w:rPr>
  </w:style>
  <w:style w:type="table" w:styleId="Tabellenraster">
    <w:name w:val="Table Grid"/>
    <w:basedOn w:val="NormaleTabelle"/>
    <w:uiPriority w:val="59"/>
    <w:rsid w:val="004A2D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unhideWhenUsed/>
    <w:rsid w:val="00161817"/>
    <w:pPr>
      <w:overflowPunct/>
      <w:autoSpaceDE/>
      <w:autoSpaceDN/>
      <w:adjustRightInd/>
      <w:spacing w:after="200"/>
      <w:textAlignment w:val="auto"/>
    </w:pPr>
    <w:rPr>
      <w:rFonts w:asciiTheme="minorHAnsi" w:eastAsiaTheme="minorHAnsi" w:hAnsiTheme="minorHAnsi" w:cstheme="minorBidi"/>
      <w:sz w:val="20"/>
      <w:lang w:eastAsia="en-US"/>
    </w:rPr>
  </w:style>
  <w:style w:type="character" w:customStyle="1" w:styleId="KommentartextZchn">
    <w:name w:val="Kommentartext Zchn"/>
    <w:basedOn w:val="Absatz-Standardschriftart"/>
    <w:link w:val="Kommentartext"/>
    <w:uiPriority w:val="99"/>
    <w:rsid w:val="00161817"/>
    <w:rPr>
      <w:rFonts w:asciiTheme="minorHAnsi" w:eastAsiaTheme="minorHAnsi" w:hAnsiTheme="minorHAnsi" w:cstheme="minorBidi"/>
      <w:lang w:eastAsia="en-US"/>
    </w:rPr>
  </w:style>
  <w:style w:type="table" w:customStyle="1" w:styleId="TableGrid1">
    <w:name w:val="Table Grid1"/>
    <w:basedOn w:val="NormaleTabelle"/>
    <w:next w:val="Tabellenraster"/>
    <w:uiPriority w:val="59"/>
    <w:rsid w:val="00161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161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14021"/>
    <w:rPr>
      <w:b/>
      <w:bCs/>
    </w:rPr>
  </w:style>
  <w:style w:type="character" w:styleId="Kommentarzeichen">
    <w:name w:val="annotation reference"/>
    <w:basedOn w:val="Absatz-Standardschriftart"/>
    <w:uiPriority w:val="99"/>
    <w:semiHidden/>
    <w:unhideWhenUsed/>
    <w:rsid w:val="00BD0526"/>
    <w:rPr>
      <w:sz w:val="16"/>
      <w:szCs w:val="16"/>
    </w:rPr>
  </w:style>
  <w:style w:type="paragraph" w:styleId="Kommentarthema">
    <w:name w:val="annotation subject"/>
    <w:basedOn w:val="Kommentartext"/>
    <w:next w:val="Kommentartext"/>
    <w:link w:val="KommentarthemaZchn"/>
    <w:uiPriority w:val="99"/>
    <w:semiHidden/>
    <w:unhideWhenUsed/>
    <w:rsid w:val="00BD0526"/>
    <w:pPr>
      <w:overflowPunct w:val="0"/>
      <w:autoSpaceDE w:val="0"/>
      <w:autoSpaceDN w:val="0"/>
      <w:adjustRightInd w:val="0"/>
      <w:spacing w:after="0"/>
      <w:textAlignment w:val="baseline"/>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BD0526"/>
    <w:rPr>
      <w:rFonts w:asciiTheme="minorHAnsi" w:eastAsiaTheme="minorHAnsi" w:hAnsiTheme="minorHAnsi" w:cstheme="minorBidi"/>
      <w:b/>
      <w:bCs/>
      <w:lang w:eastAsia="en-US"/>
    </w:rPr>
  </w:style>
  <w:style w:type="paragraph" w:styleId="Listenabsatz">
    <w:name w:val="List Paragraph"/>
    <w:basedOn w:val="Standard"/>
    <w:uiPriority w:val="34"/>
    <w:qFormat/>
    <w:rsid w:val="00465A6E"/>
    <w:pPr>
      <w:ind w:left="720"/>
      <w:contextualSpacing/>
    </w:pPr>
  </w:style>
  <w:style w:type="paragraph" w:styleId="berarbeitung">
    <w:name w:val="Revision"/>
    <w:hidden/>
    <w:uiPriority w:val="99"/>
    <w:semiHidden/>
    <w:rsid w:val="00910A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0432">
      <w:bodyDiv w:val="1"/>
      <w:marLeft w:val="0"/>
      <w:marRight w:val="0"/>
      <w:marTop w:val="0"/>
      <w:marBottom w:val="0"/>
      <w:divBdr>
        <w:top w:val="none" w:sz="0" w:space="0" w:color="auto"/>
        <w:left w:val="none" w:sz="0" w:space="0" w:color="auto"/>
        <w:bottom w:val="none" w:sz="0" w:space="0" w:color="auto"/>
        <w:right w:val="none" w:sz="0" w:space="0" w:color="auto"/>
      </w:divBdr>
    </w:div>
    <w:div w:id="338893317">
      <w:bodyDiv w:val="1"/>
      <w:marLeft w:val="0"/>
      <w:marRight w:val="0"/>
      <w:marTop w:val="0"/>
      <w:marBottom w:val="0"/>
      <w:divBdr>
        <w:top w:val="none" w:sz="0" w:space="0" w:color="auto"/>
        <w:left w:val="none" w:sz="0" w:space="0" w:color="auto"/>
        <w:bottom w:val="none" w:sz="0" w:space="0" w:color="auto"/>
        <w:right w:val="none" w:sz="0" w:space="0" w:color="auto"/>
      </w:divBdr>
    </w:div>
    <w:div w:id="382366954">
      <w:bodyDiv w:val="1"/>
      <w:marLeft w:val="0"/>
      <w:marRight w:val="0"/>
      <w:marTop w:val="0"/>
      <w:marBottom w:val="0"/>
      <w:divBdr>
        <w:top w:val="none" w:sz="0" w:space="0" w:color="auto"/>
        <w:left w:val="none" w:sz="0" w:space="0" w:color="auto"/>
        <w:bottom w:val="none" w:sz="0" w:space="0" w:color="auto"/>
        <w:right w:val="none" w:sz="0" w:space="0" w:color="auto"/>
      </w:divBdr>
    </w:div>
    <w:div w:id="415321778">
      <w:bodyDiv w:val="1"/>
      <w:marLeft w:val="0"/>
      <w:marRight w:val="0"/>
      <w:marTop w:val="0"/>
      <w:marBottom w:val="0"/>
      <w:divBdr>
        <w:top w:val="none" w:sz="0" w:space="0" w:color="auto"/>
        <w:left w:val="none" w:sz="0" w:space="0" w:color="auto"/>
        <w:bottom w:val="none" w:sz="0" w:space="0" w:color="auto"/>
        <w:right w:val="none" w:sz="0" w:space="0" w:color="auto"/>
      </w:divBdr>
    </w:div>
    <w:div w:id="514268992">
      <w:bodyDiv w:val="1"/>
      <w:marLeft w:val="0"/>
      <w:marRight w:val="0"/>
      <w:marTop w:val="0"/>
      <w:marBottom w:val="0"/>
      <w:divBdr>
        <w:top w:val="none" w:sz="0" w:space="0" w:color="auto"/>
        <w:left w:val="none" w:sz="0" w:space="0" w:color="auto"/>
        <w:bottom w:val="none" w:sz="0" w:space="0" w:color="auto"/>
        <w:right w:val="none" w:sz="0" w:space="0" w:color="auto"/>
      </w:divBdr>
      <w:divsChild>
        <w:div w:id="1579559349">
          <w:marLeft w:val="0"/>
          <w:marRight w:val="0"/>
          <w:marTop w:val="0"/>
          <w:marBottom w:val="0"/>
          <w:divBdr>
            <w:top w:val="none" w:sz="0" w:space="0" w:color="auto"/>
            <w:left w:val="none" w:sz="0" w:space="0" w:color="auto"/>
            <w:bottom w:val="none" w:sz="0" w:space="0" w:color="auto"/>
            <w:right w:val="none" w:sz="0" w:space="0" w:color="auto"/>
          </w:divBdr>
        </w:div>
      </w:divsChild>
    </w:div>
    <w:div w:id="575019974">
      <w:bodyDiv w:val="1"/>
      <w:marLeft w:val="0"/>
      <w:marRight w:val="0"/>
      <w:marTop w:val="0"/>
      <w:marBottom w:val="0"/>
      <w:divBdr>
        <w:top w:val="none" w:sz="0" w:space="0" w:color="auto"/>
        <w:left w:val="none" w:sz="0" w:space="0" w:color="auto"/>
        <w:bottom w:val="none" w:sz="0" w:space="0" w:color="auto"/>
        <w:right w:val="none" w:sz="0" w:space="0" w:color="auto"/>
      </w:divBdr>
    </w:div>
    <w:div w:id="588004245">
      <w:bodyDiv w:val="1"/>
      <w:marLeft w:val="0"/>
      <w:marRight w:val="0"/>
      <w:marTop w:val="0"/>
      <w:marBottom w:val="0"/>
      <w:divBdr>
        <w:top w:val="none" w:sz="0" w:space="0" w:color="auto"/>
        <w:left w:val="none" w:sz="0" w:space="0" w:color="auto"/>
        <w:bottom w:val="none" w:sz="0" w:space="0" w:color="auto"/>
        <w:right w:val="none" w:sz="0" w:space="0" w:color="auto"/>
      </w:divBdr>
    </w:div>
    <w:div w:id="638538653">
      <w:bodyDiv w:val="1"/>
      <w:marLeft w:val="0"/>
      <w:marRight w:val="0"/>
      <w:marTop w:val="0"/>
      <w:marBottom w:val="0"/>
      <w:divBdr>
        <w:top w:val="none" w:sz="0" w:space="0" w:color="auto"/>
        <w:left w:val="none" w:sz="0" w:space="0" w:color="auto"/>
        <w:bottom w:val="none" w:sz="0" w:space="0" w:color="auto"/>
        <w:right w:val="none" w:sz="0" w:space="0" w:color="auto"/>
      </w:divBdr>
    </w:div>
    <w:div w:id="752241426">
      <w:bodyDiv w:val="1"/>
      <w:marLeft w:val="0"/>
      <w:marRight w:val="0"/>
      <w:marTop w:val="0"/>
      <w:marBottom w:val="0"/>
      <w:divBdr>
        <w:top w:val="none" w:sz="0" w:space="0" w:color="auto"/>
        <w:left w:val="none" w:sz="0" w:space="0" w:color="auto"/>
        <w:bottom w:val="none" w:sz="0" w:space="0" w:color="auto"/>
        <w:right w:val="none" w:sz="0" w:space="0" w:color="auto"/>
      </w:divBdr>
    </w:div>
    <w:div w:id="763770594">
      <w:bodyDiv w:val="1"/>
      <w:marLeft w:val="0"/>
      <w:marRight w:val="0"/>
      <w:marTop w:val="0"/>
      <w:marBottom w:val="0"/>
      <w:divBdr>
        <w:top w:val="none" w:sz="0" w:space="0" w:color="auto"/>
        <w:left w:val="none" w:sz="0" w:space="0" w:color="auto"/>
        <w:bottom w:val="none" w:sz="0" w:space="0" w:color="auto"/>
        <w:right w:val="none" w:sz="0" w:space="0" w:color="auto"/>
      </w:divBdr>
    </w:div>
    <w:div w:id="855270191">
      <w:bodyDiv w:val="1"/>
      <w:marLeft w:val="0"/>
      <w:marRight w:val="0"/>
      <w:marTop w:val="0"/>
      <w:marBottom w:val="0"/>
      <w:divBdr>
        <w:top w:val="none" w:sz="0" w:space="0" w:color="auto"/>
        <w:left w:val="none" w:sz="0" w:space="0" w:color="auto"/>
        <w:bottom w:val="none" w:sz="0" w:space="0" w:color="auto"/>
        <w:right w:val="none" w:sz="0" w:space="0" w:color="auto"/>
      </w:divBdr>
    </w:div>
    <w:div w:id="866719628">
      <w:bodyDiv w:val="1"/>
      <w:marLeft w:val="0"/>
      <w:marRight w:val="0"/>
      <w:marTop w:val="0"/>
      <w:marBottom w:val="0"/>
      <w:divBdr>
        <w:top w:val="none" w:sz="0" w:space="0" w:color="auto"/>
        <w:left w:val="none" w:sz="0" w:space="0" w:color="auto"/>
        <w:bottom w:val="none" w:sz="0" w:space="0" w:color="auto"/>
        <w:right w:val="none" w:sz="0" w:space="0" w:color="auto"/>
      </w:divBdr>
    </w:div>
    <w:div w:id="985744964">
      <w:bodyDiv w:val="1"/>
      <w:marLeft w:val="0"/>
      <w:marRight w:val="0"/>
      <w:marTop w:val="0"/>
      <w:marBottom w:val="0"/>
      <w:divBdr>
        <w:top w:val="none" w:sz="0" w:space="0" w:color="auto"/>
        <w:left w:val="none" w:sz="0" w:space="0" w:color="auto"/>
        <w:bottom w:val="none" w:sz="0" w:space="0" w:color="auto"/>
        <w:right w:val="none" w:sz="0" w:space="0" w:color="auto"/>
      </w:divBdr>
    </w:div>
    <w:div w:id="1165167782">
      <w:bodyDiv w:val="1"/>
      <w:marLeft w:val="0"/>
      <w:marRight w:val="0"/>
      <w:marTop w:val="0"/>
      <w:marBottom w:val="0"/>
      <w:divBdr>
        <w:top w:val="none" w:sz="0" w:space="0" w:color="auto"/>
        <w:left w:val="none" w:sz="0" w:space="0" w:color="auto"/>
        <w:bottom w:val="none" w:sz="0" w:space="0" w:color="auto"/>
        <w:right w:val="none" w:sz="0" w:space="0" w:color="auto"/>
      </w:divBdr>
    </w:div>
    <w:div w:id="1203438852">
      <w:bodyDiv w:val="1"/>
      <w:marLeft w:val="0"/>
      <w:marRight w:val="0"/>
      <w:marTop w:val="0"/>
      <w:marBottom w:val="0"/>
      <w:divBdr>
        <w:top w:val="none" w:sz="0" w:space="0" w:color="auto"/>
        <w:left w:val="none" w:sz="0" w:space="0" w:color="auto"/>
        <w:bottom w:val="none" w:sz="0" w:space="0" w:color="auto"/>
        <w:right w:val="none" w:sz="0" w:space="0" w:color="auto"/>
      </w:divBdr>
    </w:div>
    <w:div w:id="1261718491">
      <w:bodyDiv w:val="1"/>
      <w:marLeft w:val="0"/>
      <w:marRight w:val="0"/>
      <w:marTop w:val="0"/>
      <w:marBottom w:val="0"/>
      <w:divBdr>
        <w:top w:val="none" w:sz="0" w:space="0" w:color="auto"/>
        <w:left w:val="none" w:sz="0" w:space="0" w:color="auto"/>
        <w:bottom w:val="none" w:sz="0" w:space="0" w:color="auto"/>
        <w:right w:val="none" w:sz="0" w:space="0" w:color="auto"/>
      </w:divBdr>
    </w:div>
    <w:div w:id="1459373238">
      <w:bodyDiv w:val="1"/>
      <w:marLeft w:val="0"/>
      <w:marRight w:val="0"/>
      <w:marTop w:val="0"/>
      <w:marBottom w:val="0"/>
      <w:divBdr>
        <w:top w:val="none" w:sz="0" w:space="0" w:color="auto"/>
        <w:left w:val="none" w:sz="0" w:space="0" w:color="auto"/>
        <w:bottom w:val="none" w:sz="0" w:space="0" w:color="auto"/>
        <w:right w:val="none" w:sz="0" w:space="0" w:color="auto"/>
      </w:divBdr>
      <w:divsChild>
        <w:div w:id="1865098538">
          <w:marLeft w:val="0"/>
          <w:marRight w:val="0"/>
          <w:marTop w:val="0"/>
          <w:marBottom w:val="0"/>
          <w:divBdr>
            <w:top w:val="none" w:sz="0" w:space="0" w:color="auto"/>
            <w:left w:val="none" w:sz="0" w:space="0" w:color="auto"/>
            <w:bottom w:val="none" w:sz="0" w:space="0" w:color="auto"/>
            <w:right w:val="none" w:sz="0" w:space="0" w:color="auto"/>
          </w:divBdr>
        </w:div>
      </w:divsChild>
    </w:div>
    <w:div w:id="1508712007">
      <w:bodyDiv w:val="1"/>
      <w:marLeft w:val="0"/>
      <w:marRight w:val="0"/>
      <w:marTop w:val="0"/>
      <w:marBottom w:val="0"/>
      <w:divBdr>
        <w:top w:val="none" w:sz="0" w:space="0" w:color="auto"/>
        <w:left w:val="none" w:sz="0" w:space="0" w:color="auto"/>
        <w:bottom w:val="none" w:sz="0" w:space="0" w:color="auto"/>
        <w:right w:val="none" w:sz="0" w:space="0" w:color="auto"/>
      </w:divBdr>
    </w:div>
    <w:div w:id="1571890406">
      <w:bodyDiv w:val="1"/>
      <w:marLeft w:val="0"/>
      <w:marRight w:val="0"/>
      <w:marTop w:val="0"/>
      <w:marBottom w:val="0"/>
      <w:divBdr>
        <w:top w:val="none" w:sz="0" w:space="0" w:color="auto"/>
        <w:left w:val="none" w:sz="0" w:space="0" w:color="auto"/>
        <w:bottom w:val="none" w:sz="0" w:space="0" w:color="auto"/>
        <w:right w:val="none" w:sz="0" w:space="0" w:color="auto"/>
      </w:divBdr>
    </w:div>
    <w:div w:id="1639645235">
      <w:bodyDiv w:val="1"/>
      <w:marLeft w:val="0"/>
      <w:marRight w:val="0"/>
      <w:marTop w:val="0"/>
      <w:marBottom w:val="0"/>
      <w:divBdr>
        <w:top w:val="none" w:sz="0" w:space="0" w:color="auto"/>
        <w:left w:val="none" w:sz="0" w:space="0" w:color="auto"/>
        <w:bottom w:val="none" w:sz="0" w:space="0" w:color="auto"/>
        <w:right w:val="none" w:sz="0" w:space="0" w:color="auto"/>
      </w:divBdr>
    </w:div>
    <w:div w:id="1647053523">
      <w:bodyDiv w:val="1"/>
      <w:marLeft w:val="0"/>
      <w:marRight w:val="0"/>
      <w:marTop w:val="0"/>
      <w:marBottom w:val="0"/>
      <w:divBdr>
        <w:top w:val="none" w:sz="0" w:space="0" w:color="auto"/>
        <w:left w:val="none" w:sz="0" w:space="0" w:color="auto"/>
        <w:bottom w:val="none" w:sz="0" w:space="0" w:color="auto"/>
        <w:right w:val="none" w:sz="0" w:space="0" w:color="auto"/>
      </w:divBdr>
    </w:div>
    <w:div w:id="1737432659">
      <w:bodyDiv w:val="1"/>
      <w:marLeft w:val="0"/>
      <w:marRight w:val="0"/>
      <w:marTop w:val="0"/>
      <w:marBottom w:val="0"/>
      <w:divBdr>
        <w:top w:val="none" w:sz="0" w:space="0" w:color="auto"/>
        <w:left w:val="none" w:sz="0" w:space="0" w:color="auto"/>
        <w:bottom w:val="none" w:sz="0" w:space="0" w:color="auto"/>
        <w:right w:val="none" w:sz="0" w:space="0" w:color="auto"/>
      </w:divBdr>
    </w:div>
    <w:div w:id="1865942798">
      <w:bodyDiv w:val="1"/>
      <w:marLeft w:val="0"/>
      <w:marRight w:val="0"/>
      <w:marTop w:val="0"/>
      <w:marBottom w:val="0"/>
      <w:divBdr>
        <w:top w:val="none" w:sz="0" w:space="0" w:color="auto"/>
        <w:left w:val="none" w:sz="0" w:space="0" w:color="auto"/>
        <w:bottom w:val="none" w:sz="0" w:space="0" w:color="auto"/>
        <w:right w:val="none" w:sz="0" w:space="0" w:color="auto"/>
      </w:divBdr>
    </w:div>
    <w:div w:id="1914313508">
      <w:bodyDiv w:val="1"/>
      <w:marLeft w:val="0"/>
      <w:marRight w:val="0"/>
      <w:marTop w:val="0"/>
      <w:marBottom w:val="0"/>
      <w:divBdr>
        <w:top w:val="none" w:sz="0" w:space="0" w:color="auto"/>
        <w:left w:val="none" w:sz="0" w:space="0" w:color="auto"/>
        <w:bottom w:val="none" w:sz="0" w:space="0" w:color="auto"/>
        <w:right w:val="none" w:sz="0" w:space="0" w:color="auto"/>
      </w:divBdr>
    </w:div>
    <w:div w:id="2069910346">
      <w:bodyDiv w:val="1"/>
      <w:marLeft w:val="0"/>
      <w:marRight w:val="0"/>
      <w:marTop w:val="0"/>
      <w:marBottom w:val="0"/>
      <w:divBdr>
        <w:top w:val="none" w:sz="0" w:space="0" w:color="auto"/>
        <w:left w:val="none" w:sz="0" w:space="0" w:color="auto"/>
        <w:bottom w:val="none" w:sz="0" w:space="0" w:color="auto"/>
        <w:right w:val="none" w:sz="0" w:space="0" w:color="auto"/>
      </w:divBdr>
    </w:div>
    <w:div w:id="20823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rmanpropertypartners.d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OFB-Brief Frankfurt</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OFB-Brief Frankfurt</dc:title>
  <dc:subject/>
  <dc:creator>Keller, Yvonne</dc:creator>
  <cp:keywords/>
  <cp:lastModifiedBy>Katharina Koester</cp:lastModifiedBy>
  <cp:revision>2</cp:revision>
  <cp:lastPrinted>2022-03-30T15:12:00Z</cp:lastPrinted>
  <dcterms:created xsi:type="dcterms:W3CDTF">2025-04-02T13:13:00Z</dcterms:created>
  <dcterms:modified xsi:type="dcterms:W3CDTF">2025-04-02T13:13:00Z</dcterms:modified>
</cp:coreProperties>
</file>