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42" w:rsidRDefault="000057B5" w:rsidP="00787E13">
      <w:pPr>
        <w:ind w:left="1134"/>
        <w:rPr>
          <w:rFonts w:ascii="Arial" w:hAnsi="Arial" w:cs="Arial"/>
          <w:sz w:val="40"/>
        </w:rPr>
      </w:pPr>
      <w:r>
        <w:rPr>
          <w:rFonts w:ascii="Arial" w:hAnsi="Arial" w:cs="Arial"/>
          <w:sz w:val="40"/>
        </w:rPr>
        <w:t>Immer mehr Lungenkrebserkrankungen zwischen Arendsee und Zeitz</w:t>
      </w:r>
    </w:p>
    <w:p w:rsidR="002B2842" w:rsidRDefault="000057B5" w:rsidP="00787E13">
      <w:pPr>
        <w:ind w:left="1134"/>
        <w:rPr>
          <w:rFonts w:ascii="Arial" w:hAnsi="Arial" w:cs="Arial"/>
          <w:b/>
          <w:sz w:val="32"/>
        </w:rPr>
      </w:pPr>
      <w:r>
        <w:rPr>
          <w:rFonts w:ascii="Arial" w:hAnsi="Arial" w:cs="Arial"/>
          <w:b/>
          <w:sz w:val="32"/>
        </w:rPr>
        <w:t xml:space="preserve">Hochrisikoland Sachsen-Anhalt / extrem hoher Anteil junger Raucher </w:t>
      </w:r>
    </w:p>
    <w:p w:rsidR="009F4957" w:rsidRDefault="000057B5" w:rsidP="00787E13">
      <w:pPr>
        <w:ind w:left="1134"/>
        <w:rPr>
          <w:rFonts w:ascii="Arial" w:hAnsi="Arial" w:cs="Arial"/>
          <w:b/>
          <w:sz w:val="24"/>
          <w:szCs w:val="24"/>
        </w:rPr>
      </w:pPr>
      <w:r>
        <w:rPr>
          <w:rFonts w:ascii="Arial" w:hAnsi="Arial" w:cs="Arial"/>
          <w:sz w:val="24"/>
          <w:szCs w:val="24"/>
        </w:rPr>
        <w:t>28. Mai 2018 / Magdeburg</w:t>
      </w:r>
      <w:r w:rsidRPr="00740178">
        <w:rPr>
          <w:rFonts w:ascii="Arial" w:hAnsi="Arial" w:cs="Arial"/>
          <w:b/>
          <w:sz w:val="24"/>
          <w:szCs w:val="24"/>
        </w:rPr>
        <w:t xml:space="preserve"> </w:t>
      </w:r>
      <w:r w:rsidRPr="00740178">
        <w:rPr>
          <w:rFonts w:ascii="Arial" w:hAnsi="Arial" w:cs="Arial"/>
          <w:sz w:val="24"/>
          <w:szCs w:val="24"/>
        </w:rPr>
        <w:t>–</w:t>
      </w:r>
      <w:r w:rsidRPr="00740178">
        <w:rPr>
          <w:rFonts w:ascii="Arial" w:hAnsi="Arial" w:cs="Arial"/>
          <w:b/>
          <w:sz w:val="24"/>
          <w:szCs w:val="24"/>
        </w:rPr>
        <w:t xml:space="preserve"> </w:t>
      </w:r>
      <w:r>
        <w:rPr>
          <w:rFonts w:ascii="Arial" w:hAnsi="Arial" w:cs="Arial"/>
          <w:b/>
          <w:sz w:val="24"/>
          <w:szCs w:val="24"/>
        </w:rPr>
        <w:t xml:space="preserve">Beim Rauchen entwickelt sich Sachsen-Anhalt gegen den bundesweiten Trend. Die Zahl der Lungenkrebserkrankungen steigt stetig, besonders viele Jugendliche sind der Sucht erlegen. </w:t>
      </w:r>
    </w:p>
    <w:p w:rsidR="002B2842" w:rsidRPr="00740178" w:rsidRDefault="000057B5" w:rsidP="00787E13">
      <w:pPr>
        <w:ind w:left="1134"/>
        <w:rPr>
          <w:rFonts w:ascii="Arial" w:hAnsi="Arial" w:cs="Arial"/>
          <w:b/>
          <w:sz w:val="24"/>
          <w:szCs w:val="24"/>
        </w:rPr>
      </w:pPr>
      <w:r w:rsidRPr="00740178">
        <w:rPr>
          <w:rFonts w:ascii="Arial" w:hAnsi="Arial" w:cs="Arial"/>
          <w:b/>
          <w:sz w:val="24"/>
          <w:szCs w:val="24"/>
        </w:rPr>
        <w:t xml:space="preserve">Gegen den Bundestrend: </w:t>
      </w:r>
      <w:r>
        <w:rPr>
          <w:rFonts w:ascii="Arial" w:hAnsi="Arial" w:cs="Arial"/>
          <w:b/>
          <w:sz w:val="24"/>
          <w:szCs w:val="24"/>
        </w:rPr>
        <w:br/>
      </w:r>
      <w:r w:rsidRPr="00740178">
        <w:rPr>
          <w:rFonts w:ascii="Arial" w:hAnsi="Arial" w:cs="Arial"/>
          <w:b/>
          <w:sz w:val="24"/>
          <w:szCs w:val="24"/>
        </w:rPr>
        <w:t>Mehr junge als ältere Raucher in Sachsen-Anhalt</w:t>
      </w:r>
    </w:p>
    <w:p w:rsidR="009F4957" w:rsidRDefault="000057B5" w:rsidP="00787E13">
      <w:pPr>
        <w:ind w:left="1134"/>
        <w:rPr>
          <w:rFonts w:ascii="Arial" w:hAnsi="Arial" w:cs="Arial"/>
          <w:sz w:val="24"/>
          <w:szCs w:val="24"/>
        </w:rPr>
      </w:pPr>
      <w:r w:rsidRPr="00740178">
        <w:rPr>
          <w:rFonts w:ascii="Arial" w:hAnsi="Arial" w:cs="Arial"/>
          <w:sz w:val="24"/>
          <w:szCs w:val="24"/>
        </w:rPr>
        <w:t xml:space="preserve">In Sachsen-Anhalt steigt die Zahl der Lungenkrebs-Erkrankungen kontinuierlich an, wie eine aktuelle Auswertung der AOK zeigt. </w:t>
      </w:r>
      <w:r>
        <w:rPr>
          <w:rFonts w:ascii="Arial" w:hAnsi="Arial" w:cs="Arial"/>
          <w:sz w:val="24"/>
          <w:szCs w:val="24"/>
        </w:rPr>
        <w:t xml:space="preserve">Dabei könnte sich die Situation in den folgenden Jahren noch verschärfen, denn in keinem anderen Bundesland gibt es so viele jugendliche Raucher: Laut Tabakatlas der Bundesregierung sind </w:t>
      </w:r>
      <w:r w:rsidRPr="00740178">
        <w:rPr>
          <w:rFonts w:ascii="Arial" w:hAnsi="Arial" w:cs="Arial"/>
          <w:sz w:val="24"/>
          <w:szCs w:val="24"/>
        </w:rPr>
        <w:t xml:space="preserve">36 Prozent der </w:t>
      </w:r>
      <w:r>
        <w:rPr>
          <w:rFonts w:ascii="Arial" w:hAnsi="Arial" w:cs="Arial"/>
          <w:sz w:val="24"/>
          <w:szCs w:val="24"/>
        </w:rPr>
        <w:t xml:space="preserve">15- bis 24-jährigen Männer </w:t>
      </w:r>
      <w:r w:rsidRPr="00740178">
        <w:rPr>
          <w:rFonts w:ascii="Arial" w:hAnsi="Arial" w:cs="Arial"/>
          <w:sz w:val="24"/>
          <w:szCs w:val="24"/>
        </w:rPr>
        <w:t xml:space="preserve">regelmäßige Raucher, bei den Frauen sind es </w:t>
      </w:r>
      <w:r>
        <w:rPr>
          <w:rFonts w:ascii="Arial" w:hAnsi="Arial" w:cs="Arial"/>
          <w:sz w:val="24"/>
          <w:szCs w:val="24"/>
        </w:rPr>
        <w:t xml:space="preserve">rund </w:t>
      </w:r>
      <w:r w:rsidRPr="00740178">
        <w:rPr>
          <w:rFonts w:ascii="Arial" w:hAnsi="Arial" w:cs="Arial"/>
          <w:sz w:val="24"/>
          <w:szCs w:val="24"/>
        </w:rPr>
        <w:t xml:space="preserve">30 Prozent. </w:t>
      </w:r>
      <w:r>
        <w:rPr>
          <w:rFonts w:ascii="Arial" w:hAnsi="Arial" w:cs="Arial"/>
          <w:sz w:val="24"/>
          <w:szCs w:val="24"/>
        </w:rPr>
        <w:t xml:space="preserve">Damit rauchen in Sachsen-Anhalt, anders als im Bundestrend, mehr Jüngere als Ältere. Der Anteil der Raucher aller Altersgruppen liegt in Sachsen-Anhalt bei den Männern bei rund 34 und bei den Frauen bei rund 22 Prozent. </w:t>
      </w:r>
    </w:p>
    <w:tbl>
      <w:tblPr>
        <w:tblStyle w:val="Tabellenraster"/>
        <w:tblW w:w="0" w:type="auto"/>
        <w:tblInd w:w="1526" w:type="dxa"/>
        <w:tblLook w:val="04A0" w:firstRow="1" w:lastRow="0" w:firstColumn="1" w:lastColumn="0" w:noHBand="0" w:noVBand="1"/>
      </w:tblPr>
      <w:tblGrid>
        <w:gridCol w:w="1926"/>
        <w:gridCol w:w="1912"/>
        <w:gridCol w:w="1803"/>
        <w:gridCol w:w="2121"/>
      </w:tblGrid>
      <w:tr w:rsidR="009B400B" w:rsidTr="008D7AD7">
        <w:tc>
          <w:tcPr>
            <w:tcW w:w="1916" w:type="dxa"/>
          </w:tcPr>
          <w:p w:rsidR="00DD3F3C" w:rsidRPr="000468CD" w:rsidRDefault="000057B5" w:rsidP="00787E13">
            <w:pPr>
              <w:ind w:left="1134"/>
              <w:rPr>
                <w:rFonts w:ascii="Arial" w:hAnsi="Arial" w:cs="Arial"/>
                <w:i/>
              </w:rPr>
            </w:pPr>
            <w:r w:rsidRPr="000468CD">
              <w:rPr>
                <w:rFonts w:ascii="Arial" w:hAnsi="Arial" w:cs="Arial"/>
                <w:i/>
              </w:rPr>
              <w:t>Jahr</w:t>
            </w:r>
          </w:p>
        </w:tc>
        <w:tc>
          <w:tcPr>
            <w:tcW w:w="1916" w:type="dxa"/>
          </w:tcPr>
          <w:p w:rsidR="00DD3F3C" w:rsidRPr="000468CD" w:rsidRDefault="000057B5" w:rsidP="00787E13">
            <w:pPr>
              <w:ind w:left="1134"/>
              <w:rPr>
                <w:rFonts w:ascii="Arial" w:hAnsi="Arial" w:cs="Arial"/>
                <w:i/>
              </w:rPr>
            </w:pPr>
            <w:r w:rsidRPr="000468CD">
              <w:rPr>
                <w:rFonts w:ascii="Arial" w:hAnsi="Arial" w:cs="Arial"/>
                <w:i/>
              </w:rPr>
              <w:t>m</w:t>
            </w:r>
          </w:p>
        </w:tc>
        <w:tc>
          <w:tcPr>
            <w:tcW w:w="1807" w:type="dxa"/>
          </w:tcPr>
          <w:p w:rsidR="00DD3F3C" w:rsidRPr="000468CD" w:rsidRDefault="000057B5" w:rsidP="00787E13">
            <w:pPr>
              <w:ind w:left="1134"/>
              <w:rPr>
                <w:rFonts w:ascii="Arial" w:hAnsi="Arial" w:cs="Arial"/>
                <w:i/>
              </w:rPr>
            </w:pPr>
            <w:r w:rsidRPr="000468CD">
              <w:rPr>
                <w:rFonts w:ascii="Arial" w:hAnsi="Arial" w:cs="Arial"/>
                <w:i/>
              </w:rPr>
              <w:t>w</w:t>
            </w:r>
          </w:p>
        </w:tc>
        <w:tc>
          <w:tcPr>
            <w:tcW w:w="2123" w:type="dxa"/>
          </w:tcPr>
          <w:p w:rsidR="00DD3F3C" w:rsidRPr="000468CD" w:rsidRDefault="000057B5" w:rsidP="00787E13">
            <w:pPr>
              <w:ind w:left="1134"/>
              <w:rPr>
                <w:rFonts w:ascii="Arial" w:hAnsi="Arial" w:cs="Arial"/>
                <w:i/>
              </w:rPr>
            </w:pPr>
            <w:r w:rsidRPr="000468CD">
              <w:rPr>
                <w:rFonts w:ascii="Arial" w:hAnsi="Arial" w:cs="Arial"/>
                <w:i/>
              </w:rPr>
              <w:t>gesamt</w:t>
            </w:r>
          </w:p>
        </w:tc>
      </w:tr>
      <w:tr w:rsidR="009B400B" w:rsidTr="008D7AD7">
        <w:tc>
          <w:tcPr>
            <w:tcW w:w="1916" w:type="dxa"/>
          </w:tcPr>
          <w:p w:rsidR="00DD3F3C" w:rsidRDefault="000057B5" w:rsidP="00787E13">
            <w:pPr>
              <w:ind w:left="1134"/>
              <w:rPr>
                <w:rFonts w:ascii="Arial" w:hAnsi="Arial" w:cs="Arial"/>
              </w:rPr>
            </w:pPr>
            <w:r>
              <w:rPr>
                <w:rFonts w:ascii="Arial" w:hAnsi="Arial" w:cs="Arial"/>
              </w:rPr>
              <w:t>2013</w:t>
            </w:r>
          </w:p>
        </w:tc>
        <w:tc>
          <w:tcPr>
            <w:tcW w:w="1916" w:type="dxa"/>
          </w:tcPr>
          <w:p w:rsidR="00DD3F3C" w:rsidRDefault="000057B5" w:rsidP="00787E13">
            <w:pPr>
              <w:ind w:left="1134"/>
              <w:rPr>
                <w:rFonts w:ascii="Arial" w:hAnsi="Arial" w:cs="Arial"/>
              </w:rPr>
            </w:pPr>
            <w:r>
              <w:rPr>
                <w:rFonts w:ascii="Arial" w:hAnsi="Arial" w:cs="Arial"/>
              </w:rPr>
              <w:t>1892</w:t>
            </w:r>
          </w:p>
        </w:tc>
        <w:tc>
          <w:tcPr>
            <w:tcW w:w="1807" w:type="dxa"/>
          </w:tcPr>
          <w:p w:rsidR="00DD3F3C" w:rsidRDefault="000057B5" w:rsidP="00787E13">
            <w:pPr>
              <w:ind w:left="1134"/>
              <w:rPr>
                <w:rFonts w:ascii="Arial" w:hAnsi="Arial" w:cs="Arial"/>
              </w:rPr>
            </w:pPr>
            <w:r>
              <w:rPr>
                <w:rFonts w:ascii="Arial" w:hAnsi="Arial" w:cs="Arial"/>
              </w:rPr>
              <w:t>875</w:t>
            </w:r>
          </w:p>
        </w:tc>
        <w:tc>
          <w:tcPr>
            <w:tcW w:w="2123" w:type="dxa"/>
          </w:tcPr>
          <w:p w:rsidR="00DD3F3C" w:rsidRDefault="000057B5" w:rsidP="00787E13">
            <w:pPr>
              <w:ind w:left="1134"/>
              <w:rPr>
                <w:rFonts w:ascii="Arial" w:hAnsi="Arial" w:cs="Arial"/>
              </w:rPr>
            </w:pPr>
            <w:r>
              <w:rPr>
                <w:rFonts w:ascii="Arial" w:hAnsi="Arial" w:cs="Arial"/>
              </w:rPr>
              <w:t>2767</w:t>
            </w:r>
          </w:p>
        </w:tc>
      </w:tr>
      <w:tr w:rsidR="009B400B" w:rsidTr="008D7AD7">
        <w:tc>
          <w:tcPr>
            <w:tcW w:w="1916" w:type="dxa"/>
          </w:tcPr>
          <w:p w:rsidR="00DD3F3C" w:rsidRDefault="000057B5" w:rsidP="00787E13">
            <w:pPr>
              <w:ind w:left="1134"/>
              <w:rPr>
                <w:rFonts w:ascii="Arial" w:hAnsi="Arial" w:cs="Arial"/>
              </w:rPr>
            </w:pPr>
            <w:r>
              <w:rPr>
                <w:rFonts w:ascii="Arial" w:hAnsi="Arial" w:cs="Arial"/>
              </w:rPr>
              <w:t>2014</w:t>
            </w:r>
          </w:p>
        </w:tc>
        <w:tc>
          <w:tcPr>
            <w:tcW w:w="1916" w:type="dxa"/>
          </w:tcPr>
          <w:p w:rsidR="00DD3F3C" w:rsidRDefault="000057B5" w:rsidP="00787E13">
            <w:pPr>
              <w:ind w:left="1134"/>
              <w:rPr>
                <w:rFonts w:ascii="Arial" w:hAnsi="Arial" w:cs="Arial"/>
              </w:rPr>
            </w:pPr>
            <w:r>
              <w:rPr>
                <w:rFonts w:ascii="Arial" w:hAnsi="Arial" w:cs="Arial"/>
              </w:rPr>
              <w:t>1850</w:t>
            </w:r>
          </w:p>
        </w:tc>
        <w:tc>
          <w:tcPr>
            <w:tcW w:w="1807" w:type="dxa"/>
          </w:tcPr>
          <w:p w:rsidR="00DD3F3C" w:rsidRDefault="000057B5" w:rsidP="00787E13">
            <w:pPr>
              <w:ind w:left="1134"/>
              <w:rPr>
                <w:rFonts w:ascii="Arial" w:hAnsi="Arial" w:cs="Arial"/>
              </w:rPr>
            </w:pPr>
            <w:r>
              <w:rPr>
                <w:rFonts w:ascii="Arial" w:hAnsi="Arial" w:cs="Arial"/>
              </w:rPr>
              <w:t>889</w:t>
            </w:r>
          </w:p>
        </w:tc>
        <w:tc>
          <w:tcPr>
            <w:tcW w:w="2123" w:type="dxa"/>
          </w:tcPr>
          <w:p w:rsidR="00DD3F3C" w:rsidRDefault="000057B5" w:rsidP="00787E13">
            <w:pPr>
              <w:ind w:left="1134"/>
              <w:rPr>
                <w:rFonts w:ascii="Arial" w:hAnsi="Arial" w:cs="Arial"/>
              </w:rPr>
            </w:pPr>
            <w:r>
              <w:rPr>
                <w:rFonts w:ascii="Arial" w:hAnsi="Arial" w:cs="Arial"/>
              </w:rPr>
              <w:t>2739</w:t>
            </w:r>
          </w:p>
        </w:tc>
      </w:tr>
      <w:tr w:rsidR="009B400B" w:rsidTr="008D7AD7">
        <w:tc>
          <w:tcPr>
            <w:tcW w:w="1916" w:type="dxa"/>
          </w:tcPr>
          <w:p w:rsidR="00DD3F3C" w:rsidRDefault="000057B5" w:rsidP="00787E13">
            <w:pPr>
              <w:ind w:left="1134"/>
              <w:rPr>
                <w:rFonts w:ascii="Arial" w:hAnsi="Arial" w:cs="Arial"/>
              </w:rPr>
            </w:pPr>
            <w:r>
              <w:rPr>
                <w:rFonts w:ascii="Arial" w:hAnsi="Arial" w:cs="Arial"/>
              </w:rPr>
              <w:t>2015</w:t>
            </w:r>
          </w:p>
        </w:tc>
        <w:tc>
          <w:tcPr>
            <w:tcW w:w="1916" w:type="dxa"/>
          </w:tcPr>
          <w:p w:rsidR="00DD3F3C" w:rsidRDefault="000057B5" w:rsidP="00787E13">
            <w:pPr>
              <w:ind w:left="1134"/>
              <w:rPr>
                <w:rFonts w:ascii="Arial" w:hAnsi="Arial" w:cs="Arial"/>
              </w:rPr>
            </w:pPr>
            <w:r>
              <w:rPr>
                <w:rFonts w:ascii="Arial" w:hAnsi="Arial" w:cs="Arial"/>
              </w:rPr>
              <w:t>1857</w:t>
            </w:r>
          </w:p>
        </w:tc>
        <w:tc>
          <w:tcPr>
            <w:tcW w:w="1807" w:type="dxa"/>
          </w:tcPr>
          <w:p w:rsidR="00DD3F3C" w:rsidRDefault="000057B5" w:rsidP="00787E13">
            <w:pPr>
              <w:ind w:left="1134"/>
              <w:rPr>
                <w:rFonts w:ascii="Arial" w:hAnsi="Arial" w:cs="Arial"/>
              </w:rPr>
            </w:pPr>
            <w:r>
              <w:rPr>
                <w:rFonts w:ascii="Arial" w:hAnsi="Arial" w:cs="Arial"/>
              </w:rPr>
              <w:t>909</w:t>
            </w:r>
          </w:p>
        </w:tc>
        <w:tc>
          <w:tcPr>
            <w:tcW w:w="2123" w:type="dxa"/>
          </w:tcPr>
          <w:p w:rsidR="00DD3F3C" w:rsidRDefault="000057B5" w:rsidP="00787E13">
            <w:pPr>
              <w:ind w:left="1134"/>
              <w:rPr>
                <w:rFonts w:ascii="Arial" w:hAnsi="Arial" w:cs="Arial"/>
              </w:rPr>
            </w:pPr>
            <w:r>
              <w:rPr>
                <w:rFonts w:ascii="Arial" w:hAnsi="Arial" w:cs="Arial"/>
              </w:rPr>
              <w:t>2766</w:t>
            </w:r>
          </w:p>
        </w:tc>
      </w:tr>
      <w:tr w:rsidR="009B400B" w:rsidTr="008D7AD7">
        <w:tc>
          <w:tcPr>
            <w:tcW w:w="1916" w:type="dxa"/>
          </w:tcPr>
          <w:p w:rsidR="00DD3F3C" w:rsidRDefault="000057B5" w:rsidP="00787E13">
            <w:pPr>
              <w:ind w:left="1134"/>
              <w:rPr>
                <w:rFonts w:ascii="Arial" w:hAnsi="Arial" w:cs="Arial"/>
              </w:rPr>
            </w:pPr>
            <w:r>
              <w:rPr>
                <w:rFonts w:ascii="Arial" w:hAnsi="Arial" w:cs="Arial"/>
              </w:rPr>
              <w:t>2016</w:t>
            </w:r>
          </w:p>
        </w:tc>
        <w:tc>
          <w:tcPr>
            <w:tcW w:w="1916" w:type="dxa"/>
          </w:tcPr>
          <w:p w:rsidR="00DD3F3C" w:rsidRDefault="000057B5" w:rsidP="00787E13">
            <w:pPr>
              <w:ind w:left="1134"/>
              <w:rPr>
                <w:rFonts w:ascii="Arial" w:hAnsi="Arial" w:cs="Arial"/>
              </w:rPr>
            </w:pPr>
            <w:r>
              <w:rPr>
                <w:rFonts w:ascii="Arial" w:hAnsi="Arial" w:cs="Arial"/>
              </w:rPr>
              <w:t>1865</w:t>
            </w:r>
          </w:p>
        </w:tc>
        <w:tc>
          <w:tcPr>
            <w:tcW w:w="1807" w:type="dxa"/>
          </w:tcPr>
          <w:p w:rsidR="00DD3F3C" w:rsidRDefault="000057B5" w:rsidP="00787E13">
            <w:pPr>
              <w:ind w:left="1134"/>
              <w:rPr>
                <w:rFonts w:ascii="Arial" w:hAnsi="Arial" w:cs="Arial"/>
              </w:rPr>
            </w:pPr>
            <w:r>
              <w:rPr>
                <w:rFonts w:ascii="Arial" w:hAnsi="Arial" w:cs="Arial"/>
              </w:rPr>
              <w:t>935</w:t>
            </w:r>
          </w:p>
        </w:tc>
        <w:tc>
          <w:tcPr>
            <w:tcW w:w="2123" w:type="dxa"/>
          </w:tcPr>
          <w:p w:rsidR="00DD3F3C" w:rsidRDefault="000057B5" w:rsidP="00787E13">
            <w:pPr>
              <w:ind w:left="1134"/>
              <w:rPr>
                <w:rFonts w:ascii="Arial" w:hAnsi="Arial" w:cs="Arial"/>
              </w:rPr>
            </w:pPr>
            <w:r>
              <w:rPr>
                <w:rFonts w:ascii="Arial" w:hAnsi="Arial" w:cs="Arial"/>
              </w:rPr>
              <w:t>2800</w:t>
            </w:r>
          </w:p>
        </w:tc>
      </w:tr>
      <w:tr w:rsidR="009B400B" w:rsidTr="008D7AD7">
        <w:tc>
          <w:tcPr>
            <w:tcW w:w="1916" w:type="dxa"/>
          </w:tcPr>
          <w:p w:rsidR="00DD3F3C" w:rsidRDefault="000057B5" w:rsidP="00787E13">
            <w:pPr>
              <w:ind w:left="1134"/>
              <w:rPr>
                <w:rFonts w:ascii="Arial" w:hAnsi="Arial" w:cs="Arial"/>
              </w:rPr>
            </w:pPr>
            <w:r>
              <w:rPr>
                <w:rFonts w:ascii="Arial" w:hAnsi="Arial" w:cs="Arial"/>
              </w:rPr>
              <w:t>2017*</w:t>
            </w:r>
          </w:p>
        </w:tc>
        <w:tc>
          <w:tcPr>
            <w:tcW w:w="1916" w:type="dxa"/>
          </w:tcPr>
          <w:p w:rsidR="00DD3F3C" w:rsidRDefault="000057B5" w:rsidP="00787E13">
            <w:pPr>
              <w:ind w:left="1134"/>
              <w:rPr>
                <w:rFonts w:ascii="Arial" w:hAnsi="Arial" w:cs="Arial"/>
              </w:rPr>
            </w:pPr>
            <w:r>
              <w:rPr>
                <w:rFonts w:ascii="Arial" w:hAnsi="Arial" w:cs="Arial"/>
              </w:rPr>
              <w:t>1752</w:t>
            </w:r>
          </w:p>
        </w:tc>
        <w:tc>
          <w:tcPr>
            <w:tcW w:w="1807" w:type="dxa"/>
          </w:tcPr>
          <w:p w:rsidR="00DD3F3C" w:rsidRDefault="000057B5" w:rsidP="00787E13">
            <w:pPr>
              <w:ind w:left="1134"/>
              <w:rPr>
                <w:rFonts w:ascii="Arial" w:hAnsi="Arial" w:cs="Arial"/>
              </w:rPr>
            </w:pPr>
            <w:r>
              <w:rPr>
                <w:rFonts w:ascii="Arial" w:hAnsi="Arial" w:cs="Arial"/>
              </w:rPr>
              <w:t>945</w:t>
            </w:r>
          </w:p>
        </w:tc>
        <w:tc>
          <w:tcPr>
            <w:tcW w:w="2123" w:type="dxa"/>
          </w:tcPr>
          <w:p w:rsidR="00DD3F3C" w:rsidRDefault="000057B5" w:rsidP="00787E13">
            <w:pPr>
              <w:ind w:left="1134"/>
              <w:rPr>
                <w:rFonts w:ascii="Arial" w:hAnsi="Arial" w:cs="Arial"/>
              </w:rPr>
            </w:pPr>
            <w:r>
              <w:rPr>
                <w:rFonts w:ascii="Arial" w:hAnsi="Arial" w:cs="Arial"/>
              </w:rPr>
              <w:t>2697</w:t>
            </w:r>
          </w:p>
        </w:tc>
      </w:tr>
    </w:tbl>
    <w:p w:rsidR="00DD3F3C" w:rsidRPr="00787132" w:rsidRDefault="000057B5" w:rsidP="00787E13">
      <w:pPr>
        <w:ind w:left="1134"/>
        <w:rPr>
          <w:rFonts w:ascii="Arial" w:hAnsi="Arial" w:cs="Arial"/>
          <w:sz w:val="18"/>
          <w:szCs w:val="18"/>
        </w:rPr>
      </w:pPr>
      <w:r>
        <w:rPr>
          <w:rFonts w:ascii="Arial" w:hAnsi="Arial" w:cs="Arial"/>
          <w:sz w:val="18"/>
          <w:szCs w:val="18"/>
        </w:rPr>
        <w:t>Krankheitsfälle</w:t>
      </w:r>
      <w:r w:rsidRPr="00787132">
        <w:rPr>
          <w:rFonts w:ascii="Arial" w:hAnsi="Arial" w:cs="Arial"/>
          <w:sz w:val="18"/>
          <w:szCs w:val="18"/>
        </w:rPr>
        <w:t xml:space="preserve"> Lungenkrebs, </w:t>
      </w:r>
      <w:r>
        <w:rPr>
          <w:rFonts w:ascii="Arial" w:hAnsi="Arial" w:cs="Arial"/>
          <w:sz w:val="18"/>
          <w:szCs w:val="18"/>
        </w:rPr>
        <w:t xml:space="preserve">Versicherte der </w:t>
      </w:r>
      <w:r w:rsidRPr="00787132">
        <w:rPr>
          <w:rFonts w:ascii="Arial" w:hAnsi="Arial" w:cs="Arial"/>
          <w:sz w:val="18"/>
          <w:szCs w:val="18"/>
        </w:rPr>
        <w:t>AOK Sachsen-Anhalt</w:t>
      </w:r>
      <w:r>
        <w:rPr>
          <w:rFonts w:ascii="Arial" w:hAnsi="Arial" w:cs="Arial"/>
          <w:sz w:val="18"/>
          <w:szCs w:val="18"/>
        </w:rPr>
        <w:t xml:space="preserve"> (*Zahlen für 2017 nur bis einschl. drittes Quartal)</w:t>
      </w:r>
    </w:p>
    <w:p w:rsidR="002B2842" w:rsidRPr="00740178" w:rsidRDefault="000057B5" w:rsidP="00787E13">
      <w:pPr>
        <w:ind w:left="426" w:firstLine="708"/>
        <w:rPr>
          <w:rFonts w:ascii="Arial" w:hAnsi="Arial" w:cs="Arial"/>
          <w:b/>
          <w:sz w:val="24"/>
          <w:szCs w:val="24"/>
        </w:rPr>
      </w:pPr>
      <w:bookmarkStart w:id="0" w:name="_GoBack"/>
      <w:bookmarkEnd w:id="0"/>
      <w:r w:rsidRPr="00740178">
        <w:rPr>
          <w:rFonts w:ascii="Arial" w:hAnsi="Arial" w:cs="Arial"/>
          <w:b/>
          <w:sz w:val="24"/>
          <w:szCs w:val="24"/>
        </w:rPr>
        <w:t>Immer mehr Frauen erkranken</w:t>
      </w:r>
    </w:p>
    <w:p w:rsidR="002B2842" w:rsidRDefault="000057B5" w:rsidP="00787E13">
      <w:pPr>
        <w:ind w:left="1134"/>
        <w:rPr>
          <w:rFonts w:ascii="Arial" w:hAnsi="Arial" w:cs="Arial"/>
          <w:sz w:val="24"/>
          <w:szCs w:val="24"/>
        </w:rPr>
      </w:pPr>
      <w:r>
        <w:rPr>
          <w:rFonts w:ascii="Arial" w:hAnsi="Arial" w:cs="Arial"/>
          <w:sz w:val="24"/>
          <w:szCs w:val="24"/>
        </w:rPr>
        <w:lastRenderedPageBreak/>
        <w:t xml:space="preserve">Dass die Lungenkrebs-Zahlen in Sachsen-Anhalt steigen, liegt vor allem an der Zunahme der Neuerkrankungen von Frauen. In der Vergangenheit haben zwar mehr Männer als Frauen geraucht. Den Trend, mit dem Rauchen aufzuhören, haben allerdings zuerst die Männer vollzogen. </w:t>
      </w:r>
      <w:r w:rsidRPr="00740178">
        <w:rPr>
          <w:rFonts w:ascii="Arial" w:hAnsi="Arial" w:cs="Arial"/>
          <w:sz w:val="24"/>
          <w:szCs w:val="24"/>
        </w:rPr>
        <w:t>Seit den 90er-Jahren sinkt der Raucheranteil bei Männern, bei Frauen erst seit 2003.</w:t>
      </w:r>
    </w:p>
    <w:p w:rsidR="003951B0" w:rsidRDefault="000057B5" w:rsidP="00787E13">
      <w:pPr>
        <w:ind w:left="1134"/>
        <w:rPr>
          <w:rFonts w:ascii="Arial" w:hAnsi="Arial" w:cs="Arial"/>
          <w:sz w:val="24"/>
          <w:szCs w:val="24"/>
        </w:rPr>
      </w:pPr>
      <w:r>
        <w:rPr>
          <w:rFonts w:ascii="Arial" w:hAnsi="Arial" w:cs="Arial"/>
          <w:sz w:val="24"/>
          <w:szCs w:val="24"/>
        </w:rPr>
        <w:t xml:space="preserve">Die Zahl der Lungenkrebskranken steht im direkten Zusammenhang mit den Raucherzahlen vergangener Jahre. Der jetzige Anstieg der Erkrankungen ist die Folge hoher Raucherquoten in der zweiten Hälfte des 20. Jahrhunderts. Im Jahr 2006 sind 0,2 Prozent der bundesweit AOK-Versicherten an Lungenkrebs erkrankt. 2015 waren es, bei gleichzeitig sinkendem Raucheranteil, bereits 0,257 Prozent. </w:t>
      </w:r>
    </w:p>
    <w:p w:rsidR="002B2842" w:rsidRPr="00740178" w:rsidRDefault="000057B5" w:rsidP="00787E13">
      <w:pPr>
        <w:ind w:left="426" w:firstLine="708"/>
        <w:rPr>
          <w:rFonts w:ascii="Arial" w:hAnsi="Arial" w:cs="Arial"/>
          <w:b/>
          <w:sz w:val="24"/>
          <w:szCs w:val="24"/>
        </w:rPr>
      </w:pPr>
      <w:r w:rsidRPr="00740178">
        <w:rPr>
          <w:rFonts w:ascii="Arial" w:hAnsi="Arial" w:cs="Arial"/>
          <w:b/>
          <w:sz w:val="24"/>
          <w:szCs w:val="24"/>
        </w:rPr>
        <w:t>Lungenkrebs ist ein Stadt-Land-Problem</w:t>
      </w:r>
    </w:p>
    <w:p w:rsidR="002B2842" w:rsidRDefault="000057B5" w:rsidP="00787E13">
      <w:pPr>
        <w:ind w:left="1134"/>
        <w:rPr>
          <w:rFonts w:ascii="Arial" w:hAnsi="Arial" w:cs="Arial"/>
          <w:sz w:val="24"/>
          <w:szCs w:val="24"/>
        </w:rPr>
      </w:pPr>
      <w:r w:rsidRPr="00740178">
        <w:rPr>
          <w:rFonts w:ascii="Arial" w:hAnsi="Arial" w:cs="Arial"/>
          <w:sz w:val="24"/>
          <w:szCs w:val="24"/>
        </w:rPr>
        <w:t>Lungenkrebs</w:t>
      </w:r>
      <w:r>
        <w:rPr>
          <w:rFonts w:ascii="Arial" w:hAnsi="Arial" w:cs="Arial"/>
          <w:sz w:val="24"/>
          <w:szCs w:val="24"/>
        </w:rPr>
        <w:t xml:space="preserve"> ist</w:t>
      </w:r>
      <w:r w:rsidRPr="00740178">
        <w:rPr>
          <w:rFonts w:ascii="Arial" w:hAnsi="Arial" w:cs="Arial"/>
          <w:sz w:val="24"/>
          <w:szCs w:val="24"/>
        </w:rPr>
        <w:t xml:space="preserve"> vor allem ein Nord-Süd- und ein Land-Stadt-Problem, so die AOK-Auswertung</w:t>
      </w:r>
      <w:r>
        <w:rPr>
          <w:rFonts w:ascii="Arial" w:hAnsi="Arial" w:cs="Arial"/>
          <w:sz w:val="24"/>
          <w:szCs w:val="24"/>
        </w:rPr>
        <w:t xml:space="preserve"> (Abbildung 4)</w:t>
      </w:r>
      <w:r w:rsidRPr="00740178">
        <w:rPr>
          <w:rFonts w:ascii="Arial" w:hAnsi="Arial" w:cs="Arial"/>
          <w:sz w:val="24"/>
          <w:szCs w:val="24"/>
        </w:rPr>
        <w:t xml:space="preserve">. Demnach erkrankten </w:t>
      </w:r>
      <w:r>
        <w:rPr>
          <w:rFonts w:ascii="Arial" w:hAnsi="Arial" w:cs="Arial"/>
          <w:sz w:val="24"/>
          <w:szCs w:val="24"/>
        </w:rPr>
        <w:t xml:space="preserve">im Jahr 2015 </w:t>
      </w:r>
      <w:r w:rsidRPr="00740178">
        <w:rPr>
          <w:rFonts w:ascii="Arial" w:hAnsi="Arial" w:cs="Arial"/>
          <w:sz w:val="24"/>
          <w:szCs w:val="24"/>
        </w:rPr>
        <w:t xml:space="preserve">besonders viele Versicherte im Nordwesten der Republik. </w:t>
      </w:r>
      <w:r>
        <w:rPr>
          <w:rFonts w:ascii="Arial" w:hAnsi="Arial" w:cs="Arial"/>
          <w:sz w:val="24"/>
          <w:szCs w:val="24"/>
        </w:rPr>
        <w:t xml:space="preserve">Die höchsten Erkrankungsraten gab es in Berlin (0,37 Prozent der AOK-Versicherten), Hamburg (0,361), Bremen (0,336) und im Rheinland/Ruhrgebiet (0,333). </w:t>
      </w:r>
    </w:p>
    <w:p w:rsidR="002B2842" w:rsidRPr="00740178" w:rsidRDefault="000057B5" w:rsidP="00787E13">
      <w:pPr>
        <w:ind w:left="1134"/>
        <w:rPr>
          <w:rFonts w:ascii="Arial" w:hAnsi="Arial" w:cs="Arial"/>
          <w:sz w:val="24"/>
          <w:szCs w:val="24"/>
        </w:rPr>
      </w:pPr>
      <w:r w:rsidRPr="00740178">
        <w:rPr>
          <w:rFonts w:ascii="Arial" w:hAnsi="Arial" w:cs="Arial"/>
          <w:sz w:val="24"/>
          <w:szCs w:val="24"/>
        </w:rPr>
        <w:t>Die wenigs</w:t>
      </w:r>
      <w:r>
        <w:rPr>
          <w:rFonts w:ascii="Arial" w:hAnsi="Arial" w:cs="Arial"/>
          <w:sz w:val="24"/>
          <w:szCs w:val="24"/>
        </w:rPr>
        <w:t>ten Lungenkrebserkrankungen gab</w:t>
      </w:r>
      <w:r w:rsidRPr="00740178">
        <w:rPr>
          <w:rFonts w:ascii="Arial" w:hAnsi="Arial" w:cs="Arial"/>
          <w:sz w:val="24"/>
          <w:szCs w:val="24"/>
        </w:rPr>
        <w:t xml:space="preserve"> es in Sachsen </w:t>
      </w:r>
      <w:r>
        <w:rPr>
          <w:rFonts w:ascii="Arial" w:hAnsi="Arial" w:cs="Arial"/>
          <w:sz w:val="24"/>
          <w:szCs w:val="24"/>
        </w:rPr>
        <w:t xml:space="preserve">(0,185), </w:t>
      </w:r>
      <w:r w:rsidRPr="00740178">
        <w:rPr>
          <w:rFonts w:ascii="Arial" w:hAnsi="Arial" w:cs="Arial"/>
          <w:sz w:val="24"/>
          <w:szCs w:val="24"/>
        </w:rPr>
        <w:t>Thü</w:t>
      </w:r>
      <w:r>
        <w:rPr>
          <w:rFonts w:ascii="Arial" w:hAnsi="Arial" w:cs="Arial"/>
          <w:sz w:val="24"/>
          <w:szCs w:val="24"/>
        </w:rPr>
        <w:t>ringen (0,209</w:t>
      </w:r>
      <w:r w:rsidRPr="00740178">
        <w:rPr>
          <w:rFonts w:ascii="Arial" w:hAnsi="Arial" w:cs="Arial"/>
          <w:sz w:val="24"/>
          <w:szCs w:val="24"/>
        </w:rPr>
        <w:t>), Bayern (0,211) und Baden-Württemberg (0,221). Sachsen-Anhalt erreicht mit einer Erkrankungsquote von 0,272 fast den bundesweiten Durchschnittswert</w:t>
      </w:r>
      <w:r>
        <w:rPr>
          <w:rFonts w:ascii="Arial" w:hAnsi="Arial" w:cs="Arial"/>
          <w:sz w:val="24"/>
          <w:szCs w:val="24"/>
        </w:rPr>
        <w:t xml:space="preserve"> von 0,257 Prozent</w:t>
      </w:r>
      <w:r w:rsidRPr="00740178">
        <w:rPr>
          <w:rFonts w:ascii="Arial" w:hAnsi="Arial" w:cs="Arial"/>
          <w:sz w:val="24"/>
          <w:szCs w:val="24"/>
        </w:rPr>
        <w:t>.</w:t>
      </w:r>
    </w:p>
    <w:p w:rsidR="002B2842" w:rsidRDefault="000057B5" w:rsidP="00787E13">
      <w:pPr>
        <w:ind w:left="1134"/>
        <w:rPr>
          <w:rFonts w:ascii="Arial" w:hAnsi="Arial" w:cs="Arial"/>
          <w:b/>
          <w:sz w:val="24"/>
          <w:szCs w:val="24"/>
        </w:rPr>
      </w:pPr>
      <w:r>
        <w:rPr>
          <w:rFonts w:ascii="Arial" w:hAnsi="Arial" w:cs="Arial"/>
          <w:b/>
          <w:sz w:val="24"/>
          <w:szCs w:val="24"/>
        </w:rPr>
        <w:t>Jeder zweite Raucher stirbt an Krebs</w:t>
      </w:r>
    </w:p>
    <w:p w:rsidR="002B2842" w:rsidRDefault="000057B5" w:rsidP="00787E13">
      <w:pPr>
        <w:ind w:left="1134"/>
        <w:rPr>
          <w:rFonts w:ascii="Arial" w:hAnsi="Arial" w:cs="Arial"/>
          <w:sz w:val="24"/>
          <w:szCs w:val="24"/>
        </w:rPr>
      </w:pPr>
      <w:r>
        <w:rPr>
          <w:rFonts w:ascii="Arial" w:hAnsi="Arial" w:cs="Arial"/>
          <w:sz w:val="24"/>
          <w:szCs w:val="24"/>
        </w:rPr>
        <w:t xml:space="preserve">Der Zusammenhang zwischen Lungenkrebs und Rauchen ist eindeutig. Lungenkrebs ist damit eine vermeidbare Todesursache. Langjährigen Untersuchungen zufolge stirbt jeder zweite Raucher an Krebs. Gleichzeitig möchten laut Tabakatlas rund zwei Drittel der Raucher mit ihrer Sucht Schluss machen. </w:t>
      </w:r>
      <w:r w:rsidR="00787E13" w:rsidRPr="00787E13">
        <w:rPr>
          <w:rFonts w:ascii="Arial" w:hAnsi="Arial" w:cs="Arial"/>
          <w:sz w:val="24"/>
          <w:szCs w:val="24"/>
        </w:rPr>
        <w:t>Die AOK Sachsen-Anhalt unterstützt sie dabei. Für die Nichtraucherkurse der Suchtberatungsstelle des Landes übernimmt sie 80 Prozent der Kosten.</w:t>
      </w:r>
    </w:p>
    <w:p w:rsidR="002B2842" w:rsidRPr="00462641" w:rsidRDefault="000057B5" w:rsidP="002B2842">
      <w:pPr>
        <w:ind w:left="1418"/>
        <w:rPr>
          <w:rFonts w:ascii="Arial" w:hAnsi="Arial" w:cs="Arial"/>
          <w:sz w:val="24"/>
          <w:szCs w:val="24"/>
        </w:rPr>
      </w:pPr>
      <w:r>
        <w:rPr>
          <w:rFonts w:ascii="Arial" w:hAnsi="Arial" w:cs="Arial"/>
          <w:noProof/>
          <w:sz w:val="24"/>
          <w:szCs w:val="24"/>
          <w:lang w:eastAsia="de-DE"/>
        </w:rPr>
        <w:lastRenderedPageBreak/>
        <w:drawing>
          <wp:anchor distT="0" distB="0" distL="114300" distR="114300" simplePos="0" relativeHeight="251658240" behindDoc="0" locked="0" layoutInCell="1" allowOverlap="1">
            <wp:simplePos x="0" y="0"/>
            <wp:positionH relativeFrom="column">
              <wp:posOffset>-71120</wp:posOffset>
            </wp:positionH>
            <wp:positionV relativeFrom="paragraph">
              <wp:posOffset>-4445</wp:posOffset>
            </wp:positionV>
            <wp:extent cx="5759450" cy="61087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937217" name="grafikKreise.JPG"/>
                    <pic:cNvPicPr/>
                  </pic:nvPicPr>
                  <pic:blipFill>
                    <a:blip r:embed="rId8">
                      <a:extLst>
                        <a:ext uri="{28A0092B-C50C-407E-A947-70E740481C1C}">
                          <a14:useLocalDpi xmlns:a14="http://schemas.microsoft.com/office/drawing/2010/main" val="0"/>
                        </a:ext>
                      </a:extLst>
                    </a:blip>
                    <a:stretch>
                      <a:fillRect/>
                    </a:stretch>
                  </pic:blipFill>
                  <pic:spPr>
                    <a:xfrm>
                      <a:off x="0" y="0"/>
                      <a:ext cx="5759450" cy="6108700"/>
                    </a:xfrm>
                    <a:prstGeom prst="rect">
                      <a:avLst/>
                    </a:prstGeom>
                  </pic:spPr>
                </pic:pic>
              </a:graphicData>
            </a:graphic>
            <wp14:sizeRelH relativeFrom="margin">
              <wp14:pctWidth>0</wp14:pctWidth>
            </wp14:sizeRelH>
            <wp14:sizeRelV relativeFrom="margin">
              <wp14:pctHeight>0</wp14:pctHeight>
            </wp14:sizeRelV>
          </wp:anchor>
        </w:drawing>
      </w:r>
    </w:p>
    <w:p w:rsidR="0071259A" w:rsidRPr="002B2842" w:rsidRDefault="00787E13" w:rsidP="002B2842"/>
    <w:sectPr w:rsidR="0071259A" w:rsidRPr="002B2842" w:rsidSect="00202703">
      <w:headerReference w:type="even" r:id="rId9"/>
      <w:headerReference w:type="default" r:id="rId10"/>
      <w:footerReference w:type="even" r:id="rId11"/>
      <w:footerReference w:type="default" r:id="rId12"/>
      <w:headerReference w:type="first" r:id="rId13"/>
      <w:footerReference w:type="first" r:id="rId14"/>
      <w:pgSz w:w="11906" w:h="16838"/>
      <w:pgMar w:top="2977" w:right="1417" w:bottom="1134" w:left="1417" w:header="709" w:footer="3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66A59D5D" w15:done="0"/>
  <w15:commentEx w15:paraId="D8FE9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51" w:rsidRDefault="000057B5">
      <w:pPr>
        <w:spacing w:after="0" w:line="240" w:lineRule="auto"/>
      </w:pPr>
      <w:r>
        <w:separator/>
      </w:r>
    </w:p>
  </w:endnote>
  <w:endnote w:type="continuationSeparator" w:id="0">
    <w:p w:rsidR="00887D51" w:rsidRDefault="0000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787E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0057B5"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B400B" w:rsidTr="009061D7">
      <w:tc>
        <w:tcPr>
          <w:tcW w:w="6204" w:type="dxa"/>
        </w:tcPr>
        <w:p w:rsidR="00D30886" w:rsidRPr="002C5E93" w:rsidRDefault="000057B5" w:rsidP="00DE6438">
          <w:pPr>
            <w:pStyle w:val="Fuzeile"/>
            <w:rPr>
              <w:rFonts w:ascii="Arial" w:hAnsi="Arial" w:cs="Arial"/>
            </w:rPr>
          </w:pPr>
          <w:r w:rsidRPr="002C5E93">
            <w:rPr>
              <w:rFonts w:ascii="Arial" w:hAnsi="Arial" w:cs="Arial"/>
            </w:rPr>
            <w:t>Die AOK Sachsen-Anhalt betreut rund 7</w:t>
          </w:r>
          <w:r>
            <w:rPr>
              <w:rFonts w:ascii="Arial" w:hAnsi="Arial" w:cs="Arial"/>
            </w:rPr>
            <w:t>65</w:t>
          </w:r>
          <w:r w:rsidRPr="002C5E93">
            <w:rPr>
              <w:rFonts w:ascii="Arial" w:hAnsi="Arial" w:cs="Arial"/>
            </w:rPr>
            <w:t>.000 Versicherte</w:t>
          </w:r>
          <w:r>
            <w:rPr>
              <w:rFonts w:ascii="Arial" w:hAnsi="Arial" w:cs="Arial"/>
            </w:rPr>
            <w:t xml:space="preserve"> und 45.000 Arbeitgeber in 44 regionalen Kundencentern. Mit einem Beitragssatz von 14,9 Prozent und einem Marktanteil von rund 37 Prozent ist sie die günstigste und größte Krankenkasse in Sachsen-Anhalt.</w:t>
          </w:r>
        </w:p>
      </w:tc>
      <w:tc>
        <w:tcPr>
          <w:tcW w:w="3543" w:type="dxa"/>
        </w:tcPr>
        <w:p w:rsidR="005964FA" w:rsidRDefault="000057B5" w:rsidP="008B3A3C">
          <w:pPr>
            <w:pStyle w:val="Fuzeile"/>
            <w:rPr>
              <w:rFonts w:ascii="Arial" w:hAnsi="Arial" w:cs="Arial"/>
            </w:rPr>
          </w:pPr>
          <w:r>
            <w:rPr>
              <w:rFonts w:ascii="Arial" w:hAnsi="Arial" w:cs="Arial"/>
            </w:rPr>
            <w:t>Pressekontakt:</w:t>
          </w:r>
        </w:p>
        <w:p w:rsidR="00D30886" w:rsidRDefault="000057B5" w:rsidP="008B3A3C">
          <w:pPr>
            <w:pStyle w:val="Fuzeile"/>
            <w:rPr>
              <w:rFonts w:ascii="Arial" w:hAnsi="Arial" w:cs="Arial"/>
            </w:rPr>
          </w:pPr>
          <w:r w:rsidRPr="002C5E93">
            <w:rPr>
              <w:rFonts w:ascii="Arial" w:hAnsi="Arial" w:cs="Arial"/>
            </w:rPr>
            <w:t>AOK Sachsen-Anhalt</w:t>
          </w:r>
        </w:p>
        <w:p w:rsidR="005964FA" w:rsidRDefault="000057B5" w:rsidP="008B3A3C">
          <w:pPr>
            <w:pStyle w:val="Fuzeile"/>
            <w:rPr>
              <w:rFonts w:ascii="Arial" w:hAnsi="Arial" w:cs="Arial"/>
            </w:rPr>
          </w:pPr>
          <w:r>
            <w:rPr>
              <w:rFonts w:ascii="Arial" w:hAnsi="Arial" w:cs="Arial"/>
            </w:rPr>
            <w:t>Sascha Kirmeß</w:t>
          </w:r>
        </w:p>
        <w:p w:rsidR="005964FA" w:rsidRPr="002C5E93" w:rsidRDefault="000057B5" w:rsidP="001B60BF">
          <w:pPr>
            <w:pStyle w:val="Fuzeile"/>
            <w:rPr>
              <w:rFonts w:ascii="Arial" w:hAnsi="Arial" w:cs="Arial"/>
            </w:rPr>
          </w:pPr>
          <w:r w:rsidRPr="002C5E93">
            <w:rPr>
              <w:rFonts w:ascii="Arial" w:hAnsi="Arial" w:cs="Arial"/>
            </w:rPr>
            <w:t>Pressesprecher</w:t>
          </w:r>
        </w:p>
      </w:tc>
    </w:tr>
    <w:tr w:rsidR="009B400B" w:rsidTr="009061D7">
      <w:tc>
        <w:tcPr>
          <w:tcW w:w="6204" w:type="dxa"/>
        </w:tcPr>
        <w:p w:rsidR="00D30886" w:rsidRPr="002C5E93" w:rsidRDefault="00787E13" w:rsidP="008B3A3C">
          <w:pPr>
            <w:pStyle w:val="Fuzeile"/>
            <w:rPr>
              <w:rFonts w:ascii="Arial" w:hAnsi="Arial" w:cs="Arial"/>
            </w:rPr>
          </w:pPr>
        </w:p>
      </w:tc>
      <w:tc>
        <w:tcPr>
          <w:tcW w:w="3543" w:type="dxa"/>
        </w:tcPr>
        <w:p w:rsidR="00D30886" w:rsidRPr="002C5E93" w:rsidRDefault="000057B5" w:rsidP="001B60BF">
          <w:pPr>
            <w:pStyle w:val="Fuzeile"/>
            <w:rPr>
              <w:rFonts w:ascii="Arial" w:hAnsi="Arial" w:cs="Arial"/>
            </w:rPr>
          </w:pPr>
          <w:r w:rsidRPr="002C5E93">
            <w:rPr>
              <w:rFonts w:ascii="Arial" w:hAnsi="Arial" w:cs="Arial"/>
            </w:rPr>
            <w:t>Telefon: 0391 2878-44</w:t>
          </w:r>
          <w:r>
            <w:rPr>
              <w:rFonts w:ascii="Arial" w:hAnsi="Arial" w:cs="Arial"/>
            </w:rPr>
            <w:t>033</w:t>
          </w:r>
        </w:p>
      </w:tc>
    </w:tr>
    <w:tr w:rsidR="009B400B" w:rsidTr="009061D7">
      <w:tc>
        <w:tcPr>
          <w:tcW w:w="6204" w:type="dxa"/>
        </w:tcPr>
        <w:p w:rsidR="00D30886" w:rsidRPr="002C5E93" w:rsidRDefault="000057B5"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0057B5" w:rsidP="008B3A3C">
          <w:pPr>
            <w:pStyle w:val="Fuzeile"/>
            <w:rPr>
              <w:rFonts w:ascii="Arial" w:hAnsi="Arial" w:cs="Arial"/>
            </w:rPr>
          </w:pPr>
          <w:r w:rsidRPr="002C5E93">
            <w:rPr>
              <w:rFonts w:ascii="Arial" w:hAnsi="Arial" w:cs="Arial"/>
            </w:rPr>
            <w:t>Telefax: 0391 2878-44576</w:t>
          </w:r>
        </w:p>
      </w:tc>
    </w:tr>
    <w:tr w:rsidR="009B400B" w:rsidRPr="00F30283" w:rsidTr="009061D7">
      <w:tc>
        <w:tcPr>
          <w:tcW w:w="6204" w:type="dxa"/>
        </w:tcPr>
        <w:p w:rsidR="005964FA" w:rsidRPr="005964FA" w:rsidRDefault="000057B5"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0057B5" w:rsidP="009061D7">
          <w:pPr>
            <w:pStyle w:val="Fuzeile"/>
            <w:rPr>
              <w:rFonts w:ascii="Arial" w:hAnsi="Arial" w:cs="Arial"/>
              <w:lang w:val="en-US"/>
            </w:rPr>
          </w:pPr>
          <w:r>
            <w:rPr>
              <w:rFonts w:ascii="Arial" w:hAnsi="Arial" w:cs="Arial"/>
              <w:lang w:val="en-US"/>
            </w:rPr>
            <w:t>sascha.kirmess</w:t>
          </w:r>
          <w:r w:rsidRPr="005964FA">
            <w:rPr>
              <w:rFonts w:ascii="Arial" w:hAnsi="Arial" w:cs="Arial"/>
              <w:lang w:val="en-US"/>
            </w:rPr>
            <w:t>@san.aok.de</w:t>
          </w:r>
        </w:p>
      </w:tc>
    </w:tr>
  </w:tbl>
  <w:p w:rsidR="00D30886" w:rsidRPr="005964FA" w:rsidRDefault="00787E13" w:rsidP="00E540AA">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787E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51" w:rsidRDefault="000057B5">
      <w:pPr>
        <w:spacing w:after="0" w:line="240" w:lineRule="auto"/>
      </w:pPr>
      <w:r>
        <w:separator/>
      </w:r>
    </w:p>
  </w:footnote>
  <w:footnote w:type="continuationSeparator" w:id="0">
    <w:p w:rsidR="00887D51" w:rsidRDefault="0000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787E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0057B5"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28184"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787E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7268A39E">
      <w:numFmt w:val="bullet"/>
      <w:lvlText w:val="-"/>
      <w:lvlJc w:val="left"/>
      <w:pPr>
        <w:ind w:left="720" w:hanging="360"/>
      </w:pPr>
      <w:rPr>
        <w:rFonts w:ascii="Arial" w:eastAsiaTheme="minorHAnsi" w:hAnsi="Arial" w:cs="Arial" w:hint="default"/>
      </w:rPr>
    </w:lvl>
    <w:lvl w:ilvl="1" w:tplc="821C11A8" w:tentative="1">
      <w:start w:val="1"/>
      <w:numFmt w:val="bullet"/>
      <w:lvlText w:val="o"/>
      <w:lvlJc w:val="left"/>
      <w:pPr>
        <w:ind w:left="1440" w:hanging="360"/>
      </w:pPr>
      <w:rPr>
        <w:rFonts w:ascii="Courier New" w:hAnsi="Courier New" w:cs="Courier New" w:hint="default"/>
      </w:rPr>
    </w:lvl>
    <w:lvl w:ilvl="2" w:tplc="96722600" w:tentative="1">
      <w:start w:val="1"/>
      <w:numFmt w:val="bullet"/>
      <w:lvlText w:val=""/>
      <w:lvlJc w:val="left"/>
      <w:pPr>
        <w:ind w:left="2160" w:hanging="360"/>
      </w:pPr>
      <w:rPr>
        <w:rFonts w:ascii="Wingdings" w:hAnsi="Wingdings" w:hint="default"/>
      </w:rPr>
    </w:lvl>
    <w:lvl w:ilvl="3" w:tplc="41B65DD4" w:tentative="1">
      <w:start w:val="1"/>
      <w:numFmt w:val="bullet"/>
      <w:lvlText w:val=""/>
      <w:lvlJc w:val="left"/>
      <w:pPr>
        <w:ind w:left="2880" w:hanging="360"/>
      </w:pPr>
      <w:rPr>
        <w:rFonts w:ascii="Symbol" w:hAnsi="Symbol" w:hint="default"/>
      </w:rPr>
    </w:lvl>
    <w:lvl w:ilvl="4" w:tplc="EA1CF5AE" w:tentative="1">
      <w:start w:val="1"/>
      <w:numFmt w:val="bullet"/>
      <w:lvlText w:val="o"/>
      <w:lvlJc w:val="left"/>
      <w:pPr>
        <w:ind w:left="3600" w:hanging="360"/>
      </w:pPr>
      <w:rPr>
        <w:rFonts w:ascii="Courier New" w:hAnsi="Courier New" w:cs="Courier New" w:hint="default"/>
      </w:rPr>
    </w:lvl>
    <w:lvl w:ilvl="5" w:tplc="B0D8DC7E" w:tentative="1">
      <w:start w:val="1"/>
      <w:numFmt w:val="bullet"/>
      <w:lvlText w:val=""/>
      <w:lvlJc w:val="left"/>
      <w:pPr>
        <w:ind w:left="4320" w:hanging="360"/>
      </w:pPr>
      <w:rPr>
        <w:rFonts w:ascii="Wingdings" w:hAnsi="Wingdings" w:hint="default"/>
      </w:rPr>
    </w:lvl>
    <w:lvl w:ilvl="6" w:tplc="8432EB60" w:tentative="1">
      <w:start w:val="1"/>
      <w:numFmt w:val="bullet"/>
      <w:lvlText w:val=""/>
      <w:lvlJc w:val="left"/>
      <w:pPr>
        <w:ind w:left="5040" w:hanging="360"/>
      </w:pPr>
      <w:rPr>
        <w:rFonts w:ascii="Symbol" w:hAnsi="Symbol" w:hint="default"/>
      </w:rPr>
    </w:lvl>
    <w:lvl w:ilvl="7" w:tplc="7EA88B96" w:tentative="1">
      <w:start w:val="1"/>
      <w:numFmt w:val="bullet"/>
      <w:lvlText w:val="o"/>
      <w:lvlJc w:val="left"/>
      <w:pPr>
        <w:ind w:left="5760" w:hanging="360"/>
      </w:pPr>
      <w:rPr>
        <w:rFonts w:ascii="Courier New" w:hAnsi="Courier New" w:cs="Courier New" w:hint="default"/>
      </w:rPr>
    </w:lvl>
    <w:lvl w:ilvl="8" w:tplc="5CE2D4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0B"/>
    <w:rsid w:val="000057B5"/>
    <w:rsid w:val="00787E13"/>
    <w:rsid w:val="00887D51"/>
    <w:rsid w:val="009B400B"/>
    <w:rsid w:val="00F30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8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 w:type="character" w:styleId="Kommentarzeichen">
    <w:name w:val="annotation reference"/>
    <w:basedOn w:val="Absatz-Standardschriftart"/>
    <w:uiPriority w:val="99"/>
    <w:semiHidden/>
    <w:unhideWhenUsed/>
    <w:rsid w:val="00037BA2"/>
    <w:rPr>
      <w:sz w:val="16"/>
      <w:szCs w:val="16"/>
    </w:rPr>
  </w:style>
  <w:style w:type="paragraph" w:styleId="Kommentartext">
    <w:name w:val="annotation text"/>
    <w:basedOn w:val="Standard"/>
    <w:link w:val="KommentartextZchn"/>
    <w:uiPriority w:val="99"/>
    <w:semiHidden/>
    <w:unhideWhenUsed/>
    <w:rsid w:val="00037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7BA2"/>
    <w:rPr>
      <w:sz w:val="20"/>
      <w:szCs w:val="20"/>
    </w:rPr>
  </w:style>
  <w:style w:type="paragraph" w:styleId="Kommentarthema">
    <w:name w:val="annotation subject"/>
    <w:basedOn w:val="Kommentartext"/>
    <w:next w:val="Kommentartext"/>
    <w:link w:val="KommentarthemaZchn"/>
    <w:uiPriority w:val="99"/>
    <w:semiHidden/>
    <w:unhideWhenUsed/>
    <w:rsid w:val="00037BA2"/>
    <w:rPr>
      <w:b/>
      <w:bCs/>
    </w:rPr>
  </w:style>
  <w:style w:type="character" w:customStyle="1" w:styleId="KommentarthemaZchn">
    <w:name w:val="Kommentarthema Zchn"/>
    <w:basedOn w:val="KommentartextZchn"/>
    <w:link w:val="Kommentarthema"/>
    <w:uiPriority w:val="99"/>
    <w:semiHidden/>
    <w:rsid w:val="00037B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8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 w:type="character" w:styleId="Kommentarzeichen">
    <w:name w:val="annotation reference"/>
    <w:basedOn w:val="Absatz-Standardschriftart"/>
    <w:uiPriority w:val="99"/>
    <w:semiHidden/>
    <w:unhideWhenUsed/>
    <w:rsid w:val="00037BA2"/>
    <w:rPr>
      <w:sz w:val="16"/>
      <w:szCs w:val="16"/>
    </w:rPr>
  </w:style>
  <w:style w:type="paragraph" w:styleId="Kommentartext">
    <w:name w:val="annotation text"/>
    <w:basedOn w:val="Standard"/>
    <w:link w:val="KommentartextZchn"/>
    <w:uiPriority w:val="99"/>
    <w:semiHidden/>
    <w:unhideWhenUsed/>
    <w:rsid w:val="00037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7BA2"/>
    <w:rPr>
      <w:sz w:val="20"/>
      <w:szCs w:val="20"/>
    </w:rPr>
  </w:style>
  <w:style w:type="paragraph" w:styleId="Kommentarthema">
    <w:name w:val="annotation subject"/>
    <w:basedOn w:val="Kommentartext"/>
    <w:next w:val="Kommentartext"/>
    <w:link w:val="KommentarthemaZchn"/>
    <w:uiPriority w:val="99"/>
    <w:semiHidden/>
    <w:unhideWhenUsed/>
    <w:rsid w:val="00037BA2"/>
    <w:rPr>
      <w:b/>
      <w:bCs/>
    </w:rPr>
  </w:style>
  <w:style w:type="character" w:customStyle="1" w:styleId="KommentarthemaZchn">
    <w:name w:val="Kommentarthema Zchn"/>
    <w:basedOn w:val="KommentartextZchn"/>
    <w:link w:val="Kommentarthema"/>
    <w:uiPriority w:val="99"/>
    <w:semiHidden/>
    <w:rsid w:val="00037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Wegner, Jörn</cp:lastModifiedBy>
  <cp:revision>3</cp:revision>
  <dcterms:created xsi:type="dcterms:W3CDTF">2018-05-28T09:07:00Z</dcterms:created>
  <dcterms:modified xsi:type="dcterms:W3CDTF">2018-05-28T11:02:00Z</dcterms:modified>
</cp:coreProperties>
</file>