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3F" w:rsidRPr="00344096" w:rsidRDefault="00726E57" w:rsidP="00344096">
      <w:pPr>
        <w:pStyle w:val="Titel"/>
        <w:pBdr>
          <w:bottom w:val="single" w:sz="2" w:space="0" w:color="3256A3" w:themeColor="accent1"/>
        </w:pBdr>
        <w:rPr>
          <w:rFonts w:cs="Arial"/>
          <w:bCs/>
        </w:rPr>
      </w:pPr>
      <w:r>
        <w:t xml:space="preserve">COMMUNIQUÉ DE PRESSE </w:t>
      </w:r>
    </w:p>
    <w:p w:rsidR="006725CF" w:rsidRPr="00B82514" w:rsidRDefault="00C54993" w:rsidP="00C54993">
      <w:pPr>
        <w:pStyle w:val="berschrift1"/>
        <w:jc w:val="left"/>
        <w:rPr>
          <w:rFonts w:ascii="Arial" w:hAnsi="Arial" w:cs="Arial"/>
          <w:b/>
        </w:rPr>
      </w:pPr>
      <w:r>
        <w:rPr>
          <w:rFonts w:ascii="Arial" w:hAnsi="Arial"/>
          <w:b/>
        </w:rPr>
        <w:t>Encore un léger recul des effectifs dans le secteur bancaire</w:t>
      </w:r>
    </w:p>
    <w:p w:rsidR="003B09C5" w:rsidRDefault="003B09C5" w:rsidP="006F5448">
      <w:pPr>
        <w:pStyle w:val="Lead"/>
        <w:spacing w:after="240"/>
        <w:rPr>
          <w:rFonts w:ascii="Arial" w:hAnsi="Arial"/>
          <w:i/>
          <w:sz w:val="22"/>
        </w:rPr>
      </w:pPr>
    </w:p>
    <w:p w:rsidR="00A94B27" w:rsidRDefault="002D2C94" w:rsidP="006F5448">
      <w:pPr>
        <w:pStyle w:val="Lead"/>
        <w:spacing w:after="240"/>
        <w:rPr>
          <w:rFonts w:ascii="Arial" w:hAnsi="Arial" w:cs="Arial"/>
          <w:b/>
          <w:sz w:val="22"/>
        </w:rPr>
      </w:pPr>
      <w:r>
        <w:rPr>
          <w:rFonts w:ascii="Arial" w:hAnsi="Arial"/>
          <w:i/>
          <w:sz w:val="22"/>
        </w:rPr>
        <w:t>Bâle, le 2</w:t>
      </w:r>
      <w:r w:rsidR="007D1AC1">
        <w:rPr>
          <w:rFonts w:ascii="Arial" w:hAnsi="Arial"/>
          <w:i/>
          <w:sz w:val="22"/>
        </w:rPr>
        <w:t>5</w:t>
      </w:r>
      <w:r>
        <w:rPr>
          <w:rFonts w:ascii="Arial" w:hAnsi="Arial"/>
          <w:i/>
          <w:sz w:val="22"/>
        </w:rPr>
        <w:t>.06.20</w:t>
      </w:r>
      <w:r w:rsidR="007D1AC1">
        <w:rPr>
          <w:rFonts w:ascii="Arial" w:hAnsi="Arial"/>
          <w:i/>
          <w:sz w:val="22"/>
        </w:rPr>
        <w:t>20</w:t>
      </w:r>
      <w:r>
        <w:rPr>
          <w:rFonts w:ascii="Arial" w:hAnsi="Arial"/>
          <w:b/>
          <w:sz w:val="22"/>
        </w:rPr>
        <w:t xml:space="preserve"> Le nombre de collaborateurs employés dans les banques en Suisse a baissé </w:t>
      </w:r>
      <w:r w:rsidRPr="007D1AC1">
        <w:rPr>
          <w:rFonts w:ascii="Arial" w:hAnsi="Arial"/>
          <w:b/>
          <w:sz w:val="22"/>
        </w:rPr>
        <w:t>de 1,</w:t>
      </w:r>
      <w:r w:rsidR="007D1AC1" w:rsidRPr="007D1AC1">
        <w:rPr>
          <w:rFonts w:ascii="Arial" w:hAnsi="Arial"/>
          <w:b/>
          <w:sz w:val="22"/>
        </w:rPr>
        <w:t>2</w:t>
      </w:r>
      <w:r w:rsidRPr="007D1AC1">
        <w:rPr>
          <w:rFonts w:ascii="Arial" w:hAnsi="Arial"/>
          <w:b/>
          <w:sz w:val="22"/>
        </w:rPr>
        <w:t>%</w:t>
      </w:r>
      <w:r>
        <w:rPr>
          <w:rFonts w:ascii="Arial" w:hAnsi="Arial"/>
          <w:b/>
          <w:sz w:val="22"/>
        </w:rPr>
        <w:t xml:space="preserve"> l’année dernière pour s’établir à </w:t>
      </w:r>
      <w:r w:rsidR="007D1AC1" w:rsidRPr="007D1AC1">
        <w:rPr>
          <w:rFonts w:ascii="Arial" w:hAnsi="Arial"/>
          <w:b/>
          <w:sz w:val="22"/>
        </w:rPr>
        <w:t>89</w:t>
      </w:r>
      <w:r w:rsidR="003B09C5" w:rsidRPr="00BC79AD">
        <w:rPr>
          <w:rFonts w:ascii="Arial" w:hAnsi="Arial" w:cs="Arial"/>
          <w:sz w:val="22"/>
        </w:rPr>
        <w:t>'</w:t>
      </w:r>
      <w:r w:rsidR="007D1AC1">
        <w:rPr>
          <w:rFonts w:ascii="Arial" w:hAnsi="Arial"/>
          <w:b/>
          <w:sz w:val="22"/>
        </w:rPr>
        <w:t>531</w:t>
      </w:r>
      <w:r>
        <w:rPr>
          <w:rFonts w:ascii="Arial" w:hAnsi="Arial"/>
          <w:b/>
          <w:sz w:val="22"/>
        </w:rPr>
        <w:t xml:space="preserve">. On observe donc à nouveau un léger recul de l’emploi dans le secteur bancaire. Comme l’année dernière déjà, </w:t>
      </w:r>
      <w:r w:rsidR="00A7202C">
        <w:rPr>
          <w:rFonts w:ascii="Arial" w:hAnsi="Arial"/>
          <w:b/>
          <w:sz w:val="22"/>
        </w:rPr>
        <w:t>la plus grande</w:t>
      </w:r>
      <w:bookmarkStart w:id="0" w:name="_GoBack"/>
      <w:bookmarkEnd w:id="0"/>
      <w:r>
        <w:rPr>
          <w:rFonts w:ascii="Arial" w:hAnsi="Arial"/>
          <w:b/>
          <w:sz w:val="22"/>
        </w:rPr>
        <w:t xml:space="preserve"> partie de cette diminution des effectifs est imputable à une délocalisation du personnel vers d’autres unités des groupes qui n’apparaissent pas dans les statistiques des banques. </w:t>
      </w:r>
    </w:p>
    <w:p w:rsidR="009C3271" w:rsidRDefault="00323FD7" w:rsidP="006F5448">
      <w:pPr>
        <w:pStyle w:val="Lead"/>
        <w:spacing w:after="24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La publication</w:t>
      </w:r>
      <w:proofErr w:type="gramStart"/>
      <w:r>
        <w:rPr>
          <w:rFonts w:ascii="Arial" w:hAnsi="Arial"/>
          <w:sz w:val="22"/>
        </w:rPr>
        <w:t xml:space="preserve"> </w:t>
      </w:r>
      <w:r w:rsidR="006F5448">
        <w:rPr>
          <w:rFonts w:ascii="Arial" w:hAnsi="Arial"/>
          <w:sz w:val="22"/>
        </w:rPr>
        <w:t>«Les</w:t>
      </w:r>
      <w:proofErr w:type="gramEnd"/>
      <w:r w:rsidR="006F5448">
        <w:rPr>
          <w:rFonts w:ascii="Arial" w:hAnsi="Arial"/>
          <w:sz w:val="22"/>
        </w:rPr>
        <w:t xml:space="preserve"> banques en Suisse» de la Banque nationale suisse (BNS) parue ce jour révèle que les effectifs des banques suisses ont diminué </w:t>
      </w:r>
      <w:r w:rsidR="006F5448" w:rsidRPr="007D1AC1">
        <w:rPr>
          <w:rFonts w:ascii="Arial" w:hAnsi="Arial"/>
          <w:sz w:val="22"/>
        </w:rPr>
        <w:t xml:space="preserve">de </w:t>
      </w:r>
      <w:r w:rsidR="007D1AC1" w:rsidRPr="007D1AC1">
        <w:rPr>
          <w:rFonts w:ascii="Arial" w:hAnsi="Arial"/>
          <w:sz w:val="22"/>
        </w:rPr>
        <w:t>1</w:t>
      </w:r>
      <w:r w:rsidR="003B09C5" w:rsidRPr="00BC79AD">
        <w:rPr>
          <w:rFonts w:ascii="Arial" w:hAnsi="Arial" w:cs="Arial"/>
          <w:sz w:val="22"/>
        </w:rPr>
        <w:t>'</w:t>
      </w:r>
      <w:r w:rsidR="007D1AC1" w:rsidRPr="007D1AC1">
        <w:rPr>
          <w:rFonts w:ascii="Arial" w:hAnsi="Arial"/>
          <w:sz w:val="22"/>
        </w:rPr>
        <w:t>130</w:t>
      </w:r>
      <w:r w:rsidR="006F5448" w:rsidRPr="007D1AC1">
        <w:rPr>
          <w:rFonts w:ascii="Arial" w:hAnsi="Arial"/>
          <w:sz w:val="22"/>
        </w:rPr>
        <w:t xml:space="preserve"> employés en équivalents plein temps pour s’établir à </w:t>
      </w:r>
      <w:r w:rsidR="007D1AC1" w:rsidRPr="007D1AC1">
        <w:rPr>
          <w:rFonts w:ascii="Arial" w:hAnsi="Arial"/>
          <w:sz w:val="22"/>
        </w:rPr>
        <w:t>89</w:t>
      </w:r>
      <w:r w:rsidR="003B09C5" w:rsidRPr="00BC79AD">
        <w:rPr>
          <w:rFonts w:ascii="Arial" w:hAnsi="Arial" w:cs="Arial"/>
          <w:sz w:val="22"/>
        </w:rPr>
        <w:t>'</w:t>
      </w:r>
      <w:r w:rsidR="007D1AC1" w:rsidRPr="007D1AC1">
        <w:rPr>
          <w:rFonts w:ascii="Arial" w:hAnsi="Arial"/>
          <w:sz w:val="22"/>
        </w:rPr>
        <w:t>531</w:t>
      </w:r>
      <w:r w:rsidR="006F5448" w:rsidRPr="007D1AC1">
        <w:rPr>
          <w:rFonts w:ascii="Arial" w:hAnsi="Arial"/>
          <w:sz w:val="22"/>
        </w:rPr>
        <w:t xml:space="preserve"> (–1,</w:t>
      </w:r>
      <w:r w:rsidR="007D1AC1" w:rsidRPr="007D1AC1">
        <w:rPr>
          <w:rFonts w:ascii="Arial" w:hAnsi="Arial"/>
          <w:sz w:val="22"/>
        </w:rPr>
        <w:t>2</w:t>
      </w:r>
      <w:r w:rsidR="006F5448" w:rsidRPr="007D1AC1">
        <w:rPr>
          <w:rFonts w:ascii="Arial" w:hAnsi="Arial"/>
          <w:sz w:val="22"/>
        </w:rPr>
        <w:t>%). Malgré un environnement exigeant, la baisse des marges, la mutation structurelle et le passage au numérique</w:t>
      </w:r>
      <w:r w:rsidR="006F5448">
        <w:rPr>
          <w:rFonts w:ascii="Arial" w:hAnsi="Arial"/>
          <w:sz w:val="22"/>
        </w:rPr>
        <w:t>, on n’observe qu’un léger recul de l’emploi dans les banques en Suisse.</w:t>
      </w:r>
      <w:r w:rsidR="003B09C5">
        <w:rPr>
          <w:rFonts w:ascii="Arial" w:hAnsi="Arial"/>
          <w:sz w:val="22"/>
        </w:rPr>
        <w:t xml:space="preserve"> </w:t>
      </w:r>
    </w:p>
    <w:p w:rsidR="007D1AC1" w:rsidRPr="007D1AC1" w:rsidRDefault="00C54993" w:rsidP="007D1AC1">
      <w:pPr>
        <w:pStyle w:val="Lead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Comme </w:t>
      </w:r>
      <w:proofErr w:type="gramStart"/>
      <w:r>
        <w:rPr>
          <w:rFonts w:ascii="Arial" w:hAnsi="Arial"/>
          <w:sz w:val="22"/>
        </w:rPr>
        <w:t>le note</w:t>
      </w:r>
      <w:proofErr w:type="gramEnd"/>
      <w:r>
        <w:rPr>
          <w:rFonts w:ascii="Arial" w:hAnsi="Arial"/>
          <w:sz w:val="22"/>
        </w:rPr>
        <w:t xml:space="preserve"> la BNS, </w:t>
      </w:r>
      <w:r w:rsidRPr="007D1AC1">
        <w:rPr>
          <w:rFonts w:ascii="Arial" w:hAnsi="Arial"/>
          <w:sz w:val="22"/>
        </w:rPr>
        <w:t>les grandes banques ont enregistré un recul de leurs effectifs en Suisse (-</w:t>
      </w:r>
      <w:r w:rsidR="007D1AC1" w:rsidRPr="007D1AC1">
        <w:rPr>
          <w:rFonts w:ascii="Arial" w:hAnsi="Arial"/>
          <w:sz w:val="22"/>
        </w:rPr>
        <w:t>1</w:t>
      </w:r>
      <w:r w:rsidR="003B09C5" w:rsidRPr="00BC79AD">
        <w:rPr>
          <w:rFonts w:ascii="Arial" w:hAnsi="Arial" w:cs="Arial"/>
          <w:sz w:val="22"/>
        </w:rPr>
        <w:t>'</w:t>
      </w:r>
      <w:r w:rsidR="007D1AC1" w:rsidRPr="007D1AC1">
        <w:rPr>
          <w:rFonts w:ascii="Arial" w:hAnsi="Arial"/>
          <w:sz w:val="22"/>
        </w:rPr>
        <w:t>313</w:t>
      </w:r>
      <w:r w:rsidRPr="007D1AC1">
        <w:rPr>
          <w:rFonts w:ascii="Arial" w:hAnsi="Arial"/>
          <w:sz w:val="22"/>
        </w:rPr>
        <w:t xml:space="preserve"> employés) de même que les banques étrangères (-</w:t>
      </w:r>
      <w:r w:rsidR="007D1AC1" w:rsidRPr="007D1AC1">
        <w:rPr>
          <w:rFonts w:ascii="Arial" w:hAnsi="Arial"/>
          <w:sz w:val="22"/>
        </w:rPr>
        <w:t>224</w:t>
      </w:r>
      <w:r w:rsidRPr="007D1AC1">
        <w:rPr>
          <w:rFonts w:ascii="Arial" w:hAnsi="Arial"/>
          <w:sz w:val="22"/>
        </w:rPr>
        <w:t xml:space="preserve"> employés</w:t>
      </w:r>
      <w:r w:rsidR="007D1AC1">
        <w:rPr>
          <w:rFonts w:ascii="Arial" w:hAnsi="Arial"/>
          <w:sz w:val="22"/>
        </w:rPr>
        <w:t>).</w:t>
      </w:r>
      <w:r w:rsidR="007D1AC1" w:rsidRPr="007D1AC1">
        <w:t xml:space="preserve"> </w:t>
      </w:r>
      <w:r w:rsidR="007D1AC1" w:rsidRPr="007D1AC1">
        <w:rPr>
          <w:rFonts w:ascii="Arial" w:hAnsi="Arial"/>
          <w:sz w:val="22"/>
        </w:rPr>
        <w:t xml:space="preserve">Les banques boursières (-151 employés) affichent également une diminution du nombre d'employés. </w:t>
      </w:r>
    </w:p>
    <w:p w:rsidR="00871509" w:rsidRDefault="007D1AC1" w:rsidP="007D1AC1">
      <w:pPr>
        <w:pStyle w:val="Lead"/>
        <w:rPr>
          <w:rFonts w:ascii="Arial" w:hAnsi="Arial"/>
          <w:sz w:val="22"/>
        </w:rPr>
      </w:pPr>
      <w:r w:rsidRPr="007D1AC1">
        <w:rPr>
          <w:rFonts w:ascii="Arial" w:hAnsi="Arial"/>
          <w:sz w:val="22"/>
        </w:rPr>
        <w:t>En revanche, les groupes bancaires Banques Cantonales et</w:t>
      </w:r>
      <w:proofErr w:type="gramStart"/>
      <w:r w:rsidRPr="007D1A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</w:t>
      </w:r>
      <w:r w:rsidRPr="007D1AC1">
        <w:rPr>
          <w:rFonts w:ascii="Arial" w:hAnsi="Arial"/>
          <w:sz w:val="22"/>
        </w:rPr>
        <w:t>Autres</w:t>
      </w:r>
      <w:proofErr w:type="gramEnd"/>
      <w:r w:rsidRPr="007D1AC1">
        <w:rPr>
          <w:rFonts w:ascii="Arial" w:hAnsi="Arial"/>
          <w:sz w:val="22"/>
        </w:rPr>
        <w:t xml:space="preserve"> Banques</w:t>
      </w:r>
      <w:r>
        <w:rPr>
          <w:rFonts w:ascii="Arial" w:hAnsi="Arial"/>
          <w:sz w:val="22"/>
        </w:rPr>
        <w:t>»</w:t>
      </w:r>
      <w:r w:rsidRPr="007D1AC1">
        <w:rPr>
          <w:rFonts w:ascii="Arial" w:hAnsi="Arial"/>
          <w:sz w:val="22"/>
        </w:rPr>
        <w:t xml:space="preserve"> ont augmenté leurs effectifs de respectivement </w:t>
      </w:r>
      <w:r w:rsidR="003B09C5">
        <w:rPr>
          <w:rFonts w:ascii="Arial" w:hAnsi="Arial"/>
          <w:sz w:val="22"/>
        </w:rPr>
        <w:t>(</w:t>
      </w:r>
      <w:r w:rsidRPr="007D1AC1">
        <w:rPr>
          <w:rFonts w:ascii="Arial" w:hAnsi="Arial"/>
          <w:sz w:val="22"/>
        </w:rPr>
        <w:t>+228</w:t>
      </w:r>
      <w:r w:rsidR="003B09C5">
        <w:rPr>
          <w:rFonts w:ascii="Arial" w:hAnsi="Arial"/>
          <w:sz w:val="22"/>
        </w:rPr>
        <w:t xml:space="preserve"> employés</w:t>
      </w:r>
      <w:r w:rsidRPr="007D1AC1">
        <w:rPr>
          <w:rFonts w:ascii="Arial" w:hAnsi="Arial"/>
          <w:sz w:val="22"/>
        </w:rPr>
        <w:t xml:space="preserve"> </w:t>
      </w:r>
      <w:r w:rsidR="003B09C5">
        <w:rPr>
          <w:rFonts w:ascii="Arial" w:hAnsi="Arial"/>
          <w:sz w:val="22"/>
        </w:rPr>
        <w:t>resp.</w:t>
      </w:r>
      <w:r w:rsidRPr="007D1AC1">
        <w:rPr>
          <w:rFonts w:ascii="Arial" w:hAnsi="Arial"/>
          <w:sz w:val="22"/>
        </w:rPr>
        <w:t xml:space="preserve"> +194 employés</w:t>
      </w:r>
      <w:r w:rsidR="003B09C5">
        <w:rPr>
          <w:rFonts w:ascii="Arial" w:hAnsi="Arial"/>
          <w:sz w:val="22"/>
        </w:rPr>
        <w:t>)</w:t>
      </w:r>
      <w:r w:rsidRPr="007D1AC1">
        <w:rPr>
          <w:rFonts w:ascii="Arial" w:hAnsi="Arial"/>
          <w:sz w:val="22"/>
        </w:rPr>
        <w:t xml:space="preserve">.   </w:t>
      </w:r>
    </w:p>
    <w:p w:rsidR="007D1AC1" w:rsidRPr="007D1AC1" w:rsidRDefault="007D1AC1" w:rsidP="007D1AC1"/>
    <w:p w:rsidR="0038636A" w:rsidRDefault="0038636A" w:rsidP="0038636A">
      <w:pPr>
        <w:pStyle w:val="Lead"/>
        <w:rPr>
          <w:rFonts w:ascii="Arial" w:hAnsi="Arial" w:cs="Arial"/>
          <w:noProof/>
          <w:sz w:val="22"/>
        </w:rPr>
      </w:pPr>
      <w:r>
        <w:rPr>
          <w:rFonts w:ascii="Arial" w:hAnsi="Arial"/>
          <w:sz w:val="22"/>
        </w:rPr>
        <w:t>La part des femmes dans le secteur bancaire suisse continue d’augment</w:t>
      </w:r>
      <w:r w:rsidR="00323FD7">
        <w:rPr>
          <w:rFonts w:ascii="Arial" w:hAnsi="Arial"/>
          <w:sz w:val="22"/>
        </w:rPr>
        <w:t xml:space="preserve">er légèrement, à </w:t>
      </w:r>
      <w:r w:rsidR="007D1AC1" w:rsidRPr="007D1AC1">
        <w:rPr>
          <w:rFonts w:ascii="Arial" w:hAnsi="Arial"/>
          <w:sz w:val="22"/>
        </w:rPr>
        <w:t>40</w:t>
      </w:r>
      <w:r w:rsidR="00323FD7" w:rsidRPr="007D1AC1">
        <w:rPr>
          <w:rFonts w:ascii="Arial" w:hAnsi="Arial"/>
          <w:sz w:val="22"/>
        </w:rPr>
        <w:t xml:space="preserve">% (en </w:t>
      </w:r>
      <w:proofErr w:type="gramStart"/>
      <w:r w:rsidR="00323FD7" w:rsidRPr="007D1AC1">
        <w:rPr>
          <w:rFonts w:ascii="Arial" w:hAnsi="Arial"/>
          <w:sz w:val="22"/>
        </w:rPr>
        <w:t>201</w:t>
      </w:r>
      <w:r w:rsidR="007D1AC1" w:rsidRPr="007D1AC1">
        <w:rPr>
          <w:rFonts w:ascii="Arial" w:hAnsi="Arial"/>
          <w:sz w:val="22"/>
        </w:rPr>
        <w:t>8</w:t>
      </w:r>
      <w:r w:rsidR="00323FD7" w:rsidRPr="007D1AC1">
        <w:rPr>
          <w:rFonts w:ascii="Arial" w:hAnsi="Arial"/>
          <w:sz w:val="22"/>
        </w:rPr>
        <w:t>:</w:t>
      </w:r>
      <w:proofErr w:type="gramEnd"/>
      <w:r w:rsidRPr="007D1AC1">
        <w:rPr>
          <w:rFonts w:ascii="Arial" w:hAnsi="Arial"/>
          <w:sz w:val="22"/>
        </w:rPr>
        <w:t xml:space="preserve"> 39</w:t>
      </w:r>
      <w:r w:rsidR="007D1AC1" w:rsidRPr="007D1AC1">
        <w:rPr>
          <w:rFonts w:ascii="Arial" w:hAnsi="Arial"/>
          <w:sz w:val="22"/>
        </w:rPr>
        <w:t>.5</w:t>
      </w:r>
      <w:r w:rsidRPr="007D1AC1">
        <w:rPr>
          <w:rFonts w:ascii="Arial" w:hAnsi="Arial"/>
          <w:sz w:val="22"/>
        </w:rPr>
        <w:t>%).</w:t>
      </w:r>
      <w:r>
        <w:rPr>
          <w:rFonts w:ascii="Arial" w:hAnsi="Arial"/>
          <w:sz w:val="22"/>
        </w:rPr>
        <w:t xml:space="preserve"> La tendance que nous observons depuis plusieurs années se poursuit donc. Employeurs Banques constate que les mesures destinées à promouvoir les femmes au niveau du secteur et des différents établissements commencent à montrer leurs effets. </w:t>
      </w:r>
    </w:p>
    <w:p w:rsidR="0038636A" w:rsidRDefault="0038636A" w:rsidP="00970244">
      <w:pPr>
        <w:pStyle w:val="Lead"/>
        <w:rPr>
          <w:rFonts w:ascii="Arial" w:hAnsi="Arial" w:cs="Arial"/>
          <w:sz w:val="22"/>
        </w:rPr>
      </w:pPr>
    </w:p>
    <w:p w:rsidR="00A94B27" w:rsidRDefault="00EE7293" w:rsidP="00970244">
      <w:pPr>
        <w:pStyle w:val="Lead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La BNS signale également un effet extraordinaire intervenu au cours de cette année et de la précédente: dans le contexte des exigences réglementaires (ce qu’on appelle la «réglementation </w:t>
      </w:r>
      <w:proofErr w:type="spellStart"/>
      <w:r>
        <w:rPr>
          <w:rFonts w:ascii="Arial" w:hAnsi="Arial"/>
          <w:i/>
          <w:iCs/>
          <w:sz w:val="22"/>
        </w:rPr>
        <w:t>too</w:t>
      </w:r>
      <w:proofErr w:type="spellEnd"/>
      <w:r>
        <w:rPr>
          <w:rFonts w:ascii="Arial" w:hAnsi="Arial"/>
          <w:i/>
          <w:iCs/>
          <w:sz w:val="22"/>
        </w:rPr>
        <w:t xml:space="preserve"> big to fail</w:t>
      </w:r>
      <w:r>
        <w:rPr>
          <w:rFonts w:ascii="Arial" w:hAnsi="Arial"/>
          <w:sz w:val="22"/>
        </w:rPr>
        <w:t>»), les grandes banques ont dû adapter leur structure organisationnelle, ce qui s’est traduit par une délocalisation du personnel vers des sociétés de services internes aux groupes</w:t>
      </w:r>
      <w:r w:rsidR="00FF29E3">
        <w:rPr>
          <w:rFonts w:ascii="Arial" w:hAnsi="Arial"/>
          <w:sz w:val="22"/>
        </w:rPr>
        <w:t xml:space="preserve"> (</w:t>
      </w:r>
      <w:r w:rsidR="00FF29E3" w:rsidRPr="00FF29E3">
        <w:rPr>
          <w:rFonts w:ascii="Arial" w:hAnsi="Arial"/>
          <w:sz w:val="22"/>
        </w:rPr>
        <w:t>2019: environ 1000 emplois</w:t>
      </w:r>
      <w:r w:rsidR="00FF29E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 Ces sociétés ne disposent d’aucune licence bancaire, ce qui explique pourquoi le personnel correspondant n’apparaît plus dans les statistiques de la BNS.</w:t>
      </w:r>
    </w:p>
    <w:p w:rsidR="007D1AC1" w:rsidRDefault="00E24B09" w:rsidP="00E24B09">
      <w:pPr>
        <w:pStyle w:val="Lead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délocalisation de personnel vers des sociétés des groupes ne disposant d’aucune licence bancaire ne s’observe pas que dans les grandes banques, mais aussi dans d’autres établissements. </w:t>
      </w:r>
    </w:p>
    <w:p w:rsidR="007D1AC1" w:rsidRDefault="007D1AC1" w:rsidP="00E24B09">
      <w:pPr>
        <w:pStyle w:val="Lead"/>
        <w:rPr>
          <w:rFonts w:ascii="Arial" w:hAnsi="Arial"/>
          <w:sz w:val="22"/>
        </w:rPr>
      </w:pPr>
    </w:p>
    <w:p w:rsidR="00E24B09" w:rsidRDefault="00E24B09" w:rsidP="00E24B09">
      <w:pPr>
        <w:pStyle w:val="Lead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lastRenderedPageBreak/>
        <w:t>Ceci relativise donc la pertinence des statistiques de la BNS en ce qui concerne l’emploi dans le secteur bancaire.</w:t>
      </w:r>
      <w:r>
        <w:rPr>
          <w:rFonts w:ascii="Arial" w:hAnsi="Arial"/>
          <w:sz w:val="22"/>
        </w:rPr>
        <w:t xml:space="preserve"> Employeurs Banques renvoie donc à la statistique de l’emploi en Suisse (STATEM) qui utilise un autre terme bancaire que la BNS dans sa catégorie</w:t>
      </w:r>
      <w:proofErr w:type="gramStart"/>
      <w:r>
        <w:rPr>
          <w:rFonts w:ascii="Arial" w:hAnsi="Arial"/>
          <w:sz w:val="22"/>
        </w:rPr>
        <w:t xml:space="preserve"> «Prestation</w:t>
      </w:r>
      <w:proofErr w:type="gramEnd"/>
      <w:r>
        <w:rPr>
          <w:rFonts w:ascii="Arial" w:hAnsi="Arial"/>
          <w:sz w:val="22"/>
        </w:rPr>
        <w:t xml:space="preserve"> de services financiers». Selon les statistiques de la STATEM, fin 201</w:t>
      </w:r>
      <w:r w:rsidR="003927AA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, les prestataires financiers employaient 104 </w:t>
      </w:r>
      <w:r w:rsidR="003927AA">
        <w:rPr>
          <w:rFonts w:ascii="Arial" w:hAnsi="Arial"/>
          <w:sz w:val="22"/>
        </w:rPr>
        <w:t>243</w:t>
      </w:r>
      <w:r>
        <w:rPr>
          <w:rFonts w:ascii="Arial" w:hAnsi="Arial"/>
          <w:sz w:val="22"/>
        </w:rPr>
        <w:t xml:space="preserve"> personnes en Suisse. Ceci représente un recul de </w:t>
      </w:r>
      <w:r w:rsidR="003927AA">
        <w:rPr>
          <w:rFonts w:ascii="Arial" w:hAnsi="Arial"/>
          <w:sz w:val="22"/>
        </w:rPr>
        <w:t>686</w:t>
      </w:r>
      <w:r>
        <w:rPr>
          <w:rFonts w:ascii="Arial" w:hAnsi="Arial"/>
          <w:sz w:val="22"/>
        </w:rPr>
        <w:t xml:space="preserve"> employés</w:t>
      </w:r>
      <w:r>
        <w:t xml:space="preserve"> </w:t>
      </w:r>
      <w:r>
        <w:rPr>
          <w:rFonts w:ascii="Arial" w:hAnsi="Arial"/>
          <w:sz w:val="22"/>
        </w:rPr>
        <w:t>(-</w:t>
      </w:r>
      <w:r w:rsidR="003927AA">
        <w:rPr>
          <w:rFonts w:ascii="Arial" w:hAnsi="Arial"/>
          <w:sz w:val="22"/>
        </w:rPr>
        <w:t>0.66</w:t>
      </w:r>
      <w:r>
        <w:rPr>
          <w:rFonts w:ascii="Arial" w:hAnsi="Arial"/>
          <w:sz w:val="22"/>
        </w:rPr>
        <w:t>%) par rapport à l’année précédente (</w:t>
      </w:r>
      <w:proofErr w:type="gramStart"/>
      <w:r>
        <w:rPr>
          <w:rFonts w:ascii="Arial" w:hAnsi="Arial"/>
          <w:sz w:val="22"/>
        </w:rPr>
        <w:t>201</w:t>
      </w:r>
      <w:r w:rsidR="003927A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:</w:t>
      </w:r>
      <w:proofErr w:type="gramEnd"/>
      <w:r>
        <w:rPr>
          <w:rFonts w:ascii="Arial" w:hAnsi="Arial"/>
          <w:sz w:val="22"/>
        </w:rPr>
        <w:t xml:space="preserve"> 10</w:t>
      </w:r>
      <w:r w:rsidR="003927AA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 9</w:t>
      </w:r>
      <w:r w:rsidR="003927AA">
        <w:rPr>
          <w:rFonts w:ascii="Arial" w:hAnsi="Arial"/>
          <w:sz w:val="22"/>
        </w:rPr>
        <w:t>29</w:t>
      </w:r>
      <w:r>
        <w:rPr>
          <w:rFonts w:ascii="Arial" w:hAnsi="Arial"/>
          <w:sz w:val="22"/>
        </w:rPr>
        <w:t xml:space="preserve">). </w:t>
      </w:r>
    </w:p>
    <w:p w:rsidR="003B09C5" w:rsidRDefault="003B09C5" w:rsidP="002E7B8C">
      <w:pPr>
        <w:rPr>
          <w:rFonts w:ascii="Arial" w:hAnsi="Arial"/>
          <w:sz w:val="18"/>
          <w:szCs w:val="18"/>
        </w:rPr>
      </w:pPr>
    </w:p>
    <w:p w:rsidR="00190644" w:rsidRPr="00344096" w:rsidRDefault="00190644" w:rsidP="002E7B8C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Remarque:</w:t>
      </w:r>
      <w:proofErr w:type="gramEnd"/>
      <w:r>
        <w:rPr>
          <w:rFonts w:ascii="Arial" w:hAnsi="Arial"/>
          <w:sz w:val="18"/>
          <w:szCs w:val="18"/>
        </w:rPr>
        <w:t xml:space="preserve"> Toutes les indications relatives aux effectifs sont faites en équivalents plein temps (EPT).</w:t>
      </w:r>
    </w:p>
    <w:p w:rsidR="00A94B27" w:rsidRPr="002E7B8C" w:rsidRDefault="00A94B27" w:rsidP="002E7B8C">
      <w:pPr>
        <w:pStyle w:val="Lead"/>
        <w:rPr>
          <w:rFonts w:ascii="Arial" w:hAnsi="Arial" w:cs="Arial"/>
          <w:sz w:val="22"/>
        </w:rPr>
      </w:pPr>
    </w:p>
    <w:p w:rsidR="002D2C94" w:rsidRDefault="002D2C94" w:rsidP="002D2C94">
      <w:pPr>
        <w:rPr>
          <w:rFonts w:ascii="Arial" w:hAnsi="Arial" w:cs="Arial"/>
          <w:noProof/>
          <w:sz w:val="22"/>
        </w:rPr>
      </w:pPr>
    </w:p>
    <w:p w:rsidR="003B09C5" w:rsidRPr="00306D35" w:rsidRDefault="003B09C5" w:rsidP="002D2C94">
      <w:pPr>
        <w:rPr>
          <w:rFonts w:ascii="Arial" w:hAnsi="Arial" w:cs="Arial"/>
          <w:noProof/>
          <w:sz w:val="22"/>
        </w:rPr>
      </w:pPr>
    </w:p>
    <w:p w:rsidR="002D2C94" w:rsidRPr="00306D35" w:rsidRDefault="002D2C94" w:rsidP="002D2C94">
      <w:pPr>
        <w:pStyle w:val="berschrift2"/>
        <w:spacing w:after="12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Contact:</w:t>
      </w:r>
      <w:proofErr w:type="gramEnd"/>
    </w:p>
    <w:p w:rsidR="00CC2F24" w:rsidRPr="00306D35" w:rsidRDefault="002D2C94" w:rsidP="00E12AFF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2"/>
        </w:rPr>
      </w:pPr>
      <w:proofErr w:type="spellStart"/>
      <w:r>
        <w:rPr>
          <w:rFonts w:ascii="Arial" w:hAnsi="Arial"/>
          <w:sz w:val="22"/>
        </w:rPr>
        <w:t>Balz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Stückelberger</w:t>
      </w:r>
      <w:proofErr w:type="spellEnd"/>
      <w:r>
        <w:rPr>
          <w:rFonts w:ascii="Arial" w:hAnsi="Arial"/>
          <w:sz w:val="22"/>
        </w:rPr>
        <w:t xml:space="preserve">, directeur, responsable Droit et partenariat social, </w:t>
      </w:r>
      <w:hyperlink r:id="rId8" w:history="1">
        <w:r>
          <w:rPr>
            <w:rStyle w:val="Hyperlink"/>
            <w:rFonts w:ascii="Arial" w:hAnsi="Arial"/>
            <w:sz w:val="22"/>
            <w:u w:val="single"/>
          </w:rPr>
          <w:t>balz.stueckelberger@arbeitgeber-banken.ch</w:t>
        </w:r>
      </w:hyperlink>
      <w:r>
        <w:rPr>
          <w:rFonts w:ascii="Arial" w:hAnsi="Arial"/>
          <w:sz w:val="22"/>
        </w:rPr>
        <w:t>, tél. 079 628 20 28</w:t>
      </w:r>
    </w:p>
    <w:sectPr w:rsidR="00CC2F24" w:rsidRPr="00306D35" w:rsidSect="00E57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418" w:bottom="2694" w:left="1418" w:header="425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1C" w:rsidRDefault="00B1521C" w:rsidP="00F91D37">
      <w:pPr>
        <w:spacing w:line="240" w:lineRule="auto"/>
      </w:pPr>
      <w:r>
        <w:separator/>
      </w:r>
    </w:p>
  </w:endnote>
  <w:endnote w:type="continuationSeparator" w:id="0">
    <w:p w:rsidR="00B1521C" w:rsidRDefault="00B1521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Segoe Script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 MT Std Light">
    <w:altName w:val="Times New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Std Medium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Default="00B54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Pr="00365705" w:rsidRDefault="00B54C00" w:rsidP="00E83103">
    <w:pPr>
      <w:pStyle w:val="Fuzeile"/>
      <w:rPr>
        <w:rFonts w:ascii="Arial" w:hAnsi="Arial" w:cs="Arial"/>
      </w:rPr>
    </w:pPr>
    <w:r>
      <w:rPr>
        <w:rFonts w:ascii="Arial" w:hAnsi="Arial"/>
      </w:rPr>
      <w:drawing>
        <wp:anchor distT="0" distB="0" distL="114300" distR="114300" simplePos="0" relativeHeight="251665408" behindDoc="1" locked="0" layoutInCell="1" allowOverlap="1" wp14:anchorId="06C4D82A" wp14:editId="48A5681F">
          <wp:simplePos x="0" y="0"/>
          <wp:positionH relativeFrom="column">
            <wp:posOffset>103010</wp:posOffset>
          </wp:positionH>
          <wp:positionV relativeFrom="page">
            <wp:posOffset>9671528</wp:posOffset>
          </wp:positionV>
          <wp:extent cx="5387975" cy="421640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e D Special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97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705">
      <w:rPr>
        <w:rFonts w:ascii="Arial" w:hAnsi="Arial" w:cs="Arial"/>
      </w:rPr>
      <w:fldChar w:fldCharType="begin"/>
    </w:r>
    <w:r w:rsidRPr="00365705">
      <w:rPr>
        <w:rFonts w:ascii="Arial" w:hAnsi="Arial" w:cs="Arial"/>
      </w:rPr>
      <w:instrText xml:space="preserve"> IF </w:instrText>
    </w:r>
    <w:sdt>
      <w:sdtPr>
        <w:rPr>
          <w:rFonts w:ascii="Arial" w:hAnsi="Arial" w:cs="Arial"/>
        </w:rPr>
        <w:id w:val="606310274"/>
        <w:docPartObj>
          <w:docPartGallery w:val="Page Numbers (Top of Page)"/>
          <w:docPartUnique/>
        </w:docPartObj>
      </w:sdtPr>
      <w:sdtEndPr/>
      <w:sdtContent>
        <w:r w:rsidRPr="00365705">
          <w:rPr>
            <w:rFonts w:ascii="Arial" w:hAnsi="Arial" w:cs="Arial"/>
          </w:rPr>
          <w:fldChar w:fldCharType="begin"/>
        </w:r>
        <w:r w:rsidRPr="00365705">
          <w:rPr>
            <w:rFonts w:ascii="Arial" w:hAnsi="Arial" w:cs="Arial"/>
          </w:rPr>
          <w:instrText xml:space="preserve"> Numpages  </w:instrText>
        </w:r>
        <w:r w:rsidRPr="00365705">
          <w:rPr>
            <w:rFonts w:ascii="Arial" w:hAnsi="Arial" w:cs="Arial"/>
          </w:rPr>
          <w:fldChar w:fldCharType="separate"/>
        </w:r>
        <w:r w:rsidR="00A7202C">
          <w:rPr>
            <w:rFonts w:ascii="Arial" w:hAnsi="Arial" w:cs="Arial"/>
          </w:rPr>
          <w:instrText>2</w:instrText>
        </w:r>
        <w:r w:rsidRPr="00365705">
          <w:rPr>
            <w:rFonts w:ascii="Arial" w:hAnsi="Arial" w:cs="Arial"/>
          </w:rPr>
          <w:fldChar w:fldCharType="end"/>
        </w:r>
        <w:r w:rsidRPr="00365705">
          <w:rPr>
            <w:rFonts w:ascii="Arial" w:hAnsi="Arial" w:cs="Arial"/>
          </w:rPr>
          <w:instrText xml:space="preserve"> = 1</w:instrText>
        </w:r>
      </w:sdtContent>
    </w:sdt>
    <w:r w:rsidRPr="00365705">
      <w:rPr>
        <w:rFonts w:ascii="Arial" w:hAnsi="Arial" w:cs="Arial"/>
      </w:rPr>
      <w:instrText xml:space="preserve"> "" "</w:instrText>
    </w:r>
    <w:r w:rsidRPr="00365705">
      <w:rPr>
        <w:rFonts w:ascii="Arial" w:hAnsi="Arial" w:cs="Arial"/>
      </w:rPr>
      <w:fldChar w:fldCharType="begin"/>
    </w:r>
    <w:r w:rsidRPr="00365705">
      <w:rPr>
        <w:rFonts w:ascii="Arial" w:hAnsi="Arial" w:cs="Arial"/>
      </w:rPr>
      <w:instrText xml:space="preserve"> PAGE </w:instrText>
    </w:r>
    <w:r w:rsidRPr="00365705">
      <w:rPr>
        <w:rFonts w:ascii="Arial" w:hAnsi="Arial" w:cs="Arial"/>
      </w:rPr>
      <w:fldChar w:fldCharType="separate"/>
    </w:r>
    <w:r w:rsidR="00A7202C">
      <w:rPr>
        <w:rFonts w:ascii="Arial" w:hAnsi="Arial" w:cs="Arial"/>
      </w:rPr>
      <w:instrText>2</w:instrText>
    </w:r>
    <w:r w:rsidRPr="00365705">
      <w:rPr>
        <w:rFonts w:ascii="Arial" w:hAnsi="Arial" w:cs="Arial"/>
      </w:rPr>
      <w:fldChar w:fldCharType="end"/>
    </w:r>
    <w:r w:rsidRPr="00365705">
      <w:rPr>
        <w:rFonts w:ascii="Arial" w:hAnsi="Arial" w:cs="Arial"/>
      </w:rPr>
      <w:instrText> / </w:instrText>
    </w:r>
    <w:sdt>
      <w:sdtPr>
        <w:rPr>
          <w:rFonts w:ascii="Arial" w:hAnsi="Arial" w:cs="Arial"/>
        </w:rPr>
        <w:id w:val="-1087682161"/>
        <w:docPartObj>
          <w:docPartGallery w:val="Page Numbers (Top of Page)"/>
          <w:docPartUnique/>
        </w:docPartObj>
      </w:sdtPr>
      <w:sdtEndPr/>
      <w:sdtContent>
        <w:r w:rsidRPr="00365705">
          <w:rPr>
            <w:rFonts w:ascii="Arial" w:hAnsi="Arial" w:cs="Arial"/>
          </w:rPr>
          <w:fldChar w:fldCharType="begin"/>
        </w:r>
        <w:r w:rsidRPr="00365705">
          <w:rPr>
            <w:rFonts w:ascii="Arial" w:hAnsi="Arial" w:cs="Arial"/>
          </w:rPr>
          <w:instrText xml:space="preserve"> NUMPAGES  </w:instrText>
        </w:r>
        <w:r w:rsidRPr="00365705">
          <w:rPr>
            <w:rFonts w:ascii="Arial" w:hAnsi="Arial" w:cs="Arial"/>
          </w:rPr>
          <w:fldChar w:fldCharType="separate"/>
        </w:r>
        <w:r w:rsidR="00A7202C">
          <w:rPr>
            <w:rFonts w:ascii="Arial" w:hAnsi="Arial" w:cs="Arial"/>
          </w:rPr>
          <w:instrText>2</w:instrText>
        </w:r>
        <w:r w:rsidRPr="00365705">
          <w:rPr>
            <w:rFonts w:ascii="Arial" w:hAnsi="Arial" w:cs="Arial"/>
          </w:rPr>
          <w:fldChar w:fldCharType="end"/>
        </w:r>
      </w:sdtContent>
    </w:sdt>
    <w:r w:rsidRPr="00365705">
      <w:rPr>
        <w:rFonts w:ascii="Arial" w:hAnsi="Arial" w:cs="Arial"/>
      </w:rPr>
      <w:instrText>"</w:instrText>
    </w:r>
    <w:r w:rsidRPr="00365705">
      <w:rPr>
        <w:rFonts w:ascii="Arial" w:hAnsi="Arial" w:cs="Arial"/>
      </w:rPr>
      <w:fldChar w:fldCharType="separate"/>
    </w:r>
    <w:r w:rsidR="00A7202C">
      <w:rPr>
        <w:rFonts w:ascii="Arial" w:hAnsi="Arial" w:cs="Arial"/>
      </w:rPr>
      <w:t>2</w:t>
    </w:r>
    <w:r w:rsidR="00A7202C" w:rsidRPr="00365705">
      <w:rPr>
        <w:rFonts w:ascii="Arial" w:hAnsi="Arial" w:cs="Arial"/>
      </w:rPr>
      <w:t> / </w:t>
    </w:r>
    <w:r w:rsidR="00A7202C">
      <w:rPr>
        <w:rFonts w:ascii="Arial" w:hAnsi="Arial" w:cs="Arial"/>
      </w:rPr>
      <w:t>2</w:t>
    </w:r>
    <w:r w:rsidRPr="0036570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Pr="00365705" w:rsidRDefault="00B54C00" w:rsidP="00691913">
    <w:pPr>
      <w:pStyle w:val="Fuzeile"/>
      <w:rPr>
        <w:rFonts w:ascii="Arial" w:hAnsi="Arial" w:cs="Arial"/>
      </w:rPr>
    </w:pPr>
    <w:r>
      <w:rPr>
        <w:rFonts w:ascii="Arial" w:hAnsi="Arial"/>
      </w:rPr>
      <w:drawing>
        <wp:anchor distT="0" distB="0" distL="114300" distR="114300" simplePos="0" relativeHeight="251663360" behindDoc="1" locked="0" layoutInCell="1" allowOverlap="1" wp14:anchorId="2FFE55BC" wp14:editId="4B2BD53A">
          <wp:simplePos x="0" y="0"/>
          <wp:positionH relativeFrom="column">
            <wp:posOffset>103010</wp:posOffset>
          </wp:positionH>
          <wp:positionV relativeFrom="page">
            <wp:posOffset>9671528</wp:posOffset>
          </wp:positionV>
          <wp:extent cx="5387975" cy="421640"/>
          <wp:effectExtent l="0" t="0" r="317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e D Special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97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705">
      <w:rPr>
        <w:rFonts w:ascii="Arial" w:hAnsi="Arial" w:cs="Arial"/>
      </w:rPr>
      <w:fldChar w:fldCharType="begin"/>
    </w:r>
    <w:r w:rsidRPr="00365705">
      <w:rPr>
        <w:rFonts w:ascii="Arial" w:hAnsi="Arial" w:cs="Arial"/>
      </w:rPr>
      <w:instrText xml:space="preserve"> IF </w:instrText>
    </w:r>
    <w:sdt>
      <w:sdtPr>
        <w:rPr>
          <w:rFonts w:ascii="Arial" w:hAnsi="Arial" w:cs="Arial"/>
        </w:rPr>
        <w:id w:val="759869717"/>
        <w:docPartObj>
          <w:docPartGallery w:val="Page Numbers (Top of Page)"/>
          <w:docPartUnique/>
        </w:docPartObj>
      </w:sdtPr>
      <w:sdtEndPr/>
      <w:sdtContent>
        <w:r w:rsidRPr="00365705">
          <w:rPr>
            <w:rFonts w:ascii="Arial" w:hAnsi="Arial" w:cs="Arial"/>
          </w:rPr>
          <w:fldChar w:fldCharType="begin"/>
        </w:r>
        <w:r w:rsidRPr="00365705">
          <w:rPr>
            <w:rFonts w:ascii="Arial" w:hAnsi="Arial" w:cs="Arial"/>
          </w:rPr>
          <w:instrText xml:space="preserve"> Numpages  </w:instrText>
        </w:r>
        <w:r w:rsidRPr="00365705">
          <w:rPr>
            <w:rFonts w:ascii="Arial" w:hAnsi="Arial" w:cs="Arial"/>
          </w:rPr>
          <w:fldChar w:fldCharType="separate"/>
        </w:r>
        <w:r w:rsidR="00A7202C">
          <w:rPr>
            <w:rFonts w:ascii="Arial" w:hAnsi="Arial" w:cs="Arial"/>
          </w:rPr>
          <w:instrText>2</w:instrText>
        </w:r>
        <w:r w:rsidRPr="00365705">
          <w:rPr>
            <w:rFonts w:ascii="Arial" w:hAnsi="Arial" w:cs="Arial"/>
          </w:rPr>
          <w:fldChar w:fldCharType="end"/>
        </w:r>
        <w:r w:rsidRPr="00365705">
          <w:rPr>
            <w:rFonts w:ascii="Arial" w:hAnsi="Arial" w:cs="Arial"/>
          </w:rPr>
          <w:instrText xml:space="preserve"> = 1</w:instrText>
        </w:r>
      </w:sdtContent>
    </w:sdt>
    <w:r w:rsidRPr="00365705">
      <w:rPr>
        <w:rFonts w:ascii="Arial" w:hAnsi="Arial" w:cs="Arial"/>
      </w:rPr>
      <w:instrText xml:space="preserve"> "" "</w:instrText>
    </w:r>
    <w:r w:rsidRPr="00365705">
      <w:rPr>
        <w:rFonts w:ascii="Arial" w:hAnsi="Arial" w:cs="Arial"/>
      </w:rPr>
      <w:fldChar w:fldCharType="begin"/>
    </w:r>
    <w:r w:rsidRPr="00365705">
      <w:rPr>
        <w:rFonts w:ascii="Arial" w:hAnsi="Arial" w:cs="Arial"/>
      </w:rPr>
      <w:instrText xml:space="preserve"> PAGE </w:instrText>
    </w:r>
    <w:r w:rsidRPr="00365705">
      <w:rPr>
        <w:rFonts w:ascii="Arial" w:hAnsi="Arial" w:cs="Arial"/>
      </w:rPr>
      <w:fldChar w:fldCharType="separate"/>
    </w:r>
    <w:r w:rsidR="00A7202C">
      <w:rPr>
        <w:rFonts w:ascii="Arial" w:hAnsi="Arial" w:cs="Arial"/>
      </w:rPr>
      <w:instrText>1</w:instrText>
    </w:r>
    <w:r w:rsidRPr="00365705">
      <w:rPr>
        <w:rFonts w:ascii="Arial" w:hAnsi="Arial" w:cs="Arial"/>
      </w:rPr>
      <w:fldChar w:fldCharType="end"/>
    </w:r>
    <w:r w:rsidRPr="00365705">
      <w:rPr>
        <w:rFonts w:ascii="Arial" w:hAnsi="Arial" w:cs="Arial"/>
      </w:rPr>
      <w:instrText> / </w:instrText>
    </w:r>
    <w:sdt>
      <w:sdtPr>
        <w:rPr>
          <w:rFonts w:ascii="Arial" w:hAnsi="Arial" w:cs="Arial"/>
        </w:rPr>
        <w:id w:val="-454106330"/>
        <w:docPartObj>
          <w:docPartGallery w:val="Page Numbers (Top of Page)"/>
          <w:docPartUnique/>
        </w:docPartObj>
      </w:sdtPr>
      <w:sdtEndPr/>
      <w:sdtContent>
        <w:r w:rsidRPr="00365705">
          <w:rPr>
            <w:rFonts w:ascii="Arial" w:hAnsi="Arial" w:cs="Arial"/>
          </w:rPr>
          <w:fldChar w:fldCharType="begin"/>
        </w:r>
        <w:r w:rsidRPr="00365705">
          <w:rPr>
            <w:rFonts w:ascii="Arial" w:hAnsi="Arial" w:cs="Arial"/>
          </w:rPr>
          <w:instrText xml:space="preserve"> NUMPAGES  </w:instrText>
        </w:r>
        <w:r w:rsidRPr="00365705">
          <w:rPr>
            <w:rFonts w:ascii="Arial" w:hAnsi="Arial" w:cs="Arial"/>
          </w:rPr>
          <w:fldChar w:fldCharType="separate"/>
        </w:r>
        <w:r w:rsidR="00A7202C">
          <w:rPr>
            <w:rFonts w:ascii="Arial" w:hAnsi="Arial" w:cs="Arial"/>
          </w:rPr>
          <w:instrText>2</w:instrText>
        </w:r>
        <w:r w:rsidRPr="00365705">
          <w:rPr>
            <w:rFonts w:ascii="Arial" w:hAnsi="Arial" w:cs="Arial"/>
          </w:rPr>
          <w:fldChar w:fldCharType="end"/>
        </w:r>
      </w:sdtContent>
    </w:sdt>
    <w:r w:rsidRPr="00365705">
      <w:rPr>
        <w:rFonts w:ascii="Arial" w:hAnsi="Arial" w:cs="Arial"/>
      </w:rPr>
      <w:instrText>"</w:instrText>
    </w:r>
    <w:r w:rsidR="00A7202C">
      <w:rPr>
        <w:rFonts w:ascii="Arial" w:hAnsi="Arial" w:cs="Arial"/>
      </w:rPr>
      <w:fldChar w:fldCharType="separate"/>
    </w:r>
    <w:r w:rsidR="00A7202C">
      <w:rPr>
        <w:rFonts w:ascii="Arial" w:hAnsi="Arial" w:cs="Arial"/>
      </w:rPr>
      <w:t>1</w:t>
    </w:r>
    <w:r w:rsidR="00A7202C" w:rsidRPr="00365705">
      <w:rPr>
        <w:rFonts w:ascii="Arial" w:hAnsi="Arial" w:cs="Arial"/>
      </w:rPr>
      <w:t> / </w:t>
    </w:r>
    <w:r w:rsidR="00A7202C">
      <w:rPr>
        <w:rFonts w:ascii="Arial" w:hAnsi="Arial" w:cs="Arial"/>
      </w:rPr>
      <w:t>2</w:t>
    </w:r>
    <w:r w:rsidRPr="0036570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1C" w:rsidRDefault="00B1521C" w:rsidP="00F91D37">
      <w:pPr>
        <w:spacing w:line="240" w:lineRule="auto"/>
      </w:pPr>
      <w:r>
        <w:separator/>
      </w:r>
    </w:p>
  </w:footnote>
  <w:footnote w:type="continuationSeparator" w:id="0">
    <w:p w:rsidR="00B1521C" w:rsidRDefault="00B1521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Default="00B54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Default="00B54C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Pr="00E35367" w:rsidRDefault="00B54C00" w:rsidP="00E35367">
    <w:pPr>
      <w:pStyle w:val="Kopfzeile"/>
    </w:pPr>
    <w:r>
      <w:drawing>
        <wp:inline distT="0" distB="0" distL="0" distR="0" wp14:anchorId="0C985531" wp14:editId="4B08E9CE">
          <wp:extent cx="1060704" cy="1161288"/>
          <wp:effectExtent l="0" t="0" r="6350" b="127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3C8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6A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C19"/>
    <w:multiLevelType w:val="hybridMultilevel"/>
    <w:tmpl w:val="370C58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14DB9"/>
    <w:multiLevelType w:val="hybridMultilevel"/>
    <w:tmpl w:val="CD7C97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8504A"/>
    <w:multiLevelType w:val="hybridMultilevel"/>
    <w:tmpl w:val="A47229D2"/>
    <w:lvl w:ilvl="0" w:tplc="08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ind w:left="2444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644856"/>
    <w:multiLevelType w:val="hybridMultilevel"/>
    <w:tmpl w:val="BA0E4076"/>
    <w:lvl w:ilvl="0" w:tplc="1E56262C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D127E"/>
    <w:multiLevelType w:val="hybridMultilevel"/>
    <w:tmpl w:val="025CE60C"/>
    <w:lvl w:ilvl="0" w:tplc="DAE288AA">
      <w:start w:val="1"/>
      <w:numFmt w:val="bullet"/>
      <w:pStyle w:val="Aufzhlung"/>
      <w:lvlText w:val="–"/>
      <w:lvlJc w:val="left"/>
      <w:pPr>
        <w:ind w:left="360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E287E"/>
    <w:multiLevelType w:val="hybridMultilevel"/>
    <w:tmpl w:val="3E883BE4"/>
    <w:lvl w:ilvl="0" w:tplc="1E56262C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4"/>
  </w:num>
  <w:num w:numId="14">
    <w:abstractNumId w:val="20"/>
  </w:num>
  <w:num w:numId="15">
    <w:abstractNumId w:val="18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57"/>
    <w:rsid w:val="00002978"/>
    <w:rsid w:val="0001010F"/>
    <w:rsid w:val="00024075"/>
    <w:rsid w:val="00024611"/>
    <w:rsid w:val="000266B7"/>
    <w:rsid w:val="000274AB"/>
    <w:rsid w:val="0003217C"/>
    <w:rsid w:val="00037491"/>
    <w:rsid w:val="000409C8"/>
    <w:rsid w:val="00041700"/>
    <w:rsid w:val="00046E38"/>
    <w:rsid w:val="00052764"/>
    <w:rsid w:val="00062DB8"/>
    <w:rsid w:val="00063BC2"/>
    <w:rsid w:val="000932F4"/>
    <w:rsid w:val="000937A6"/>
    <w:rsid w:val="00096E8E"/>
    <w:rsid w:val="000A1C01"/>
    <w:rsid w:val="000A56B3"/>
    <w:rsid w:val="000A6E3B"/>
    <w:rsid w:val="000B0D4C"/>
    <w:rsid w:val="000B4EB3"/>
    <w:rsid w:val="000B595D"/>
    <w:rsid w:val="000B6670"/>
    <w:rsid w:val="000D316E"/>
    <w:rsid w:val="000D5833"/>
    <w:rsid w:val="000E756F"/>
    <w:rsid w:val="000F7AE8"/>
    <w:rsid w:val="001014E1"/>
    <w:rsid w:val="00106688"/>
    <w:rsid w:val="001100AE"/>
    <w:rsid w:val="00111D71"/>
    <w:rsid w:val="001134C7"/>
    <w:rsid w:val="00122C05"/>
    <w:rsid w:val="00124476"/>
    <w:rsid w:val="0012585B"/>
    <w:rsid w:val="00142113"/>
    <w:rsid w:val="001440F5"/>
    <w:rsid w:val="00144122"/>
    <w:rsid w:val="00154677"/>
    <w:rsid w:val="00167916"/>
    <w:rsid w:val="00190644"/>
    <w:rsid w:val="001B0A8F"/>
    <w:rsid w:val="001C3ACD"/>
    <w:rsid w:val="001D205D"/>
    <w:rsid w:val="001D4913"/>
    <w:rsid w:val="001F4B8C"/>
    <w:rsid w:val="001F7C0A"/>
    <w:rsid w:val="002075D3"/>
    <w:rsid w:val="0021682A"/>
    <w:rsid w:val="0023205B"/>
    <w:rsid w:val="00236366"/>
    <w:rsid w:val="00251E2F"/>
    <w:rsid w:val="00252ADF"/>
    <w:rsid w:val="00253F9D"/>
    <w:rsid w:val="00267F71"/>
    <w:rsid w:val="00270DB6"/>
    <w:rsid w:val="00274337"/>
    <w:rsid w:val="00280F84"/>
    <w:rsid w:val="00286187"/>
    <w:rsid w:val="00293C54"/>
    <w:rsid w:val="00293D94"/>
    <w:rsid w:val="002C67AB"/>
    <w:rsid w:val="002D220F"/>
    <w:rsid w:val="002D2C94"/>
    <w:rsid w:val="002D38AE"/>
    <w:rsid w:val="002E22ED"/>
    <w:rsid w:val="002E7B8C"/>
    <w:rsid w:val="002F06AA"/>
    <w:rsid w:val="002F1CEF"/>
    <w:rsid w:val="00306D35"/>
    <w:rsid w:val="00307D6C"/>
    <w:rsid w:val="0032330D"/>
    <w:rsid w:val="00323FD7"/>
    <w:rsid w:val="00333A1B"/>
    <w:rsid w:val="0034173C"/>
    <w:rsid w:val="00344096"/>
    <w:rsid w:val="0034576B"/>
    <w:rsid w:val="003537ED"/>
    <w:rsid w:val="00364EE3"/>
    <w:rsid w:val="00365705"/>
    <w:rsid w:val="00381826"/>
    <w:rsid w:val="0038636A"/>
    <w:rsid w:val="003927AA"/>
    <w:rsid w:val="00393268"/>
    <w:rsid w:val="003B09C5"/>
    <w:rsid w:val="003B5796"/>
    <w:rsid w:val="003B6DE4"/>
    <w:rsid w:val="003E62F4"/>
    <w:rsid w:val="003E75DE"/>
    <w:rsid w:val="003F1A56"/>
    <w:rsid w:val="003F4DF8"/>
    <w:rsid w:val="00402146"/>
    <w:rsid w:val="004409C3"/>
    <w:rsid w:val="00440F82"/>
    <w:rsid w:val="00441BE3"/>
    <w:rsid w:val="004558DB"/>
    <w:rsid w:val="00463DC1"/>
    <w:rsid w:val="004738E4"/>
    <w:rsid w:val="00475F18"/>
    <w:rsid w:val="004849C9"/>
    <w:rsid w:val="004908D5"/>
    <w:rsid w:val="004A039B"/>
    <w:rsid w:val="004C58E0"/>
    <w:rsid w:val="004C6A70"/>
    <w:rsid w:val="004C6E60"/>
    <w:rsid w:val="004D179F"/>
    <w:rsid w:val="004D5295"/>
    <w:rsid w:val="004D6E0E"/>
    <w:rsid w:val="004E683A"/>
    <w:rsid w:val="004F12B4"/>
    <w:rsid w:val="00500294"/>
    <w:rsid w:val="00517696"/>
    <w:rsid w:val="005239BD"/>
    <w:rsid w:val="00524481"/>
    <w:rsid w:val="00526C93"/>
    <w:rsid w:val="00531E7E"/>
    <w:rsid w:val="005372EE"/>
    <w:rsid w:val="005452BA"/>
    <w:rsid w:val="00547413"/>
    <w:rsid w:val="00576886"/>
    <w:rsid w:val="00584DF4"/>
    <w:rsid w:val="005862AE"/>
    <w:rsid w:val="00591832"/>
    <w:rsid w:val="00592841"/>
    <w:rsid w:val="00597793"/>
    <w:rsid w:val="005A6A6F"/>
    <w:rsid w:val="005A7A70"/>
    <w:rsid w:val="005E120C"/>
    <w:rsid w:val="005E733E"/>
    <w:rsid w:val="005E7A6A"/>
    <w:rsid w:val="005F009A"/>
    <w:rsid w:val="006044D5"/>
    <w:rsid w:val="00622FDC"/>
    <w:rsid w:val="00627A98"/>
    <w:rsid w:val="00627AD2"/>
    <w:rsid w:val="00630695"/>
    <w:rsid w:val="00633277"/>
    <w:rsid w:val="00641985"/>
    <w:rsid w:val="006554B2"/>
    <w:rsid w:val="00660E8B"/>
    <w:rsid w:val="006725CF"/>
    <w:rsid w:val="006808C2"/>
    <w:rsid w:val="00686D14"/>
    <w:rsid w:val="00687ED7"/>
    <w:rsid w:val="00691913"/>
    <w:rsid w:val="006B14AD"/>
    <w:rsid w:val="006B6E54"/>
    <w:rsid w:val="006B76DF"/>
    <w:rsid w:val="006C5835"/>
    <w:rsid w:val="006D4029"/>
    <w:rsid w:val="006E2B77"/>
    <w:rsid w:val="006E2C40"/>
    <w:rsid w:val="006E59C6"/>
    <w:rsid w:val="006F0345"/>
    <w:rsid w:val="006F0469"/>
    <w:rsid w:val="006F22A5"/>
    <w:rsid w:val="006F27FE"/>
    <w:rsid w:val="006F3E71"/>
    <w:rsid w:val="006F5448"/>
    <w:rsid w:val="006F7691"/>
    <w:rsid w:val="00702CE9"/>
    <w:rsid w:val="0070709F"/>
    <w:rsid w:val="00711147"/>
    <w:rsid w:val="00717612"/>
    <w:rsid w:val="00721D66"/>
    <w:rsid w:val="00726E57"/>
    <w:rsid w:val="007277E3"/>
    <w:rsid w:val="00732891"/>
    <w:rsid w:val="00734458"/>
    <w:rsid w:val="0073689E"/>
    <w:rsid w:val="0073786D"/>
    <w:rsid w:val="00754892"/>
    <w:rsid w:val="007564A9"/>
    <w:rsid w:val="00756952"/>
    <w:rsid w:val="0076129F"/>
    <w:rsid w:val="00761819"/>
    <w:rsid w:val="00774E70"/>
    <w:rsid w:val="00796CEE"/>
    <w:rsid w:val="007C103F"/>
    <w:rsid w:val="007C3C07"/>
    <w:rsid w:val="007C4FBE"/>
    <w:rsid w:val="007C7ACF"/>
    <w:rsid w:val="007D1AC1"/>
    <w:rsid w:val="007E1B78"/>
    <w:rsid w:val="00800469"/>
    <w:rsid w:val="008360D5"/>
    <w:rsid w:val="00841B44"/>
    <w:rsid w:val="00841C8C"/>
    <w:rsid w:val="00844422"/>
    <w:rsid w:val="00871509"/>
    <w:rsid w:val="00883CC4"/>
    <w:rsid w:val="0088708D"/>
    <w:rsid w:val="0089196F"/>
    <w:rsid w:val="008C06F4"/>
    <w:rsid w:val="008C3D6E"/>
    <w:rsid w:val="008E580A"/>
    <w:rsid w:val="008E6F80"/>
    <w:rsid w:val="008F7982"/>
    <w:rsid w:val="00907BCA"/>
    <w:rsid w:val="009151E7"/>
    <w:rsid w:val="0092615F"/>
    <w:rsid w:val="00942127"/>
    <w:rsid w:val="0095267C"/>
    <w:rsid w:val="0095351A"/>
    <w:rsid w:val="00956B9A"/>
    <w:rsid w:val="00960F04"/>
    <w:rsid w:val="009613D8"/>
    <w:rsid w:val="00970244"/>
    <w:rsid w:val="00977EF6"/>
    <w:rsid w:val="00981B71"/>
    <w:rsid w:val="00994007"/>
    <w:rsid w:val="00995CBA"/>
    <w:rsid w:val="0099678C"/>
    <w:rsid w:val="009A59E8"/>
    <w:rsid w:val="009B0C96"/>
    <w:rsid w:val="009B1AFF"/>
    <w:rsid w:val="009C222B"/>
    <w:rsid w:val="009C3271"/>
    <w:rsid w:val="009C4E34"/>
    <w:rsid w:val="009C66D0"/>
    <w:rsid w:val="009C67A8"/>
    <w:rsid w:val="009C7205"/>
    <w:rsid w:val="009D5052"/>
    <w:rsid w:val="009D5D9C"/>
    <w:rsid w:val="009E2171"/>
    <w:rsid w:val="009F0AC8"/>
    <w:rsid w:val="009F5F63"/>
    <w:rsid w:val="009F6948"/>
    <w:rsid w:val="009F7534"/>
    <w:rsid w:val="00A032F9"/>
    <w:rsid w:val="00A12D79"/>
    <w:rsid w:val="00A14E71"/>
    <w:rsid w:val="00A1657E"/>
    <w:rsid w:val="00A234C9"/>
    <w:rsid w:val="00A333F0"/>
    <w:rsid w:val="00A57815"/>
    <w:rsid w:val="00A62F82"/>
    <w:rsid w:val="00A7202C"/>
    <w:rsid w:val="00A745C4"/>
    <w:rsid w:val="00A94B27"/>
    <w:rsid w:val="00A95ED0"/>
    <w:rsid w:val="00AB2A66"/>
    <w:rsid w:val="00AC0BD2"/>
    <w:rsid w:val="00AC0D87"/>
    <w:rsid w:val="00AC22CC"/>
    <w:rsid w:val="00AC6650"/>
    <w:rsid w:val="00AC7BB8"/>
    <w:rsid w:val="00AD094E"/>
    <w:rsid w:val="00AD2CBA"/>
    <w:rsid w:val="00AD3471"/>
    <w:rsid w:val="00AD36B2"/>
    <w:rsid w:val="00AE44D6"/>
    <w:rsid w:val="00AE60DB"/>
    <w:rsid w:val="00AF0753"/>
    <w:rsid w:val="00AF47AE"/>
    <w:rsid w:val="00B027C5"/>
    <w:rsid w:val="00B13A74"/>
    <w:rsid w:val="00B14F78"/>
    <w:rsid w:val="00B1521C"/>
    <w:rsid w:val="00B32ABB"/>
    <w:rsid w:val="00B40109"/>
    <w:rsid w:val="00B41FD3"/>
    <w:rsid w:val="00B4579E"/>
    <w:rsid w:val="00B54C00"/>
    <w:rsid w:val="00B55736"/>
    <w:rsid w:val="00B605EB"/>
    <w:rsid w:val="00B62969"/>
    <w:rsid w:val="00B803E7"/>
    <w:rsid w:val="00B82514"/>
    <w:rsid w:val="00B8497D"/>
    <w:rsid w:val="00B86AD8"/>
    <w:rsid w:val="00B86E76"/>
    <w:rsid w:val="00B916B1"/>
    <w:rsid w:val="00B9363F"/>
    <w:rsid w:val="00BA24C8"/>
    <w:rsid w:val="00BA4DDE"/>
    <w:rsid w:val="00BB6C1E"/>
    <w:rsid w:val="00BC125C"/>
    <w:rsid w:val="00BC38D9"/>
    <w:rsid w:val="00BC655F"/>
    <w:rsid w:val="00BE2EBF"/>
    <w:rsid w:val="00BF3C84"/>
    <w:rsid w:val="00BF53B9"/>
    <w:rsid w:val="00C12B78"/>
    <w:rsid w:val="00C31D7F"/>
    <w:rsid w:val="00C51D2F"/>
    <w:rsid w:val="00C54993"/>
    <w:rsid w:val="00C677E2"/>
    <w:rsid w:val="00C7052E"/>
    <w:rsid w:val="00C9012C"/>
    <w:rsid w:val="00CA348A"/>
    <w:rsid w:val="00CA6ECF"/>
    <w:rsid w:val="00CB2CE6"/>
    <w:rsid w:val="00CB63E0"/>
    <w:rsid w:val="00CC2F24"/>
    <w:rsid w:val="00CD192C"/>
    <w:rsid w:val="00CD64C4"/>
    <w:rsid w:val="00CF7780"/>
    <w:rsid w:val="00D2064A"/>
    <w:rsid w:val="00D316F9"/>
    <w:rsid w:val="00D473E8"/>
    <w:rsid w:val="00D51D0C"/>
    <w:rsid w:val="00D57D7D"/>
    <w:rsid w:val="00D70970"/>
    <w:rsid w:val="00D8388A"/>
    <w:rsid w:val="00D86793"/>
    <w:rsid w:val="00D91709"/>
    <w:rsid w:val="00D9415C"/>
    <w:rsid w:val="00DB05EF"/>
    <w:rsid w:val="00DB10E6"/>
    <w:rsid w:val="00DB3C4C"/>
    <w:rsid w:val="00DC07E8"/>
    <w:rsid w:val="00DE154A"/>
    <w:rsid w:val="00DF20D1"/>
    <w:rsid w:val="00DF2598"/>
    <w:rsid w:val="00E12AFF"/>
    <w:rsid w:val="00E24B09"/>
    <w:rsid w:val="00E25DCD"/>
    <w:rsid w:val="00E269E1"/>
    <w:rsid w:val="00E3006B"/>
    <w:rsid w:val="00E35367"/>
    <w:rsid w:val="00E36ADB"/>
    <w:rsid w:val="00E449BD"/>
    <w:rsid w:val="00E44D76"/>
    <w:rsid w:val="00E45F13"/>
    <w:rsid w:val="00E47B6F"/>
    <w:rsid w:val="00E50587"/>
    <w:rsid w:val="00E510BC"/>
    <w:rsid w:val="00E57045"/>
    <w:rsid w:val="00E73444"/>
    <w:rsid w:val="00E73CB2"/>
    <w:rsid w:val="00E7745F"/>
    <w:rsid w:val="00E83103"/>
    <w:rsid w:val="00E84BBE"/>
    <w:rsid w:val="00E92AF4"/>
    <w:rsid w:val="00E96B25"/>
    <w:rsid w:val="00EA5311"/>
    <w:rsid w:val="00EA59B8"/>
    <w:rsid w:val="00EC2DF9"/>
    <w:rsid w:val="00EE0CA5"/>
    <w:rsid w:val="00EE7293"/>
    <w:rsid w:val="00F016BC"/>
    <w:rsid w:val="00F044D2"/>
    <w:rsid w:val="00F0645F"/>
    <w:rsid w:val="00F0660B"/>
    <w:rsid w:val="00F123AE"/>
    <w:rsid w:val="00F24EF9"/>
    <w:rsid w:val="00F2539E"/>
    <w:rsid w:val="00F30C10"/>
    <w:rsid w:val="00F73E3E"/>
    <w:rsid w:val="00F7738F"/>
    <w:rsid w:val="00F82D05"/>
    <w:rsid w:val="00F90DA0"/>
    <w:rsid w:val="00F91D37"/>
    <w:rsid w:val="00FA4CF5"/>
    <w:rsid w:val="00FA668C"/>
    <w:rsid w:val="00FC1EBF"/>
    <w:rsid w:val="00FE005A"/>
    <w:rsid w:val="00FE28B6"/>
    <w:rsid w:val="00FE546D"/>
    <w:rsid w:val="00FE7D09"/>
    <w:rsid w:val="00FF29E3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539801A"/>
  <w15:docId w15:val="{A79D72F9-7712-43AA-8A43-6D2803D8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E57"/>
    <w:pPr>
      <w:spacing w:after="0" w:line="26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2764"/>
    <w:pPr>
      <w:keepNext/>
      <w:keepLines/>
      <w:spacing w:before="320" w:after="280" w:line="380" w:lineRule="atLeast"/>
      <w:contextualSpacing/>
      <w:jc w:val="center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952"/>
    <w:pPr>
      <w:outlineLvl w:val="1"/>
    </w:pPr>
    <w:rPr>
      <w:rFonts w:ascii="Arial MT Std Medium" w:hAnsi="Arial MT Std Medium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0D4C"/>
    <w:pPr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E35367"/>
    <w:pPr>
      <w:tabs>
        <w:tab w:val="center" w:pos="3969"/>
        <w:tab w:val="right" w:pos="8787"/>
      </w:tabs>
      <w:spacing w:after="240" w:line="240" w:lineRule="auto"/>
      <w:jc w:val="center"/>
    </w:pPr>
    <w:rPr>
      <w:noProof/>
      <w:sz w:val="18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35367"/>
    <w:rPr>
      <w:noProof/>
      <w:sz w:val="18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86187"/>
    <w:pPr>
      <w:pBdr>
        <w:top w:val="single" w:sz="2" w:space="30" w:color="3256A3" w:themeColor="accent1"/>
      </w:pBdr>
      <w:tabs>
        <w:tab w:val="center" w:pos="3969"/>
        <w:tab w:val="right" w:pos="8787"/>
      </w:tabs>
      <w:spacing w:line="260" w:lineRule="exact"/>
      <w:jc w:val="right"/>
    </w:pPr>
    <w:rPr>
      <w:noProof/>
      <w:color w:val="3256A3" w:themeColor="accent1"/>
      <w:sz w:val="16"/>
      <w:szCs w:val="16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86187"/>
    <w:rPr>
      <w:noProof/>
      <w:color w:val="3256A3" w:themeColor="accent1"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2764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952"/>
    <w:rPr>
      <w:rFonts w:ascii="Arial MT Std Medium" w:hAnsi="Arial MT Std Medium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6187"/>
    <w:pPr>
      <w:pBdr>
        <w:bottom w:val="single" w:sz="2" w:space="5" w:color="3256A3" w:themeColor="accent1"/>
      </w:pBdr>
      <w:spacing w:before="120" w:line="276" w:lineRule="auto"/>
      <w:jc w:val="center"/>
    </w:pPr>
    <w:rPr>
      <w:rFonts w:ascii="Arial" w:hAnsi="Arial"/>
      <w:b/>
      <w:caps/>
      <w:color w:val="3256A3" w:themeColor="accent1"/>
      <w:spacing w:val="10"/>
    </w:rPr>
  </w:style>
  <w:style w:type="character" w:customStyle="1" w:styleId="TitelZchn">
    <w:name w:val="Titel Zchn"/>
    <w:basedOn w:val="Absatz-Standardschriftart"/>
    <w:link w:val="Titel"/>
    <w:uiPriority w:val="10"/>
    <w:rsid w:val="00286187"/>
    <w:rPr>
      <w:rFonts w:ascii="Arial" w:hAnsi="Arial"/>
      <w:b/>
      <w:caps/>
      <w:color w:val="3256A3" w:themeColor="accent1"/>
      <w:spacing w:val="10"/>
      <w:sz w:val="20"/>
    </w:rPr>
  </w:style>
  <w:style w:type="paragraph" w:customStyle="1" w:styleId="Brieftitel">
    <w:name w:val="Brieftitel"/>
    <w:basedOn w:val="Standard"/>
    <w:link w:val="BrieftitelZchn"/>
    <w:uiPriority w:val="1"/>
    <w:rsid w:val="00CA6ECF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CA6ECF"/>
    <w:rPr>
      <w:rFonts w:asciiTheme="majorHAnsi" w:hAnsiTheme="majorHAnsi"/>
      <w:b/>
      <w:sz w:val="2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B0D4C"/>
    <w:rPr>
      <w:sz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Zusatztextklein">
    <w:name w:val="Zusatztext klein"/>
    <w:basedOn w:val="Standard"/>
    <w:rsid w:val="00E50587"/>
    <w:pPr>
      <w:spacing w:line="220" w:lineRule="atLeast"/>
    </w:pPr>
    <w:rPr>
      <w:sz w:val="18"/>
      <w:szCs w:val="18"/>
    </w:rPr>
  </w:style>
  <w:style w:type="paragraph" w:customStyle="1" w:styleId="Brieftext">
    <w:name w:val="Brieftext"/>
    <w:basedOn w:val="Standard"/>
    <w:uiPriority w:val="1"/>
    <w:rsid w:val="00CA6ECF"/>
    <w:pPr>
      <w:spacing w:after="120"/>
    </w:pPr>
  </w:style>
  <w:style w:type="paragraph" w:customStyle="1" w:styleId="Lead">
    <w:name w:val="Lead"/>
    <w:basedOn w:val="Standard"/>
    <w:next w:val="Standard"/>
    <w:qFormat/>
    <w:rsid w:val="00756952"/>
    <w:rPr>
      <w:rFonts w:ascii="Arial MT Std Medium" w:hAnsi="Arial MT Std Medium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4F78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4F78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4F78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584DF4"/>
    <w:pPr>
      <w:spacing w:line="240" w:lineRule="auto"/>
    </w:pPr>
    <w:rPr>
      <w:rFonts w:ascii="Arial MT Std Medium" w:hAnsi="Arial MT Std Medium"/>
      <w:i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57"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rsid w:val="006B76DF"/>
    <w:pPr>
      <w:tabs>
        <w:tab w:val="left" w:pos="2892"/>
      </w:tabs>
      <w:spacing w:line="250" w:lineRule="exact"/>
    </w:pPr>
    <w:rPr>
      <w:rFonts w:ascii="Arial" w:eastAsia="Times New Roman" w:hAnsi="Arial" w:cs="Times New Roman"/>
      <w:spacing w:val="4"/>
      <w:kern w:val="16"/>
      <w:sz w:val="22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27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7F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7F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7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7FE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94007"/>
    <w:rPr>
      <w:color w:val="3256A3" w:themeColor="followedHyperlink"/>
      <w:u w:val="single"/>
    </w:rPr>
  </w:style>
  <w:style w:type="paragraph" w:styleId="berarbeitung">
    <w:name w:val="Revision"/>
    <w:hidden/>
    <w:uiPriority w:val="99"/>
    <w:semiHidden/>
    <w:rsid w:val="009F753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z.stueckelberger@arbeitgeber-bank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ggenbP\AppData\Local\Microsoft\Windows\Temporary%20Internet%20Files\Content.Outlook\JYK8YPEG\Medienmitteilung%20D%20V3.dotx" TargetMode="External"/></Relationships>
</file>

<file path=word/theme/theme1.xml><?xml version="1.0" encoding="utf-8"?>
<a:theme xmlns:a="http://schemas.openxmlformats.org/drawingml/2006/main" name="Larissa-Design">
  <a:themeElements>
    <a:clrScheme name="Arbeitgeber Banken">
      <a:dk1>
        <a:sysClr val="windowText" lastClr="000000"/>
      </a:dk1>
      <a:lt1>
        <a:sysClr val="window" lastClr="FFFFFF"/>
      </a:lt1>
      <a:dk2>
        <a:srgbClr val="E3E3F1"/>
      </a:dk2>
      <a:lt2>
        <a:srgbClr val="D8D8D8"/>
      </a:lt2>
      <a:accent1>
        <a:srgbClr val="3256A3"/>
      </a:accent1>
      <a:accent2>
        <a:srgbClr val="878787"/>
      </a:accent2>
      <a:accent3>
        <a:srgbClr val="707FBD"/>
      </a:accent3>
      <a:accent4>
        <a:srgbClr val="B7B7B7"/>
      </a:accent4>
      <a:accent5>
        <a:srgbClr val="A7AED6"/>
      </a:accent5>
      <a:accent6>
        <a:srgbClr val="D8D8D8"/>
      </a:accent6>
      <a:hlink>
        <a:srgbClr val="000000"/>
      </a:hlink>
      <a:folHlink>
        <a:srgbClr val="3256A3"/>
      </a:folHlink>
    </a:clrScheme>
    <a:fontScheme name="AGB">
      <a:majorFont>
        <a:latin typeface="Arial MT Std Light"/>
        <a:ea typeface=""/>
        <a:cs typeface=""/>
      </a:majorFont>
      <a:minorFont>
        <a:latin typeface="Arial MT Std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19AB-F675-49FB-875B-F3774336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 D V3.dotx</Template>
  <TotalTime>0</TotalTime>
  <Pages>2</Pages>
  <Words>451</Words>
  <Characters>2846</Characters>
  <Application>Microsoft Office Word</Application>
  <DocSecurity>0</DocSecurity>
  <PresentationFormat>e1259433-3ca0-4089-bf5c-6d429e9eb663</PresentationFormat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Guggenbühl Pia</dc:creator>
  <cp:keywords/>
  <dc:description/>
  <cp:lastModifiedBy>Frey David</cp:lastModifiedBy>
  <cp:revision>8</cp:revision>
  <cp:lastPrinted>2018-06-12T08:16:00Z</cp:lastPrinted>
  <dcterms:created xsi:type="dcterms:W3CDTF">2019-06-27T11:16:00Z</dcterms:created>
  <dcterms:modified xsi:type="dcterms:W3CDTF">2020-06-25T08:05:00Z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">
    <vt:lpwstr>/70C2G8mvQzUx9zet7bBZa1MvV0Vl8Gyub30AEhPTHlbs7TLdwVcjyOzcYOd+wjZOHERaJ10rhrGmyhtdzF3Dw==</vt:lpwstr>
  </property>
  <property fmtid="{D5CDD505-2E9C-101B-9397-08002B2CF9AE}" pid="3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4" name="IQP_Classification">
    <vt:lpwstr>NotProtectedAttachment</vt:lpwstr>
  </property>
</Properties>
</file>