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rsidTr="00040684">
        <w:trPr>
          <w:trHeight w:hRule="exact" w:val="23"/>
        </w:trPr>
        <w:tc>
          <w:tcPr>
            <w:tcW w:w="3126" w:type="pct"/>
          </w:tcPr>
          <w:p w:rsidR="00FA2AA7" w:rsidRPr="0068214D" w:rsidRDefault="00FA2AA7" w:rsidP="004E6AAF">
            <w:pPr>
              <w:spacing w:line="240" w:lineRule="auto"/>
              <w:rPr>
                <w:sz w:val="4"/>
              </w:rPr>
            </w:pPr>
          </w:p>
        </w:tc>
        <w:tc>
          <w:tcPr>
            <w:tcW w:w="1874" w:type="pct"/>
            <w:vMerge w:val="restart"/>
          </w:tcPr>
          <w:p w:rsidR="00FA2AA7" w:rsidRDefault="00FA2AA7" w:rsidP="004E6AAF">
            <w:pPr>
              <w:pStyle w:val="Headertextsmall"/>
            </w:pPr>
          </w:p>
          <w:p w:rsidR="004E6AAF" w:rsidRDefault="004E6AAF" w:rsidP="004E6AAF">
            <w:pPr>
              <w:pStyle w:val="Headertextsmall"/>
              <w:spacing w:after="40"/>
            </w:pPr>
          </w:p>
          <w:p w:rsidR="004E6AAF" w:rsidRDefault="004E6AAF" w:rsidP="004E6AAF">
            <w:pPr>
              <w:pStyle w:val="Headertextsmall"/>
            </w:pPr>
          </w:p>
          <w:p w:rsidR="004E6AAF" w:rsidRPr="0068214D" w:rsidRDefault="004E6AAF" w:rsidP="004E6AAF">
            <w:pPr>
              <w:pStyle w:val="Headertextsmall"/>
            </w:pPr>
          </w:p>
          <w:p w:rsidR="003E1B2C" w:rsidRPr="0068214D" w:rsidRDefault="003E1B2C" w:rsidP="004E6AAF">
            <w:pPr>
              <w:pStyle w:val="Headertextsmall"/>
            </w:pPr>
          </w:p>
          <w:p w:rsidR="00773DE1" w:rsidRPr="0068214D" w:rsidRDefault="00773DE1" w:rsidP="004E6AAF">
            <w:pPr>
              <w:pStyle w:val="Headertextsmall"/>
              <w:rPr>
                <w:sz w:val="18"/>
              </w:rPr>
            </w:pPr>
          </w:p>
          <w:p w:rsidR="003E1B2C" w:rsidRDefault="003E1B2C" w:rsidP="004E6AAF">
            <w:pPr>
              <w:pStyle w:val="Headertextsmall"/>
            </w:pPr>
          </w:p>
          <w:p w:rsidR="004E6AAF" w:rsidRDefault="004E6AAF" w:rsidP="004E6AAF">
            <w:pPr>
              <w:pStyle w:val="Headertextsmall"/>
            </w:pPr>
          </w:p>
          <w:p w:rsidR="004E6AAF" w:rsidRPr="0068214D" w:rsidRDefault="004E6AAF" w:rsidP="004E6AAF">
            <w:pPr>
              <w:pStyle w:val="Headertextsmall"/>
            </w:pPr>
          </w:p>
          <w:p w:rsidR="003E1B2C" w:rsidRPr="0068214D" w:rsidRDefault="003E1B2C" w:rsidP="00C53EDA">
            <w:pPr>
              <w:pStyle w:val="Classification"/>
            </w:pPr>
            <w:r w:rsidRPr="0068214D">
              <w:t xml:space="preserve"> </w:t>
            </w:r>
          </w:p>
        </w:tc>
      </w:tr>
      <w:tr w:rsidR="00FA2AA7" w:rsidRPr="0068214D" w:rsidTr="00040684">
        <w:trPr>
          <w:trHeight w:hRule="exact" w:val="663"/>
        </w:trPr>
        <w:tc>
          <w:tcPr>
            <w:tcW w:w="3126" w:type="pct"/>
            <w:tcBorders>
              <w:bottom w:val="nil"/>
            </w:tcBorders>
          </w:tcPr>
          <w:p w:rsidR="00FA2AA7" w:rsidRPr="0068214D" w:rsidRDefault="00FA2AA7" w:rsidP="004E6AAF">
            <w:pPr>
              <w:spacing w:line="160" w:lineRule="exact"/>
            </w:pPr>
          </w:p>
        </w:tc>
        <w:tc>
          <w:tcPr>
            <w:tcW w:w="1874" w:type="pct"/>
            <w:vMerge/>
            <w:tcBorders>
              <w:bottom w:val="nil"/>
            </w:tcBorders>
          </w:tcPr>
          <w:p w:rsidR="00FA2AA7" w:rsidRPr="0068214D" w:rsidRDefault="00FA2AA7" w:rsidP="004E6AAF">
            <w:pPr>
              <w:spacing w:line="180" w:lineRule="atLeast"/>
              <w:jc w:val="right"/>
              <w:rPr>
                <w:b/>
              </w:rPr>
            </w:pPr>
          </w:p>
        </w:tc>
      </w:tr>
      <w:tr w:rsidR="00FA2AA7" w:rsidRPr="0068214D" w:rsidTr="00040684">
        <w:trPr>
          <w:trHeight w:hRule="exact" w:val="1695"/>
        </w:trPr>
        <w:tc>
          <w:tcPr>
            <w:tcW w:w="3126" w:type="pct"/>
          </w:tcPr>
          <w:p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rsidR="00FA2AA7" w:rsidRPr="0068214D" w:rsidRDefault="00FA2AA7" w:rsidP="004E6AAF">
            <w:pPr>
              <w:spacing w:line="180" w:lineRule="atLeast"/>
              <w:jc w:val="right"/>
              <w:rPr>
                <w:sz w:val="14"/>
              </w:rPr>
            </w:pPr>
          </w:p>
        </w:tc>
      </w:tr>
      <w:tr w:rsidR="003E1B2C" w:rsidRPr="0068214D" w:rsidTr="00040684">
        <w:trPr>
          <w:trHeight w:hRule="exact" w:val="1191"/>
        </w:trPr>
        <w:tc>
          <w:tcPr>
            <w:tcW w:w="3126" w:type="pct"/>
          </w:tcPr>
          <w:p w:rsidR="003E1B2C" w:rsidRPr="0068214D" w:rsidRDefault="003E1B2C" w:rsidP="004E6AAF"/>
        </w:tc>
        <w:tc>
          <w:tcPr>
            <w:tcW w:w="1874" w:type="pct"/>
          </w:tcPr>
          <w:p w:rsidR="003E1B2C" w:rsidRPr="0068214D" w:rsidRDefault="003E1B2C" w:rsidP="004E6AAF">
            <w:pPr>
              <w:spacing w:line="180" w:lineRule="atLeast"/>
              <w:jc w:val="right"/>
              <w:rPr>
                <w:sz w:val="14"/>
              </w:rPr>
            </w:pPr>
          </w:p>
        </w:tc>
      </w:tr>
      <w:tr w:rsidR="0031158E" w:rsidRPr="0071011C" w:rsidTr="00040684">
        <w:trPr>
          <w:trHeight w:val="227"/>
        </w:trPr>
        <w:tc>
          <w:tcPr>
            <w:tcW w:w="5000" w:type="pct"/>
            <w:gridSpan w:val="2"/>
          </w:tcPr>
          <w:p w:rsidR="0031158E" w:rsidRPr="0031158E" w:rsidRDefault="007A412B" w:rsidP="00115749">
            <w:pPr>
              <w:pStyle w:val="Titel"/>
              <w:framePr w:hSpace="0" w:wrap="auto" w:yAlign="inline"/>
              <w:suppressOverlap w:val="0"/>
              <w:rPr>
                <w:lang w:val="de-DE"/>
              </w:rPr>
            </w:pPr>
            <w:r w:rsidRPr="007A412B">
              <w:rPr>
                <w:lang w:val="de-DE"/>
              </w:rPr>
              <w:t xml:space="preserve">400 Teilnehmer beim Partnerkongress 2018 von </w:t>
            </w:r>
            <w:proofErr w:type="spellStart"/>
            <w:r w:rsidRPr="007A412B">
              <w:rPr>
                <w:lang w:val="de-DE"/>
              </w:rPr>
              <w:t>dormakaba</w:t>
            </w:r>
            <w:proofErr w:type="spellEnd"/>
            <w:r w:rsidRPr="007A412B">
              <w:rPr>
                <w:lang w:val="de-DE"/>
              </w:rPr>
              <w:t xml:space="preserve"> </w:t>
            </w:r>
          </w:p>
        </w:tc>
      </w:tr>
      <w:tr w:rsidR="0031158E" w:rsidRPr="0071011C" w:rsidTr="00040684">
        <w:trPr>
          <w:trHeight w:val="340"/>
        </w:trPr>
        <w:tc>
          <w:tcPr>
            <w:tcW w:w="5000" w:type="pct"/>
            <w:gridSpan w:val="2"/>
          </w:tcPr>
          <w:p w:rsidR="0031158E" w:rsidRPr="0031158E" w:rsidRDefault="0031158E" w:rsidP="0031158E">
            <w:pPr>
              <w:rPr>
                <w:lang w:val="de-DE"/>
              </w:rPr>
            </w:pPr>
          </w:p>
        </w:tc>
      </w:tr>
    </w:tbl>
    <w:p w:rsidR="00FD7353" w:rsidRDefault="00A85710" w:rsidP="009E7472">
      <w:pPr>
        <w:rPr>
          <w:lang w:val="de-DE"/>
        </w:rPr>
      </w:pPr>
      <w:r>
        <w:rPr>
          <w:lang w:val="de-DE"/>
        </w:rPr>
        <w:t>Ennepetal</w:t>
      </w:r>
      <w:r w:rsidR="00562835" w:rsidRPr="00705198">
        <w:rPr>
          <w:lang w:val="de-DE"/>
        </w:rPr>
        <w:t xml:space="preserve">, </w:t>
      </w:r>
      <w:r w:rsidR="0071011C">
        <w:rPr>
          <w:lang w:val="de-DE"/>
        </w:rPr>
        <w:t>20</w:t>
      </w:r>
      <w:r w:rsidR="00980FAD">
        <w:rPr>
          <w:lang w:val="de-DE"/>
        </w:rPr>
        <w:t>.02.2018 -</w:t>
      </w:r>
      <w:r w:rsidR="00FD7353" w:rsidRPr="00FD7353">
        <w:rPr>
          <w:lang w:val="de-DE"/>
        </w:rPr>
        <w:t xml:space="preserve"> </w:t>
      </w:r>
      <w:r w:rsidR="0071011C" w:rsidRPr="0071011C">
        <w:rPr>
          <w:lang w:val="de-DE"/>
        </w:rPr>
        <w:t xml:space="preserve">Digitale Transformation und Vernetzung waren die Hauptthemen des diesjährigen Partnerkongresses von </w:t>
      </w:r>
      <w:proofErr w:type="spellStart"/>
      <w:r w:rsidR="0071011C" w:rsidRPr="0071011C">
        <w:rPr>
          <w:lang w:val="de-DE"/>
        </w:rPr>
        <w:t>dormakaba</w:t>
      </w:r>
      <w:proofErr w:type="spellEnd"/>
      <w:r w:rsidR="0071011C" w:rsidRPr="0071011C">
        <w:rPr>
          <w:lang w:val="de-DE"/>
        </w:rPr>
        <w:t xml:space="preserve"> mit rund 400 Teilnehmern. Die Partner erfuhren hier, wie sich das Unternehmen digital weiterentwickelt und konnten in der begleitenden Ausstellung innovative Produkte und Lösungen live erleben. Im Mittelpunkt der Veranstaltung stand – neben vielen interessanten Vorträgen und Workshops – aber auch der Austausch unter den Partnern.  </w:t>
      </w:r>
      <w:r w:rsidR="002C106F" w:rsidRPr="002C106F">
        <w:rPr>
          <w:lang w:val="de-DE"/>
        </w:rPr>
        <w:t xml:space="preserve"> </w:t>
      </w:r>
      <w:r w:rsidR="000234B9" w:rsidRPr="000234B9">
        <w:rPr>
          <w:lang w:val="de-DE"/>
        </w:rPr>
        <w:t xml:space="preserve"> </w:t>
      </w:r>
      <w:r w:rsidR="00CF4C85">
        <w:rPr>
          <w:lang w:val="de-DE"/>
        </w:rPr>
        <w:t xml:space="preserve"> </w:t>
      </w:r>
    </w:p>
    <w:p w:rsidR="00CF4C85" w:rsidRDefault="00CF4C85" w:rsidP="009E7472">
      <w:pPr>
        <w:rPr>
          <w:lang w:val="de-DE"/>
        </w:rPr>
      </w:pPr>
    </w:p>
    <w:p w:rsidR="00A85710" w:rsidRPr="002935CE" w:rsidRDefault="00A85710" w:rsidP="00562835">
      <w:pPr>
        <w:rPr>
          <w:lang w:val="de-DE"/>
        </w:rPr>
      </w:pPr>
    </w:p>
    <w:p w:rsidR="00CF4C85" w:rsidRDefault="0071011C" w:rsidP="00CF4C85">
      <w:pPr>
        <w:rPr>
          <w:lang w:val="de-DE"/>
        </w:rPr>
      </w:pPr>
      <w:r w:rsidRPr="0071011C">
        <w:rPr>
          <w:lang w:val="de-DE"/>
        </w:rPr>
        <w:t xml:space="preserve">Geschäftsführer Michael Hensel gab ein klares Bekenntnis zum mehrstufigen Vertrieb ab und betonte: “Eine starke Partnerschaft führt zu gemeinsamen Erfolg. Er stellte ausführlich die Organisation Deutschland vor und zeigte interessante Vermarktungsmaßnahmen, die auch die Partner nutzen können. Statt eines Vortrages stellte sich Riet Cadonau, CEO der </w:t>
      </w:r>
      <w:proofErr w:type="spellStart"/>
      <w:r w:rsidRPr="0071011C">
        <w:rPr>
          <w:lang w:val="de-DE"/>
        </w:rPr>
        <w:t>dormakaba</w:t>
      </w:r>
      <w:proofErr w:type="spellEnd"/>
      <w:r w:rsidRPr="0071011C">
        <w:rPr>
          <w:lang w:val="de-DE"/>
        </w:rPr>
        <w:t xml:space="preserve"> Gruppe, den Fragen der Partner zur zukünftigen Ausrichtung von </w:t>
      </w:r>
      <w:proofErr w:type="spellStart"/>
      <w:r w:rsidRPr="0071011C">
        <w:rPr>
          <w:lang w:val="de-DE"/>
        </w:rPr>
        <w:t>dormakaba</w:t>
      </w:r>
      <w:proofErr w:type="spellEnd"/>
      <w:r w:rsidRPr="0071011C">
        <w:rPr>
          <w:lang w:val="de-DE"/>
        </w:rPr>
        <w:t xml:space="preserve">. „Was die digitale Transformation angeht, so verbinden wir Produkte, das Unternehmen und unsere Kunden miteinander und machen den nächsten Technologiesprung von der Elektronik zu cloudbasierten Systemen, wobei mechanische, elektronische und cloudbasierte Systeme weiterhin koexistent sein werden“, erklärte Riet Cadonau. Danach stellte sich Alwin Berninger als neuer COO AS DACH den Partnern vor. Von der Firma KUKA kommend sei er beeindruckt von der Marktposition von </w:t>
      </w:r>
      <w:proofErr w:type="spellStart"/>
      <w:r w:rsidRPr="0071011C">
        <w:rPr>
          <w:lang w:val="de-DE"/>
        </w:rPr>
        <w:t>dormakaba</w:t>
      </w:r>
      <w:proofErr w:type="spellEnd"/>
      <w:r w:rsidRPr="0071011C">
        <w:rPr>
          <w:lang w:val="de-DE"/>
        </w:rPr>
        <w:t xml:space="preserve">, den Möglichkeiten des Cross </w:t>
      </w:r>
      <w:proofErr w:type="spellStart"/>
      <w:r w:rsidRPr="0071011C">
        <w:rPr>
          <w:lang w:val="de-DE"/>
        </w:rPr>
        <w:t>Sellings</w:t>
      </w:r>
      <w:proofErr w:type="spellEnd"/>
      <w:r w:rsidRPr="0071011C">
        <w:rPr>
          <w:lang w:val="de-DE"/>
        </w:rPr>
        <w:t xml:space="preserve"> und dem Servicepotenzial durch die digitale Vernetzung der Produkte.</w:t>
      </w:r>
      <w:r w:rsidR="00980FAD" w:rsidRPr="00980FAD">
        <w:rPr>
          <w:lang w:val="de-DE"/>
        </w:rPr>
        <w:t xml:space="preserve"> </w:t>
      </w:r>
    </w:p>
    <w:p w:rsidR="00980FAD" w:rsidRDefault="00980FAD" w:rsidP="00CF4C85">
      <w:pPr>
        <w:rPr>
          <w:lang w:val="de-DE"/>
        </w:rPr>
      </w:pPr>
    </w:p>
    <w:p w:rsidR="002C106F" w:rsidRDefault="0071011C" w:rsidP="000234B9">
      <w:pPr>
        <w:rPr>
          <w:lang w:val="de-DE"/>
        </w:rPr>
      </w:pPr>
      <w:r w:rsidRPr="0071011C">
        <w:rPr>
          <w:lang w:val="de-DE"/>
        </w:rPr>
        <w:t xml:space="preserve">Innovationsvorstand Dr. Andreas Häberli zeigte den Teilnehmern eindrücklich auf, wie der digitale Wandel rasant Einzug in den Alltag eines Jeden nimmt und natürlich auch die Geschäftsprozesse und Business Modelle von Partnern und </w:t>
      </w:r>
      <w:proofErr w:type="spellStart"/>
      <w:r w:rsidRPr="0071011C">
        <w:rPr>
          <w:lang w:val="de-DE"/>
        </w:rPr>
        <w:t>dormakaba</w:t>
      </w:r>
      <w:proofErr w:type="spellEnd"/>
      <w:r w:rsidRPr="0071011C">
        <w:rPr>
          <w:lang w:val="de-DE"/>
        </w:rPr>
        <w:t xml:space="preserve"> nachhaltig verändert. Er betonte: „Wir wollen Konnektivität als digitalen Zwilling zu den Hardware-Produkten anbieten und entwickeln neue digitale Services mit Kundenmehrwert.“ Uwe Eisele, Leiter Marketing Deutschland, nannte in seinem Vortrag über Marketing 4.0 </w:t>
      </w:r>
      <w:proofErr w:type="spellStart"/>
      <w:r w:rsidRPr="0071011C">
        <w:rPr>
          <w:lang w:val="de-DE"/>
        </w:rPr>
        <w:t>Artificial</w:t>
      </w:r>
      <w:proofErr w:type="spellEnd"/>
      <w:r w:rsidRPr="0071011C">
        <w:rPr>
          <w:lang w:val="de-DE"/>
        </w:rPr>
        <w:t xml:space="preserve"> </w:t>
      </w:r>
      <w:proofErr w:type="spellStart"/>
      <w:r w:rsidRPr="0071011C">
        <w:rPr>
          <w:lang w:val="de-DE"/>
        </w:rPr>
        <w:t>Intelligence</w:t>
      </w:r>
      <w:proofErr w:type="spellEnd"/>
      <w:r w:rsidRPr="0071011C">
        <w:rPr>
          <w:lang w:val="de-DE"/>
        </w:rPr>
        <w:t xml:space="preserve">, Maschine Learning und Big Data als Treiber des digitalen Wandels. </w:t>
      </w:r>
      <w:r w:rsidR="00980FAD" w:rsidRPr="00980FAD">
        <w:rPr>
          <w:lang w:val="de-DE"/>
        </w:rPr>
        <w:t xml:space="preserve"> </w:t>
      </w:r>
    </w:p>
    <w:p w:rsidR="002C106F" w:rsidRDefault="002C106F" w:rsidP="000234B9">
      <w:pPr>
        <w:rPr>
          <w:lang w:val="de-DE"/>
        </w:rPr>
      </w:pPr>
    </w:p>
    <w:p w:rsidR="002C106F" w:rsidRPr="002C106F" w:rsidRDefault="0071011C" w:rsidP="002C106F">
      <w:pPr>
        <w:rPr>
          <w:lang w:val="de-DE"/>
        </w:rPr>
      </w:pPr>
      <w:r w:rsidRPr="0071011C">
        <w:rPr>
          <w:lang w:val="de-DE"/>
        </w:rPr>
        <w:t xml:space="preserve">Am zweiten Tag erläuterte Barbara Lemke, die Partnerprogramm Managerin, wie erfolgreich sich das </w:t>
      </w:r>
      <w:proofErr w:type="spellStart"/>
      <w:r w:rsidRPr="0071011C">
        <w:rPr>
          <w:lang w:val="de-DE"/>
        </w:rPr>
        <w:t>dormakaba</w:t>
      </w:r>
      <w:proofErr w:type="spellEnd"/>
      <w:r w:rsidRPr="0071011C">
        <w:rPr>
          <w:lang w:val="de-DE"/>
        </w:rPr>
        <w:t xml:space="preserve"> </w:t>
      </w:r>
      <w:proofErr w:type="spellStart"/>
      <w:r w:rsidRPr="0071011C">
        <w:rPr>
          <w:lang w:val="de-DE"/>
        </w:rPr>
        <w:t>leadership</w:t>
      </w:r>
      <w:proofErr w:type="spellEnd"/>
      <w:r w:rsidRPr="0071011C">
        <w:rPr>
          <w:lang w:val="de-DE"/>
        </w:rPr>
        <w:t xml:space="preserve"> </w:t>
      </w:r>
      <w:proofErr w:type="spellStart"/>
      <w:r w:rsidRPr="0071011C">
        <w:rPr>
          <w:lang w:val="de-DE"/>
        </w:rPr>
        <w:t>partner</w:t>
      </w:r>
      <w:proofErr w:type="spellEnd"/>
      <w:r w:rsidRPr="0071011C">
        <w:rPr>
          <w:lang w:val="de-DE"/>
        </w:rPr>
        <w:t xml:space="preserve"> </w:t>
      </w:r>
      <w:proofErr w:type="spellStart"/>
      <w:r w:rsidRPr="0071011C">
        <w:rPr>
          <w:lang w:val="de-DE"/>
        </w:rPr>
        <w:t>program</w:t>
      </w:r>
      <w:proofErr w:type="spellEnd"/>
      <w:r w:rsidRPr="0071011C">
        <w:rPr>
          <w:lang w:val="de-DE"/>
        </w:rPr>
        <w:t xml:space="preserve"> im ersten Jahr entwickelt hat und stellte neue Partner-Leistungen vor. Fachwissen konnten die Partner in den produkt- und lösungsbezogenen Marktplätzen vertiefen, die thematisch von Türtechnik über Automatiktüren, Flucht- und Rettungswege, Sicherheits- und Zutrittslösungen, </w:t>
      </w:r>
      <w:proofErr w:type="spellStart"/>
      <w:r w:rsidRPr="0071011C">
        <w:rPr>
          <w:lang w:val="de-DE"/>
        </w:rPr>
        <w:t>Glasbeschlagslösungen</w:t>
      </w:r>
      <w:proofErr w:type="spellEnd"/>
      <w:r w:rsidRPr="0071011C">
        <w:rPr>
          <w:lang w:val="de-DE"/>
        </w:rPr>
        <w:t xml:space="preserve"> bis hin zu Zeiterfassung reichten. Insgesamt war der Partnerkongress 2018 von </w:t>
      </w:r>
      <w:proofErr w:type="spellStart"/>
      <w:r w:rsidRPr="0071011C">
        <w:rPr>
          <w:lang w:val="de-DE"/>
        </w:rPr>
        <w:t>dormakaba</w:t>
      </w:r>
      <w:proofErr w:type="spellEnd"/>
      <w:r w:rsidRPr="0071011C">
        <w:rPr>
          <w:lang w:val="de-DE"/>
        </w:rPr>
        <w:t xml:space="preserve"> eine sehr erfolgreiche Veranstaltung, die von den Partnern als Informations- und </w:t>
      </w:r>
      <w:proofErr w:type="spellStart"/>
      <w:r w:rsidRPr="0071011C">
        <w:rPr>
          <w:lang w:val="de-DE"/>
        </w:rPr>
        <w:t>Networkingplattform</w:t>
      </w:r>
      <w:proofErr w:type="spellEnd"/>
      <w:r w:rsidRPr="0071011C">
        <w:rPr>
          <w:lang w:val="de-DE"/>
        </w:rPr>
        <w:t xml:space="preserve"> </w:t>
      </w:r>
      <w:proofErr w:type="gramStart"/>
      <w:r w:rsidRPr="0071011C">
        <w:rPr>
          <w:lang w:val="de-DE"/>
        </w:rPr>
        <w:t>hoch geschätzt</w:t>
      </w:r>
      <w:proofErr w:type="gramEnd"/>
      <w:r w:rsidRPr="0071011C">
        <w:rPr>
          <w:lang w:val="de-DE"/>
        </w:rPr>
        <w:t xml:space="preserve"> wird.  </w:t>
      </w:r>
      <w:r w:rsidR="00980FAD" w:rsidRPr="00980FAD">
        <w:rPr>
          <w:lang w:val="de-DE"/>
        </w:rPr>
        <w:t xml:space="preserve"> </w:t>
      </w:r>
      <w:r w:rsidR="002C106F" w:rsidRPr="002C106F">
        <w:rPr>
          <w:lang w:val="de-DE"/>
        </w:rPr>
        <w:t xml:space="preserve"> </w:t>
      </w:r>
    </w:p>
    <w:p w:rsidR="002C106F" w:rsidRDefault="002C106F" w:rsidP="002C106F">
      <w:pPr>
        <w:rPr>
          <w:lang w:val="de-DE"/>
        </w:rPr>
      </w:pPr>
    </w:p>
    <w:p w:rsidR="00215538" w:rsidRPr="002E3238" w:rsidRDefault="002E3238" w:rsidP="00566625">
      <w:pPr>
        <w:rPr>
          <w:lang w:val="de-DE"/>
        </w:rPr>
      </w:pPr>
      <w:bookmarkStart w:id="0" w:name="_GoBack"/>
      <w:bookmarkEnd w:id="0"/>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rsidR="00566625" w:rsidRDefault="002E3238" w:rsidP="00566625">
      <w:pPr>
        <w:rPr>
          <w:lang w:val="de-DE"/>
        </w:rPr>
      </w:pPr>
      <w:r w:rsidRPr="002E3238">
        <w:rPr>
          <w:lang w:val="de-DE"/>
        </w:rPr>
        <w:tab/>
      </w:r>
      <w:r w:rsidR="00E8419C">
        <w:rPr>
          <w:lang w:val="de-DE"/>
        </w:rPr>
        <w:t>Presse- und Öffentlichkeitsarbeit</w:t>
      </w:r>
    </w:p>
    <w:p w:rsidR="00FD7353" w:rsidRDefault="00BF2E59" w:rsidP="00566625">
      <w:pPr>
        <w:rPr>
          <w:lang w:val="de-DE"/>
        </w:rPr>
      </w:pPr>
      <w:r w:rsidRPr="00BF2E59">
        <w:rPr>
          <w:lang w:val="de-DE"/>
        </w:rPr>
        <w:t xml:space="preserve"> </w:t>
      </w:r>
      <w:r>
        <w:rPr>
          <w:lang w:val="de-DE"/>
        </w:rPr>
        <w:tab/>
      </w:r>
      <w:proofErr w:type="spellStart"/>
      <w:r w:rsidRPr="00BF2E59">
        <w:rPr>
          <w:lang w:val="de-DE"/>
        </w:rPr>
        <w:t>Albertistraße</w:t>
      </w:r>
      <w:proofErr w:type="spellEnd"/>
      <w:r w:rsidRPr="00BF2E59">
        <w:rPr>
          <w:lang w:val="de-DE"/>
        </w:rPr>
        <w:t xml:space="preserve"> 3</w:t>
      </w:r>
    </w:p>
    <w:p w:rsidR="00BF2E59" w:rsidRPr="002E3238" w:rsidRDefault="00BF2E59" w:rsidP="00566625">
      <w:pPr>
        <w:rPr>
          <w:lang w:val="de-DE"/>
        </w:rPr>
      </w:pPr>
      <w:r>
        <w:rPr>
          <w:lang w:val="de-DE"/>
        </w:rPr>
        <w:tab/>
        <w:t>78056 Villingen-Schwenningen</w:t>
      </w:r>
    </w:p>
    <w:p w:rsidR="00E8419C" w:rsidRDefault="00566625" w:rsidP="00566625">
      <w:pPr>
        <w:rPr>
          <w:lang w:val="de-DE"/>
        </w:rPr>
      </w:pPr>
      <w:r w:rsidRPr="002E3238">
        <w:rPr>
          <w:lang w:val="de-DE"/>
        </w:rPr>
        <w:tab/>
      </w:r>
      <w:r w:rsidR="00E8419C">
        <w:rPr>
          <w:lang w:val="de-DE"/>
        </w:rPr>
        <w:t>T: +49 6103 9907 455</w:t>
      </w:r>
    </w:p>
    <w:p w:rsidR="00566625" w:rsidRDefault="00566625" w:rsidP="00566625">
      <w:pPr>
        <w:rPr>
          <w:lang w:val="de-DE"/>
        </w:rPr>
      </w:pPr>
      <w:r w:rsidRPr="00FE31BA">
        <w:rPr>
          <w:lang w:val="de-DE"/>
        </w:rPr>
        <w:tab/>
      </w:r>
      <w:hyperlink r:id="rId7" w:history="1">
        <w:r w:rsidR="00BF2E59" w:rsidRPr="009562D9">
          <w:rPr>
            <w:rStyle w:val="Hyperlink"/>
            <w:lang w:val="de-DE"/>
          </w:rPr>
          <w:t>petra.eisenbeis-trinkle@dormakaba.com</w:t>
        </w:r>
      </w:hyperlink>
    </w:p>
    <w:p w:rsidR="00BF2E59" w:rsidRPr="002E3238" w:rsidRDefault="00BF2E59" w:rsidP="00566625">
      <w:pPr>
        <w:rPr>
          <w:lang w:val="de-DE"/>
        </w:rPr>
      </w:pPr>
      <w:r>
        <w:rPr>
          <w:lang w:val="de-DE"/>
        </w:rPr>
        <w:tab/>
        <w:t>www.dormakaba.de</w:t>
      </w:r>
    </w:p>
    <w:p w:rsidR="00566625" w:rsidRPr="002E3238" w:rsidRDefault="00566625" w:rsidP="00566625">
      <w:pPr>
        <w:rPr>
          <w:lang w:val="de-DE"/>
        </w:rPr>
      </w:pPr>
    </w:p>
    <w:p w:rsidR="002E3238" w:rsidRDefault="00FD7353" w:rsidP="002E3238">
      <w:pPr>
        <w:rPr>
          <w:rFonts w:ascii="Arial" w:hAnsi="Arial" w:cs="Arial"/>
          <w:lang w:val="de-CH"/>
        </w:rPr>
      </w:pPr>
      <w:r w:rsidRPr="00FD7353">
        <w:rPr>
          <w:rFonts w:ascii="Arial" w:hAnsi="Arial" w:cs="Arial"/>
          <w:lang w:val="de-CH"/>
        </w:rPr>
        <w:t xml:space="preserve">Die </w:t>
      </w:r>
      <w:proofErr w:type="spellStart"/>
      <w:r w:rsidRPr="00FD7353">
        <w:rPr>
          <w:rFonts w:ascii="Arial" w:hAnsi="Arial" w:cs="Arial"/>
          <w:lang w:val="de-CH"/>
        </w:rPr>
        <w:t>dormakaba</w:t>
      </w:r>
      <w:proofErr w:type="spellEnd"/>
      <w:r w:rsidRPr="00FD7353">
        <w:rPr>
          <w:rFonts w:ascii="Arial" w:hAnsi="Arial" w:cs="Arial"/>
          <w:lang w:val="de-CH"/>
        </w:rPr>
        <w:t xml:space="preserve"> Gruppe ist einer der Top-3-Anbieter im globalen Markt für Zutritts- und Sicherheitslösungen. Mit starken Marken wie Dorma und Kaba im Portfolio bietet das Unternehmen Produkte, Lösungen und Services rund um die Türe und sicheren Zutritt zu Gebäuden und Räumen aus einer Hand. </w:t>
      </w:r>
      <w:proofErr w:type="spellStart"/>
      <w:r w:rsidRPr="00FD7353">
        <w:rPr>
          <w:rFonts w:ascii="Arial" w:hAnsi="Arial" w:cs="Arial"/>
          <w:lang w:val="de-CH"/>
        </w:rPr>
        <w:t>dormakaba</w:t>
      </w:r>
      <w:proofErr w:type="spellEnd"/>
      <w:r w:rsidRPr="00FD7353">
        <w:rPr>
          <w:rFonts w:ascii="Arial" w:hAnsi="Arial" w:cs="Arial"/>
          <w:lang w:val="de-CH"/>
        </w:rPr>
        <w:t xml:space="preserve"> ist mit eigenen Aktivitäten und zahlreichen Kooperationspartnern in über 130 Ländern weltweit vertreten. In Deutschland arbeiten </w:t>
      </w:r>
      <w:r w:rsidR="008C62FC">
        <w:rPr>
          <w:rFonts w:ascii="Arial" w:hAnsi="Arial" w:cs="Arial"/>
          <w:lang w:val="de-CH"/>
        </w:rPr>
        <w:t>ca.</w:t>
      </w:r>
      <w:r w:rsidRPr="00FD7353">
        <w:rPr>
          <w:rFonts w:ascii="Arial" w:hAnsi="Arial" w:cs="Arial"/>
          <w:lang w:val="de-CH"/>
        </w:rPr>
        <w:t>3.</w:t>
      </w:r>
      <w:r w:rsidR="008C62FC">
        <w:rPr>
          <w:rFonts w:ascii="Arial" w:hAnsi="Arial" w:cs="Arial"/>
          <w:lang w:val="de-CH"/>
        </w:rPr>
        <w:t>8</w:t>
      </w:r>
      <w:r w:rsidRPr="00FD7353">
        <w:rPr>
          <w:rFonts w:ascii="Arial" w:hAnsi="Arial" w:cs="Arial"/>
          <w:lang w:val="de-CH"/>
        </w:rPr>
        <w:t xml:space="preserve">00 Mitarbeiter für </w:t>
      </w:r>
      <w:proofErr w:type="spellStart"/>
      <w:r w:rsidRPr="00FD7353">
        <w:rPr>
          <w:rFonts w:ascii="Arial" w:hAnsi="Arial" w:cs="Arial"/>
          <w:lang w:val="de-CH"/>
        </w:rPr>
        <w:t>dormakaba</w:t>
      </w:r>
      <w:proofErr w:type="spellEnd"/>
      <w:r w:rsidRPr="00FD7353">
        <w:rPr>
          <w:rFonts w:ascii="Arial" w:hAnsi="Arial" w:cs="Arial"/>
          <w:lang w:val="de-CH"/>
        </w:rPr>
        <w:t xml:space="preserve">. Die </w:t>
      </w:r>
      <w:proofErr w:type="spellStart"/>
      <w:r w:rsidRPr="00FD7353">
        <w:rPr>
          <w:rFonts w:ascii="Arial" w:hAnsi="Arial" w:cs="Arial"/>
          <w:lang w:val="de-CH"/>
        </w:rPr>
        <w:t>dormakaba</w:t>
      </w:r>
      <w:proofErr w:type="spellEnd"/>
      <w:r w:rsidRPr="00FD7353">
        <w:rPr>
          <w:rFonts w:ascii="Arial" w:hAnsi="Arial" w:cs="Arial"/>
          <w:lang w:val="de-CH"/>
        </w:rPr>
        <w:t xml:space="preserve"> Gruppe ist an der SIX Swiss Exchange notiert, hat ihren Sitz in Rümlang (Zürich/Schweiz) und erwirtschaftete im Geschäftsjahr 201</w:t>
      </w:r>
      <w:r w:rsidR="00FB6A23">
        <w:rPr>
          <w:rFonts w:ascii="Arial" w:hAnsi="Arial" w:cs="Arial"/>
          <w:lang w:val="de-CH"/>
        </w:rPr>
        <w:t>6</w:t>
      </w:r>
      <w:r w:rsidRPr="00FD7353">
        <w:rPr>
          <w:rFonts w:ascii="Arial" w:hAnsi="Arial" w:cs="Arial"/>
          <w:lang w:val="de-CH"/>
        </w:rPr>
        <w:t>/201</w:t>
      </w:r>
      <w:r w:rsidR="00FB6A23">
        <w:rPr>
          <w:rFonts w:ascii="Arial" w:hAnsi="Arial" w:cs="Arial"/>
          <w:lang w:val="de-CH"/>
        </w:rPr>
        <w:t>7</w:t>
      </w:r>
      <w:r w:rsidRPr="00FD7353">
        <w:rPr>
          <w:rFonts w:ascii="Arial" w:hAnsi="Arial" w:cs="Arial"/>
          <w:lang w:val="de-CH"/>
        </w:rPr>
        <w:t xml:space="preserve"> mit knapp 16.000 Mitarbeitenden einen Umsatz von mehr als CHF 2,</w:t>
      </w:r>
      <w:r w:rsidR="00FB6A23">
        <w:rPr>
          <w:rFonts w:ascii="Arial" w:hAnsi="Arial" w:cs="Arial"/>
          <w:lang w:val="de-CH"/>
        </w:rPr>
        <w:t>5</w:t>
      </w:r>
      <w:r w:rsidRPr="00FD7353">
        <w:rPr>
          <w:rFonts w:ascii="Arial" w:hAnsi="Arial" w:cs="Arial"/>
          <w:lang w:val="de-CH"/>
        </w:rPr>
        <w:t xml:space="preserve"> Mrd. </w:t>
      </w:r>
    </w:p>
    <w:p w:rsidR="002E3238" w:rsidRDefault="002E3238" w:rsidP="002E3238">
      <w:pPr>
        <w:rPr>
          <w:rFonts w:ascii="Arial" w:hAnsi="Arial" w:cs="Arial"/>
          <w:lang w:val="de-CH"/>
        </w:rPr>
      </w:pPr>
    </w:p>
    <w:p w:rsidR="002E3238" w:rsidRPr="00BB2FEC" w:rsidRDefault="002E3238" w:rsidP="002E3238">
      <w:pPr>
        <w:autoSpaceDE w:val="0"/>
        <w:autoSpaceDN w:val="0"/>
        <w:adjustRightInd w:val="0"/>
        <w:spacing w:line="240" w:lineRule="auto"/>
        <w:rPr>
          <w:rFonts w:ascii="Arial" w:hAnsi="Arial" w:cs="Arial"/>
          <w:lang w:val="de-CH"/>
        </w:rPr>
      </w:pPr>
      <w:r w:rsidRPr="00BB2FEC">
        <w:rPr>
          <w:rFonts w:ascii="Arial" w:hAnsi="Arial" w:cs="Arial"/>
          <w:lang w:val="de-CH"/>
        </w:rPr>
        <w:t>SIX Swiss Exchange: DOKA (</w:t>
      </w:r>
      <w:r>
        <w:rPr>
          <w:rFonts w:ascii="Arial" w:hAnsi="Arial" w:cs="Arial"/>
          <w:lang w:val="de-CH"/>
        </w:rPr>
        <w:t>vormals</w:t>
      </w:r>
      <w:r w:rsidRPr="00BB2FEC">
        <w:rPr>
          <w:rFonts w:ascii="Arial" w:hAnsi="Arial" w:cs="Arial"/>
          <w:lang w:val="de-CH"/>
        </w:rPr>
        <w:t>: KABN / KABNE)</w:t>
      </w:r>
    </w:p>
    <w:p w:rsidR="00566625" w:rsidRPr="00FE31BA" w:rsidRDefault="002E3238" w:rsidP="00FE31BA">
      <w:pPr>
        <w:autoSpaceDE w:val="0"/>
        <w:autoSpaceDN w:val="0"/>
        <w:adjustRightInd w:val="0"/>
        <w:spacing w:line="240" w:lineRule="auto"/>
        <w:rPr>
          <w:rFonts w:ascii="Arial" w:hAnsi="Arial" w:cs="Arial"/>
          <w:lang w:val="de-CH"/>
        </w:rPr>
      </w:pPr>
      <w:r w:rsidRPr="001E2AE3">
        <w:rPr>
          <w:rFonts w:ascii="Arial" w:hAnsi="Arial" w:cs="Arial"/>
          <w:lang w:val="de-CH"/>
        </w:rPr>
        <w:t xml:space="preserve">Mehr Informationen unter </w:t>
      </w:r>
      <w:hyperlink r:id="rId8" w:history="1">
        <w:r w:rsidRPr="001E2AE3">
          <w:rPr>
            <w:rFonts w:ascii="Arial" w:hAnsi="Arial" w:cs="Arial"/>
            <w:lang w:val="de-CH"/>
          </w:rPr>
          <w:t>www.dormakaba.com</w:t>
        </w:r>
      </w:hyperlink>
    </w:p>
    <w:p w:rsidR="00566625" w:rsidRDefault="00566625" w:rsidP="00566625">
      <w:pPr>
        <w:spacing w:after="560"/>
      </w:pPr>
      <w:r>
        <w:rPr>
          <w:noProof/>
          <w:lang w:val="de-DE" w:eastAsia="de-DE"/>
        </w:rPr>
        <mc:AlternateContent>
          <mc:Choice Requires="wps">
            <w:drawing>
              <wp:inline distT="0" distB="0" distL="0" distR="0">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98FEE44"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rsidR="0032694F" w:rsidRPr="0032694F"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r w:rsidRPr="00FE31BA">
        <w:rPr>
          <w:rFonts w:ascii="Arial" w:hAnsi="Arial" w:cs="Arial"/>
          <w:sz w:val="15"/>
          <w:szCs w:val="15"/>
          <w:lang w:val="de-DE"/>
        </w:rPr>
        <w:t xml:space="preserve">Diese Kommunikation enthält bestimmte, in die Zukunft gerichtete Aussagen, z.B., aber nicht nur, Angaben unter Verwendung der Worte "glaubt", "geht davon aus", "erwartet" oder Formulierungen ähnlicher Art. Solche in die Zukunft gerichteten Aussagen werden auf der Grundlage von Annahmen und Erwartungen gemacht, von denen die Gesellschaft ausgeht, dass sie begründet sind, die sich aber als falsch herausstellen können. Sie sind mit der gebotenen Vorsicht zur Kenntnis zu nehmen, da sie </w:t>
      </w:r>
      <w:proofErr w:type="spellStart"/>
      <w:r w:rsidRPr="00FE31BA">
        <w:rPr>
          <w:rFonts w:ascii="Arial" w:hAnsi="Arial" w:cs="Arial"/>
          <w:sz w:val="15"/>
          <w:szCs w:val="15"/>
          <w:lang w:val="de-DE"/>
        </w:rPr>
        <w:t>naturgemäss</w:t>
      </w:r>
      <w:proofErr w:type="spellEnd"/>
      <w:r w:rsidRPr="00FE31BA">
        <w:rPr>
          <w:rFonts w:ascii="Arial" w:hAnsi="Arial" w:cs="Arial"/>
          <w:sz w:val="15"/>
          <w:szCs w:val="15"/>
          <w:lang w:val="de-DE"/>
        </w:rPr>
        <w:t xml:space="preserve"> bekannten und unbekannten Risiken, Ungewissheiten und anderen Faktoren unterliegen, die dazu führen können, dass die tatsächlichen Ergebnisse, die Finanzlage, die Entwicklung oder die Performance der Gesellschaft bzw. der Gruppe wesentlich von denjenigen abweichen, die in diesen Aussagen ausdrücklich oder implizit angenommen werden. Zu diesen Faktoren gehören unter anderem, aber nicht nur:</w:t>
      </w:r>
      <w:r w:rsidRPr="00FE31BA">
        <w:rPr>
          <w:lang w:val="de-DE"/>
        </w:rPr>
        <w:t xml:space="preserve">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allgemeine Wirtschaftslage,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der Wettbewerb mit anderen Unternehmen,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Auswirkungen und Risiken neuer Technologien,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laufenden Kapitalbedürfnisse der Gesellschaft,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Finanzierungskosten,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Verzögerungen bei der Integration des Zusammenschlusses oder von Akquisitionen,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Änderungen des Betriebsaufwands,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Währungsschwankungen und Schwankungen bei Rohstoffpreisen,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Gewinnung und das Halten qualifizierter Mitarbeitender,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politische Risiken in Ländern, in denen das Unternehmen tätig ist,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Änderungen des anwendbaren Rechts,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die Realisierung von Synergien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und sonstige in dieser Kommunikation genannte Faktoren.</w:t>
      </w:r>
      <w:r w:rsidRPr="00FE31BA">
        <w:rPr>
          <w:lang w:val="de-DE"/>
        </w:rPr>
        <w:t xml:space="preserve"> </w:t>
      </w:r>
      <w:r w:rsidRPr="00FE31BA">
        <w:rPr>
          <w:lang w:val="de-DE"/>
        </w:rPr>
        <w:br/>
      </w:r>
      <w:r w:rsidRPr="00FE31BA">
        <w:rPr>
          <w:rFonts w:ascii="Arial" w:hAnsi="Arial" w:cs="Arial"/>
          <w:sz w:val="15"/>
          <w:szCs w:val="15"/>
          <w:lang w:val="de-DE"/>
        </w:rPr>
        <w:t xml:space="preserve">Sollten sich eines oder mehrere dieser Risiken, Ungewissheiten oder anderen Faktoren verwirklichen, oder sollte sich eine der </w:t>
      </w:r>
      <w:proofErr w:type="gramStart"/>
      <w:r w:rsidRPr="00FE31BA">
        <w:rPr>
          <w:rFonts w:ascii="Arial" w:hAnsi="Arial" w:cs="Arial"/>
          <w:sz w:val="15"/>
          <w:szCs w:val="15"/>
          <w:lang w:val="de-DE"/>
        </w:rPr>
        <w:t>zugrunde</w:t>
      </w:r>
      <w:r w:rsidR="00CB48A1">
        <w:rPr>
          <w:rFonts w:ascii="Arial" w:hAnsi="Arial" w:cs="Arial"/>
          <w:sz w:val="15"/>
          <w:szCs w:val="15"/>
          <w:lang w:val="de-DE"/>
        </w:rPr>
        <w:t xml:space="preserve"> </w:t>
      </w:r>
      <w:r w:rsidRPr="00FE31BA">
        <w:rPr>
          <w:rFonts w:ascii="Arial" w:hAnsi="Arial" w:cs="Arial"/>
          <w:sz w:val="15"/>
          <w:szCs w:val="15"/>
          <w:lang w:val="de-DE"/>
        </w:rPr>
        <w:t>liegenden</w:t>
      </w:r>
      <w:proofErr w:type="gramEnd"/>
      <w:r w:rsidRPr="00FE31BA">
        <w:rPr>
          <w:rFonts w:ascii="Arial" w:hAnsi="Arial" w:cs="Arial"/>
          <w:sz w:val="15"/>
          <w:szCs w:val="15"/>
          <w:lang w:val="de-DE"/>
        </w:rPr>
        <w:t xml:space="preserve"> Annahmen oder Erwartungen als falsch herausstellen, können die Ergebnisse </w:t>
      </w:r>
      <w:proofErr w:type="spellStart"/>
      <w:r w:rsidRPr="00FE31BA">
        <w:rPr>
          <w:rFonts w:ascii="Arial" w:hAnsi="Arial" w:cs="Arial"/>
          <w:sz w:val="15"/>
          <w:szCs w:val="15"/>
          <w:lang w:val="de-DE"/>
        </w:rPr>
        <w:t>massgeblich</w:t>
      </w:r>
      <w:proofErr w:type="spellEnd"/>
      <w:r w:rsidRPr="00FE31BA">
        <w:rPr>
          <w:rFonts w:ascii="Arial" w:hAnsi="Arial" w:cs="Arial"/>
          <w:sz w:val="15"/>
          <w:szCs w:val="15"/>
          <w:lang w:val="de-DE"/>
        </w:rPr>
        <w:t xml:space="preserve"> von den angegebenen abweichen. Vor dem Hintergrund dieser Risiken, Ungewissheiten oder anderen Faktoren sollte sich der Leser nicht auf derartige in die Zukunft gerichtete Aussagen verlassen. Die Gesellschaft übernimmt keinerlei über das Gesetz hinausgehende Verpflichtung, solche zukunftsgerichteten Aussagen zu aktualisieren oder zu revidieren oder an zukünftige Ereignisse oder Entwicklungen anzupassen. Die Gesellschaft weist darauf hin, dass die Ergebnisse in der Vergangenheit nicht aussagekräftig bezüglich zukünftiger Ergebnisse sind. Zu beachten ist zudem, dass Zwischenergebnisse nicht zwingend indikativ für die Jahresendergebnisse sind. Leser sollten sich an einen unabhängigen Finanzberater wenden. Diese Kommunikation ist weder ein Angebot noch eine Aufforderung zum Verkauf oder Kauf von Effekten der </w:t>
      </w:r>
      <w:proofErr w:type="spellStart"/>
      <w:r w:rsidR="00705198">
        <w:rPr>
          <w:rFonts w:ascii="Arial" w:hAnsi="Arial" w:cs="Arial"/>
          <w:sz w:val="15"/>
          <w:szCs w:val="15"/>
          <w:lang w:val="de-DE"/>
        </w:rPr>
        <w:t>dormakaba</w:t>
      </w:r>
      <w:proofErr w:type="spellEnd"/>
      <w:r w:rsidRPr="00FE31BA">
        <w:rPr>
          <w:rFonts w:ascii="Arial" w:hAnsi="Arial" w:cs="Arial"/>
          <w:sz w:val="15"/>
          <w:szCs w:val="15"/>
          <w:lang w:val="de-DE"/>
        </w:rPr>
        <w:t xml:space="preserve"> in irgendeinem Rechtssystem. </w:t>
      </w:r>
      <w:proofErr w:type="spellStart"/>
      <w:r w:rsidRPr="00FE31BA">
        <w:rPr>
          <w:rFonts w:ascii="Arial" w:hAnsi="Arial" w:cs="Arial"/>
          <w:sz w:val="15"/>
          <w:szCs w:val="15"/>
          <w:lang w:val="de-DE"/>
        </w:rPr>
        <w:t>dormakaba</w:t>
      </w:r>
      <w:proofErr w:type="spellEnd"/>
      <w:r w:rsidRPr="00FE31BA">
        <w:rPr>
          <w:rFonts w:ascii="Arial" w:hAnsi="Arial" w:cs="Arial"/>
          <w:sz w:val="15"/>
          <w:szCs w:val="15"/>
          <w:lang w:val="de-DE"/>
        </w:rPr>
        <w:t xml:space="preserve">®, </w:t>
      </w:r>
      <w:proofErr w:type="spellStart"/>
      <w:r w:rsidR="00DC33F3" w:rsidRPr="00FE31BA">
        <w:rPr>
          <w:rFonts w:ascii="Arial" w:hAnsi="Arial" w:cs="Arial"/>
          <w:sz w:val="15"/>
          <w:szCs w:val="15"/>
          <w:lang w:val="de-DE"/>
        </w:rPr>
        <w:t>dorma</w:t>
      </w:r>
      <w:proofErr w:type="spellEnd"/>
      <w:r w:rsidR="00DC33F3">
        <w:rPr>
          <w:rFonts w:ascii="Arial" w:hAnsi="Arial" w:cs="Arial"/>
          <w:sz w:val="15"/>
          <w:szCs w:val="15"/>
          <w:lang w:val="de-CH"/>
        </w:rPr>
        <w:t>-</w:t>
      </w:r>
      <w:proofErr w:type="spellStart"/>
      <w:r w:rsidR="00DC33F3" w:rsidRPr="00FE31BA">
        <w:rPr>
          <w:rFonts w:ascii="Arial" w:hAnsi="Arial" w:cs="Arial"/>
          <w:sz w:val="15"/>
          <w:szCs w:val="15"/>
          <w:lang w:val="de-DE"/>
        </w:rPr>
        <w:t>kaba</w:t>
      </w:r>
      <w:proofErr w:type="spellEnd"/>
      <w:r w:rsidR="00DC33F3" w:rsidRPr="00FE31BA">
        <w:rPr>
          <w:rFonts w:ascii="Arial" w:hAnsi="Arial" w:cs="Arial"/>
          <w:sz w:val="15"/>
          <w:szCs w:val="15"/>
          <w:lang w:val="de-DE"/>
        </w:rPr>
        <w:t xml:space="preserve">®, </w:t>
      </w:r>
      <w:r w:rsidRPr="00FE31BA">
        <w:rPr>
          <w:rFonts w:ascii="Arial" w:hAnsi="Arial" w:cs="Arial"/>
          <w:sz w:val="15"/>
          <w:szCs w:val="15"/>
          <w:lang w:val="de-DE"/>
        </w:rPr>
        <w:t xml:space="preserve">Kaba®, DORMA®, </w:t>
      </w:r>
      <w:proofErr w:type="spellStart"/>
      <w:r w:rsidRPr="00FE31BA">
        <w:rPr>
          <w:rFonts w:ascii="Arial" w:hAnsi="Arial" w:cs="Arial"/>
          <w:sz w:val="15"/>
          <w:szCs w:val="15"/>
          <w:lang w:val="de-DE"/>
        </w:rPr>
        <w:t>Com</w:t>
      </w:r>
      <w:proofErr w:type="spellEnd"/>
      <w:r w:rsidRPr="00FE31BA">
        <w:rPr>
          <w:rFonts w:ascii="Arial" w:hAnsi="Arial" w:cs="Arial"/>
          <w:sz w:val="15"/>
          <w:szCs w:val="15"/>
          <w:lang w:val="de-DE"/>
        </w:rPr>
        <w:t xml:space="preserve">-ID®, </w:t>
      </w:r>
      <w:proofErr w:type="spellStart"/>
      <w:r w:rsidRPr="00FE31BA">
        <w:rPr>
          <w:rFonts w:ascii="Arial" w:hAnsi="Arial" w:cs="Arial"/>
          <w:sz w:val="15"/>
          <w:szCs w:val="15"/>
          <w:lang w:val="de-DE"/>
        </w:rPr>
        <w:t>Ilco</w:t>
      </w:r>
      <w:proofErr w:type="spellEnd"/>
      <w:r w:rsidRPr="00FE31BA">
        <w:rPr>
          <w:rFonts w:ascii="Arial" w:hAnsi="Arial" w:cs="Arial"/>
          <w:sz w:val="15"/>
          <w:szCs w:val="15"/>
          <w:lang w:val="de-DE"/>
        </w:rPr>
        <w:t xml:space="preserve">®, La Gard®, LEGIC®, SAFLOK®, </w:t>
      </w:r>
      <w:proofErr w:type="spellStart"/>
      <w:r w:rsidRPr="00FE31BA">
        <w:rPr>
          <w:rFonts w:ascii="Arial" w:hAnsi="Arial" w:cs="Arial"/>
          <w:sz w:val="15"/>
          <w:szCs w:val="15"/>
          <w:lang w:val="de-DE"/>
        </w:rPr>
        <w:t>Silca</w:t>
      </w:r>
      <w:proofErr w:type="spellEnd"/>
      <w:r w:rsidRPr="00FE31BA">
        <w:rPr>
          <w:rFonts w:ascii="Arial" w:hAnsi="Arial" w:cs="Arial"/>
          <w:sz w:val="15"/>
          <w:szCs w:val="15"/>
          <w:lang w:val="de-DE"/>
        </w:rPr>
        <w:t xml:space="preserve">® usw. sind geschützte Marken der </w:t>
      </w:r>
      <w:proofErr w:type="spellStart"/>
      <w:r w:rsidR="00705198">
        <w:rPr>
          <w:rFonts w:ascii="Arial" w:hAnsi="Arial" w:cs="Arial"/>
          <w:sz w:val="15"/>
          <w:szCs w:val="15"/>
          <w:lang w:val="de-DE"/>
        </w:rPr>
        <w:t>dormakaba</w:t>
      </w:r>
      <w:proofErr w:type="spellEnd"/>
      <w:r w:rsidRPr="00FE31BA">
        <w:rPr>
          <w:rFonts w:ascii="Arial" w:hAnsi="Arial" w:cs="Arial"/>
          <w:sz w:val="15"/>
          <w:szCs w:val="15"/>
          <w:lang w:val="de-DE"/>
        </w:rPr>
        <w:t xml:space="preserve"> Gruppe. Aufgrund länderspezifischer Anforderungen oder aus Vermarktungsüberlegungen sind nicht sämtliche Produkte in allen Ländern erhältlich.</w:t>
      </w:r>
    </w:p>
    <w:sectPr w:rsidR="0032694F" w:rsidRPr="0032694F" w:rsidSect="000423C8">
      <w:headerReference w:type="default" r:id="rId9"/>
      <w:footerReference w:type="default" r:id="rId10"/>
      <w:headerReference w:type="first" r:id="rId11"/>
      <w:footerReference w:type="first" r:id="rId12"/>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1A0" w:rsidRDefault="005221A0" w:rsidP="00E207FD">
      <w:pPr>
        <w:spacing w:line="240" w:lineRule="auto"/>
      </w:pPr>
      <w:r>
        <w:separator/>
      </w:r>
    </w:p>
  </w:endnote>
  <w:endnote w:type="continuationSeparator" w:id="0">
    <w:p w:rsidR="005221A0" w:rsidRDefault="005221A0"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60" w:rsidRPr="00203773" w:rsidRDefault="00203773" w:rsidP="00203773">
    <w:pPr>
      <w:pStyle w:val="Fuzeile"/>
      <w:rPr>
        <w:lang w:val="de-DE"/>
      </w:rPr>
    </w:pPr>
    <w:proofErr w:type="spellStart"/>
    <w:r>
      <w:rPr>
        <w:lang w:val="de-DE"/>
      </w:rPr>
      <w:t>dormakaba</w:t>
    </w:r>
    <w:proofErr w:type="spellEnd"/>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60" w:rsidRPr="00203773" w:rsidRDefault="00203773" w:rsidP="00203773">
    <w:pPr>
      <w:pStyle w:val="Fuzeile"/>
      <w:rPr>
        <w:lang w:val="de-DE"/>
      </w:rPr>
    </w:pPr>
    <w:proofErr w:type="spellStart"/>
    <w:r>
      <w:rPr>
        <w:lang w:val="de-DE"/>
      </w:rPr>
      <w:t>dormakaba</w:t>
    </w:r>
    <w:proofErr w:type="spellEnd"/>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1A0" w:rsidRDefault="005221A0" w:rsidP="00E207FD">
      <w:pPr>
        <w:spacing w:line="240" w:lineRule="auto"/>
      </w:pPr>
      <w:r>
        <w:separator/>
      </w:r>
    </w:p>
  </w:footnote>
  <w:footnote w:type="continuationSeparator" w:id="0">
    <w:p w:rsidR="005221A0" w:rsidRDefault="005221A0"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0BB" w:rsidRPr="006C10BB"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6C10BB" w:rsidTr="00FB5C11">
      <w:tc>
        <w:tcPr>
          <w:tcW w:w="3544" w:type="dxa"/>
        </w:tcPr>
        <w:p w:rsidR="006C10BB" w:rsidRDefault="006C10BB">
          <w:pPr>
            <w:pStyle w:val="Kopfzeile"/>
          </w:pPr>
        </w:p>
      </w:tc>
      <w:tc>
        <w:tcPr>
          <w:tcW w:w="1276" w:type="dxa"/>
        </w:tcPr>
        <w:p w:rsidR="006C10BB" w:rsidRDefault="006C10BB" w:rsidP="00773DE1">
          <w:pPr>
            <w:pStyle w:val="Kopfzeile"/>
            <w:jc w:val="right"/>
          </w:pPr>
        </w:p>
      </w:tc>
      <w:tc>
        <w:tcPr>
          <w:tcW w:w="1171" w:type="dxa"/>
        </w:tcPr>
        <w:p w:rsidR="006C10BB" w:rsidRDefault="006C10BB" w:rsidP="00773DE1">
          <w:pPr>
            <w:pStyle w:val="Kopfzeile"/>
            <w:jc w:val="right"/>
          </w:pPr>
        </w:p>
      </w:tc>
      <w:sdt>
        <w:sdtPr>
          <w:alias w:val="Logo"/>
          <w:tag w:val="Logo"/>
          <w:id w:val="-235942583"/>
          <w:lock w:val="sdtLocked"/>
          <w:docPartList>
            <w:docPartGallery w:val="Custom AutoText"/>
            <w:docPartCategory w:val="Logo"/>
          </w:docPartList>
        </w:sdtPr>
        <w:sdtEndPr/>
        <w:sdtContent>
          <w:tc>
            <w:tcPr>
              <w:tcW w:w="3302" w:type="dxa"/>
            </w:tcPr>
            <w:p w:rsidR="006C10BB" w:rsidRDefault="006C10BB" w:rsidP="00C05C5B">
              <w:pPr>
                <w:pStyle w:val="Kopfzeile"/>
                <w:jc w:val="right"/>
              </w:pPr>
              <w:r>
                <w:rPr>
                  <w:noProof/>
                  <w:lang w:val="de-DE" w:eastAsia="de-DE"/>
                </w:rPr>
                <w:drawing>
                  <wp:inline distT="0" distB="0" distL="0" distR="0" wp14:anchorId="536CF3AD" wp14:editId="15CD0D04">
                    <wp:extent cx="1800000" cy="194723"/>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rsidR="00773DE1" w:rsidRDefault="00773DE1">
    <w:pPr>
      <w:pStyle w:val="Kopfzeile"/>
    </w:pPr>
    <w:r>
      <w:fldChar w:fldCharType="end"/>
    </w:r>
  </w:p>
  <w:p w:rsidR="00773DE1" w:rsidRDefault="00773DE1" w:rsidP="00773DE1">
    <w:pPr>
      <w:pStyle w:val="Kopfzeile"/>
      <w:spacing w:after="400"/>
    </w:pPr>
  </w:p>
  <w:p w:rsidR="00E207FD" w:rsidRPr="00057D6F" w:rsidRDefault="002E3238" w:rsidP="00773DE1">
    <w:pPr>
      <w:pStyle w:val="Headertextsmall"/>
      <w:rPr>
        <w:lang w:val="de-DE"/>
      </w:rPr>
    </w:pPr>
    <w:r w:rsidRPr="00057D6F">
      <w:rPr>
        <w:lang w:val="de-DE"/>
      </w:rPr>
      <w:t xml:space="preserve">Seite </w:t>
    </w:r>
    <w:r w:rsidR="00773DE1">
      <w:fldChar w:fldCharType="begin"/>
    </w:r>
    <w:r w:rsidR="00773DE1" w:rsidRPr="00057D6F">
      <w:rPr>
        <w:lang w:val="de-DE"/>
      </w:rPr>
      <w:instrText xml:space="preserve"> PAGE   \* MERGEFORMAT </w:instrText>
    </w:r>
    <w:r w:rsidR="00773DE1">
      <w:fldChar w:fldCharType="separate"/>
    </w:r>
    <w:r w:rsidR="0071011C">
      <w:rPr>
        <w:noProof/>
        <w:lang w:val="de-DE"/>
      </w:rPr>
      <w:t>2</w:t>
    </w:r>
    <w:r w:rsidR="00773DE1">
      <w:fldChar w:fldCharType="end"/>
    </w:r>
    <w:r w:rsidR="00773DE1" w:rsidRPr="00057D6F">
      <w:rPr>
        <w:lang w:val="de-DE"/>
      </w:rPr>
      <w:t xml:space="preserve"> / </w:t>
    </w:r>
    <w:r w:rsidR="00AB7FF9">
      <w:fldChar w:fldCharType="begin"/>
    </w:r>
    <w:r w:rsidR="00AB7FF9" w:rsidRPr="00057D6F">
      <w:rPr>
        <w:lang w:val="de-DE"/>
      </w:rPr>
      <w:instrText xml:space="preserve"> NUMPAGES   \* MERGEFORMAT </w:instrText>
    </w:r>
    <w:r w:rsidR="00AB7FF9">
      <w:fldChar w:fldCharType="separate"/>
    </w:r>
    <w:r w:rsidR="0071011C">
      <w:rPr>
        <w:noProof/>
        <w:lang w:val="de-DE"/>
      </w:rPr>
      <w:t>2</w:t>
    </w:r>
    <w:r w:rsidR="00AB7FF9">
      <w:rPr>
        <w:noProof/>
      </w:rPr>
      <w:fldChar w:fldCharType="end"/>
    </w:r>
  </w:p>
  <w:p w:rsidR="00980FAD" w:rsidRPr="00057D6F" w:rsidRDefault="0071011C" w:rsidP="00980FAD">
    <w:pPr>
      <w:pStyle w:val="Headertextsmall"/>
      <w:rPr>
        <w:lang w:val="de-DE"/>
      </w:rPr>
    </w:pPr>
    <w:r>
      <w:rPr>
        <w:lang w:val="de-DE"/>
      </w:rPr>
      <w:t>Partnerkongress 2018</w:t>
    </w:r>
  </w:p>
  <w:p w:rsidR="00980FAD" w:rsidRPr="00057D6F" w:rsidRDefault="00980FAD" w:rsidP="00980FAD">
    <w:pPr>
      <w:pStyle w:val="Kopfzeile"/>
      <w:rPr>
        <w:lang w:val="de-DE"/>
      </w:rPr>
    </w:pPr>
  </w:p>
  <w:p w:rsidR="000B3182" w:rsidRPr="00057D6F" w:rsidRDefault="000B3182" w:rsidP="000B3182">
    <w:pPr>
      <w:pStyle w:val="Headertextsmall"/>
      <w:rPr>
        <w:lang w:val="de-DE"/>
      </w:rPr>
    </w:pPr>
  </w:p>
  <w:p w:rsidR="000B3182" w:rsidRPr="00057D6F" w:rsidRDefault="000B3182" w:rsidP="000B3182">
    <w:pPr>
      <w:pStyle w:val="Kopfzeile"/>
      <w:rPr>
        <w:lang w:val="de-DE"/>
      </w:rPr>
    </w:pPr>
  </w:p>
  <w:p w:rsidR="00E86AA3" w:rsidRPr="00057D6F" w:rsidRDefault="00E86AA3" w:rsidP="00AD1730">
    <w:pPr>
      <w:pStyle w:val="Headertextsmall"/>
      <w:rPr>
        <w:lang w:val="de-DE"/>
      </w:rPr>
    </w:pPr>
  </w:p>
  <w:p w:rsidR="00E86AA3" w:rsidRPr="00057D6F"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rsidTr="00FB5C11">
      <w:tc>
        <w:tcPr>
          <w:tcW w:w="3544" w:type="dxa"/>
        </w:tcPr>
        <w:p w:rsidR="004732B5" w:rsidRDefault="004732B5">
          <w:pPr>
            <w:pStyle w:val="Kopfzeile"/>
          </w:pPr>
          <w:bookmarkStart w:id="1" w:name="Header"/>
        </w:p>
      </w:tc>
      <w:tc>
        <w:tcPr>
          <w:tcW w:w="1276" w:type="dxa"/>
        </w:tcPr>
        <w:p w:rsidR="004732B5" w:rsidRDefault="004732B5" w:rsidP="00773DE1">
          <w:pPr>
            <w:pStyle w:val="Kopfzeile"/>
            <w:jc w:val="right"/>
          </w:pPr>
        </w:p>
      </w:tc>
      <w:tc>
        <w:tcPr>
          <w:tcW w:w="1171" w:type="dxa"/>
        </w:tcPr>
        <w:p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rsidR="004732B5" w:rsidRDefault="00836148" w:rsidP="00C05C5B">
              <w:pPr>
                <w:pStyle w:val="Kopfzeile"/>
                <w:jc w:val="right"/>
              </w:pPr>
              <w:r>
                <w:rPr>
                  <w:noProof/>
                  <w:lang w:val="de-DE" w:eastAsia="de-DE"/>
                </w:rPr>
                <w:drawing>
                  <wp:inline distT="0" distB="0" distL="0" distR="0" wp14:anchorId="074B8945" wp14:editId="77DDE38B">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rsidR="0032694F" w:rsidRDefault="0032694F" w:rsidP="0032694F">
    <w:pPr>
      <w:pStyle w:val="Kopfzeile"/>
    </w:pPr>
  </w:p>
  <w:p w:rsidR="0032694F" w:rsidRDefault="0032694F" w:rsidP="0032694F">
    <w:pPr>
      <w:pStyle w:val="Kopfzeile"/>
      <w:spacing w:after="400"/>
    </w:pPr>
  </w:p>
  <w:p w:rsidR="0032694F" w:rsidRPr="00057D6F" w:rsidRDefault="0032694F" w:rsidP="0032694F">
    <w:pPr>
      <w:pStyle w:val="Headertextsmall"/>
      <w:rPr>
        <w:lang w:val="de-DE"/>
      </w:rPr>
    </w:pPr>
    <w:r w:rsidRPr="00057D6F">
      <w:rPr>
        <w:lang w:val="de-DE"/>
      </w:rPr>
      <w:t xml:space="preserve">Seite </w:t>
    </w:r>
    <w:r>
      <w:fldChar w:fldCharType="begin"/>
    </w:r>
    <w:r w:rsidRPr="00057D6F">
      <w:rPr>
        <w:lang w:val="de-DE"/>
      </w:rPr>
      <w:instrText xml:space="preserve"> PAGE   \* MERGEFORMAT </w:instrText>
    </w:r>
    <w:r>
      <w:fldChar w:fldCharType="separate"/>
    </w:r>
    <w:r w:rsidR="0071011C">
      <w:rPr>
        <w:noProof/>
        <w:lang w:val="de-DE"/>
      </w:rPr>
      <w:t>1</w:t>
    </w:r>
    <w:r>
      <w:fldChar w:fldCharType="end"/>
    </w:r>
    <w:r w:rsidRPr="00057D6F">
      <w:rPr>
        <w:lang w:val="de-DE"/>
      </w:rPr>
      <w:t xml:space="preserve"> / </w:t>
    </w:r>
    <w:r w:rsidR="00D33F94">
      <w:fldChar w:fldCharType="begin"/>
    </w:r>
    <w:r w:rsidR="00D33F94" w:rsidRPr="00057D6F">
      <w:rPr>
        <w:lang w:val="de-DE"/>
      </w:rPr>
      <w:instrText xml:space="preserve"> NUMPAGES   \* MERGEFORMAT </w:instrText>
    </w:r>
    <w:r w:rsidR="00D33F94">
      <w:fldChar w:fldCharType="separate"/>
    </w:r>
    <w:r w:rsidR="0071011C">
      <w:rPr>
        <w:noProof/>
        <w:lang w:val="de-DE"/>
      </w:rPr>
      <w:t>2</w:t>
    </w:r>
    <w:r w:rsidR="00D33F94">
      <w:rPr>
        <w:noProof/>
      </w:rPr>
      <w:fldChar w:fldCharType="end"/>
    </w:r>
  </w:p>
  <w:p w:rsidR="0032694F" w:rsidRPr="00057D6F" w:rsidRDefault="0071011C" w:rsidP="0032694F">
    <w:pPr>
      <w:pStyle w:val="Headertextsmall"/>
      <w:rPr>
        <w:lang w:val="de-DE"/>
      </w:rPr>
    </w:pPr>
    <w:r>
      <w:rPr>
        <w:lang w:val="de-DE"/>
      </w:rPr>
      <w:t>Partnerkongress 2018</w:t>
    </w:r>
  </w:p>
  <w:p w:rsidR="00E207FD" w:rsidRPr="00057D6F" w:rsidRDefault="00E207FD">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d52f7e4e-de10-4b68-be2c-a6c232d8e7f9}"/>
  </w:docVars>
  <w:rsids>
    <w:rsidRoot w:val="006C10BB"/>
    <w:rsid w:val="000234B9"/>
    <w:rsid w:val="00040684"/>
    <w:rsid w:val="000423C8"/>
    <w:rsid w:val="00042AD3"/>
    <w:rsid w:val="000500B7"/>
    <w:rsid w:val="00057D6F"/>
    <w:rsid w:val="000906A6"/>
    <w:rsid w:val="0009212C"/>
    <w:rsid w:val="000974CF"/>
    <w:rsid w:val="000B3182"/>
    <w:rsid w:val="00115749"/>
    <w:rsid w:val="00145178"/>
    <w:rsid w:val="0017519E"/>
    <w:rsid w:val="001C2C5A"/>
    <w:rsid w:val="001C3459"/>
    <w:rsid w:val="001C726C"/>
    <w:rsid w:val="001D49C0"/>
    <w:rsid w:val="001E5265"/>
    <w:rsid w:val="00203773"/>
    <w:rsid w:val="00213AE2"/>
    <w:rsid w:val="00213F16"/>
    <w:rsid w:val="00215538"/>
    <w:rsid w:val="00266447"/>
    <w:rsid w:val="002856C8"/>
    <w:rsid w:val="002935CE"/>
    <w:rsid w:val="002C106F"/>
    <w:rsid w:val="002E2EA4"/>
    <w:rsid w:val="002E3238"/>
    <w:rsid w:val="00305A55"/>
    <w:rsid w:val="0031158E"/>
    <w:rsid w:val="00314716"/>
    <w:rsid w:val="0032694F"/>
    <w:rsid w:val="00336EA9"/>
    <w:rsid w:val="00383A9C"/>
    <w:rsid w:val="003E1B2C"/>
    <w:rsid w:val="003E3CB5"/>
    <w:rsid w:val="0045053B"/>
    <w:rsid w:val="004617D4"/>
    <w:rsid w:val="004732B5"/>
    <w:rsid w:val="00474BEB"/>
    <w:rsid w:val="004D27F4"/>
    <w:rsid w:val="004D60B9"/>
    <w:rsid w:val="004E0B79"/>
    <w:rsid w:val="004E6AAF"/>
    <w:rsid w:val="00520226"/>
    <w:rsid w:val="005221A0"/>
    <w:rsid w:val="00527885"/>
    <w:rsid w:val="00562835"/>
    <w:rsid w:val="00566625"/>
    <w:rsid w:val="005803D2"/>
    <w:rsid w:val="0058429A"/>
    <w:rsid w:val="00587560"/>
    <w:rsid w:val="005B7BD1"/>
    <w:rsid w:val="005E77D4"/>
    <w:rsid w:val="006505A0"/>
    <w:rsid w:val="006549CA"/>
    <w:rsid w:val="00657234"/>
    <w:rsid w:val="00681E4B"/>
    <w:rsid w:val="0068214D"/>
    <w:rsid w:val="006B2C55"/>
    <w:rsid w:val="006C10BB"/>
    <w:rsid w:val="006D0D1A"/>
    <w:rsid w:val="006E5691"/>
    <w:rsid w:val="00705198"/>
    <w:rsid w:val="0071011C"/>
    <w:rsid w:val="007451A6"/>
    <w:rsid w:val="00773DE1"/>
    <w:rsid w:val="007A3A23"/>
    <w:rsid w:val="007A412B"/>
    <w:rsid w:val="007C57C7"/>
    <w:rsid w:val="0080305B"/>
    <w:rsid w:val="00836148"/>
    <w:rsid w:val="008438FE"/>
    <w:rsid w:val="008704FA"/>
    <w:rsid w:val="008B1574"/>
    <w:rsid w:val="008B3AAC"/>
    <w:rsid w:val="008C0C65"/>
    <w:rsid w:val="008C62FC"/>
    <w:rsid w:val="008E274A"/>
    <w:rsid w:val="0092565A"/>
    <w:rsid w:val="00942C79"/>
    <w:rsid w:val="00980FAD"/>
    <w:rsid w:val="00982F6F"/>
    <w:rsid w:val="009C2705"/>
    <w:rsid w:val="009C2A33"/>
    <w:rsid w:val="009C5814"/>
    <w:rsid w:val="009E22FF"/>
    <w:rsid w:val="009E7472"/>
    <w:rsid w:val="00A110D5"/>
    <w:rsid w:val="00A85710"/>
    <w:rsid w:val="00A86145"/>
    <w:rsid w:val="00A936CB"/>
    <w:rsid w:val="00AB7FF9"/>
    <w:rsid w:val="00AD1730"/>
    <w:rsid w:val="00AF11F1"/>
    <w:rsid w:val="00B17FE1"/>
    <w:rsid w:val="00B2207C"/>
    <w:rsid w:val="00BC147F"/>
    <w:rsid w:val="00BF2E59"/>
    <w:rsid w:val="00C05C5B"/>
    <w:rsid w:val="00C30742"/>
    <w:rsid w:val="00C53EDA"/>
    <w:rsid w:val="00C95A95"/>
    <w:rsid w:val="00CB48A1"/>
    <w:rsid w:val="00CF4C85"/>
    <w:rsid w:val="00D33F94"/>
    <w:rsid w:val="00D45A0B"/>
    <w:rsid w:val="00D527D6"/>
    <w:rsid w:val="00D621EA"/>
    <w:rsid w:val="00D657B2"/>
    <w:rsid w:val="00D733D0"/>
    <w:rsid w:val="00D83C2E"/>
    <w:rsid w:val="00DC33F3"/>
    <w:rsid w:val="00DE01F6"/>
    <w:rsid w:val="00DE1E32"/>
    <w:rsid w:val="00DF3B1B"/>
    <w:rsid w:val="00E07018"/>
    <w:rsid w:val="00E207FD"/>
    <w:rsid w:val="00E52AF0"/>
    <w:rsid w:val="00E8419C"/>
    <w:rsid w:val="00E853EE"/>
    <w:rsid w:val="00E86AA3"/>
    <w:rsid w:val="00EE3523"/>
    <w:rsid w:val="00F17412"/>
    <w:rsid w:val="00F234CA"/>
    <w:rsid w:val="00F461DA"/>
    <w:rsid w:val="00F6509E"/>
    <w:rsid w:val="00F8559E"/>
    <w:rsid w:val="00FA2AA7"/>
    <w:rsid w:val="00FB5C11"/>
    <w:rsid w:val="00FB6A23"/>
    <w:rsid w:val="00FD7353"/>
    <w:rsid w:val="00FE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F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6625"/>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makab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a.eisenbeis-trinkle@dormakab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Pressemeldungen\Pressemitteilung_Schlie&#223;technik%20Service-Funktion%20dormakaba.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Pressemitteilung_Schließtechnik Service-Funktion dormakaba</Template>
  <TotalTime>0</TotalTime>
  <Pages>2</Pages>
  <Words>939</Words>
  <Characters>5917</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2018-02-20T09:39:00Z</dcterms:created>
  <dcterms:modified xsi:type="dcterms:W3CDTF">2018-02-20T09:39:00Z</dcterms:modified>
</cp:coreProperties>
</file>