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AC877" w14:textId="77777777" w:rsidR="00FE3BF6" w:rsidRDefault="007F1E5D">
      <w:pPr>
        <w:spacing w:after="0" w:line="259" w:lineRule="auto"/>
        <w:ind w:left="6351" w:right="0" w:firstLine="0"/>
        <w:jc w:val="left"/>
      </w:pPr>
      <w:r>
        <w:rPr>
          <w:noProof/>
        </w:rPr>
        <w:drawing>
          <wp:inline distT="0" distB="0" distL="0" distR="0" wp14:anchorId="68F138AA" wp14:editId="0917B24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8896049" w14:textId="77777777" w:rsidR="00FE3BF6" w:rsidRDefault="007F1E5D">
      <w:pPr>
        <w:spacing w:after="105" w:line="259" w:lineRule="auto"/>
        <w:ind w:left="0" w:right="230" w:firstLine="0"/>
        <w:jc w:val="left"/>
      </w:pPr>
      <w:r>
        <w:rPr>
          <w:b/>
          <w:sz w:val="22"/>
        </w:rPr>
        <w:t xml:space="preserve"> </w:t>
      </w:r>
    </w:p>
    <w:p w14:paraId="793FAF4D" w14:textId="77777777" w:rsidR="00FE3BF6" w:rsidRDefault="007F1E5D">
      <w:pPr>
        <w:spacing w:after="105" w:line="259" w:lineRule="auto"/>
        <w:ind w:left="0" w:right="0" w:firstLine="0"/>
        <w:jc w:val="left"/>
      </w:pPr>
      <w:r>
        <w:rPr>
          <w:b/>
          <w:sz w:val="22"/>
        </w:rPr>
        <w:t xml:space="preserve">Pressemitteilung </w:t>
      </w:r>
    </w:p>
    <w:p w14:paraId="1B351490" w14:textId="77777777" w:rsidR="00FE3BF6" w:rsidRDefault="007F1E5D">
      <w:pPr>
        <w:spacing w:after="199" w:line="259" w:lineRule="auto"/>
        <w:ind w:left="0" w:right="0" w:firstLine="0"/>
        <w:jc w:val="left"/>
      </w:pPr>
      <w:r>
        <w:rPr>
          <w:b/>
          <w:sz w:val="22"/>
        </w:rPr>
        <w:t xml:space="preserve"> </w:t>
      </w:r>
      <w:bookmarkStart w:id="0" w:name="_Hlk26953000"/>
    </w:p>
    <w:bookmarkEnd w:id="0"/>
    <w:p w14:paraId="5E6287E4" w14:textId="272F333E" w:rsidR="00763F36" w:rsidRDefault="00F54AB5" w:rsidP="0067347D">
      <w:pPr>
        <w:rPr>
          <w:rFonts w:eastAsia="Times New Roman"/>
          <w:b/>
          <w:sz w:val="32"/>
          <w:szCs w:val="32"/>
        </w:rPr>
      </w:pPr>
      <w:r>
        <w:rPr>
          <w:rFonts w:eastAsia="Times New Roman"/>
          <w:b/>
          <w:sz w:val="32"/>
          <w:szCs w:val="32"/>
        </w:rPr>
        <w:t>Pflegemarkt</w:t>
      </w:r>
      <w:r w:rsidR="00323EFC">
        <w:rPr>
          <w:rFonts w:eastAsia="Times New Roman"/>
          <w:b/>
          <w:sz w:val="32"/>
          <w:szCs w:val="32"/>
        </w:rPr>
        <w:t xml:space="preserve"> 2030: </w:t>
      </w:r>
      <w:r w:rsidR="00222C09">
        <w:rPr>
          <w:rFonts w:eastAsia="Times New Roman"/>
          <w:b/>
          <w:sz w:val="32"/>
          <w:szCs w:val="32"/>
        </w:rPr>
        <w:t>S</w:t>
      </w:r>
      <w:r w:rsidR="00222C09" w:rsidRPr="00222C09">
        <w:rPr>
          <w:rFonts w:eastAsia="Times New Roman"/>
          <w:b/>
          <w:sz w:val="32"/>
          <w:szCs w:val="32"/>
        </w:rPr>
        <w:t>tationäre und ambulante Versorgung müssen Hand in Hand gehen</w:t>
      </w:r>
    </w:p>
    <w:p w14:paraId="58CD9CAD" w14:textId="3F955F18" w:rsidR="00202876" w:rsidRDefault="00202876" w:rsidP="00202876">
      <w:pPr>
        <w:pStyle w:val="Listenabsatz"/>
        <w:numPr>
          <w:ilvl w:val="0"/>
          <w:numId w:val="11"/>
        </w:numPr>
        <w:rPr>
          <w:rFonts w:ascii="Arial" w:eastAsia="Times New Roman" w:hAnsi="Arial" w:cs="Arial"/>
          <w:b/>
          <w:sz w:val="24"/>
          <w:szCs w:val="32"/>
        </w:rPr>
      </w:pPr>
      <w:r w:rsidRPr="00202876">
        <w:rPr>
          <w:rFonts w:ascii="Arial" w:eastAsia="Times New Roman" w:hAnsi="Arial" w:cs="Arial"/>
          <w:b/>
          <w:sz w:val="24"/>
          <w:szCs w:val="32"/>
        </w:rPr>
        <w:t>Investitionen in peripheren Lagen lohnen sich mehr</w:t>
      </w:r>
    </w:p>
    <w:p w14:paraId="606DF269" w14:textId="360657B0" w:rsidR="00202876" w:rsidRPr="00202876" w:rsidRDefault="00202876" w:rsidP="00202876">
      <w:pPr>
        <w:pStyle w:val="Listenabsatz"/>
        <w:numPr>
          <w:ilvl w:val="0"/>
          <w:numId w:val="11"/>
        </w:numPr>
        <w:rPr>
          <w:rFonts w:ascii="Arial" w:eastAsia="Times New Roman" w:hAnsi="Arial" w:cs="Arial"/>
          <w:b/>
          <w:sz w:val="24"/>
          <w:szCs w:val="32"/>
        </w:rPr>
      </w:pPr>
      <w:r w:rsidRPr="00202876">
        <w:rPr>
          <w:rFonts w:ascii="Arial" w:eastAsia="Times New Roman" w:hAnsi="Arial" w:cs="Arial"/>
          <w:b/>
          <w:sz w:val="24"/>
          <w:szCs w:val="32"/>
        </w:rPr>
        <w:t>Vereinheitlichte Rahmenbedingungen und Mietindexierung notwendig</w:t>
      </w:r>
    </w:p>
    <w:p w14:paraId="05041CC9" w14:textId="77777777" w:rsidR="00D520D4" w:rsidRPr="00D520D4" w:rsidRDefault="00D520D4" w:rsidP="00D520D4">
      <w:pPr>
        <w:ind w:left="0" w:firstLine="0"/>
      </w:pPr>
    </w:p>
    <w:p w14:paraId="09D0EE2A" w14:textId="2FA78D2B" w:rsidR="00B928BC" w:rsidRDefault="00565A8D" w:rsidP="00B928BC">
      <w:pPr>
        <w:rPr>
          <w:rStyle w:val="s10"/>
          <w:bCs/>
          <w:szCs w:val="24"/>
        </w:rPr>
      </w:pPr>
      <w:r>
        <w:rPr>
          <w:rStyle w:val="s10"/>
          <w:b/>
          <w:bCs/>
          <w:szCs w:val="24"/>
        </w:rPr>
        <w:t>Berlin, </w:t>
      </w:r>
      <w:r w:rsidR="00B928BC">
        <w:rPr>
          <w:rStyle w:val="s10"/>
          <w:b/>
          <w:bCs/>
          <w:szCs w:val="24"/>
        </w:rPr>
        <w:t>1</w:t>
      </w:r>
      <w:r w:rsidR="00AC798F">
        <w:rPr>
          <w:rStyle w:val="s10"/>
          <w:b/>
          <w:bCs/>
          <w:szCs w:val="24"/>
        </w:rPr>
        <w:t>3</w:t>
      </w:r>
      <w:r w:rsidR="00B928BC">
        <w:rPr>
          <w:rStyle w:val="s10"/>
          <w:b/>
          <w:bCs/>
          <w:szCs w:val="24"/>
        </w:rPr>
        <w:t>.05</w:t>
      </w:r>
      <w:r w:rsidR="00763F36">
        <w:rPr>
          <w:rStyle w:val="s10"/>
          <w:b/>
          <w:bCs/>
          <w:szCs w:val="24"/>
        </w:rPr>
        <w:t xml:space="preserve">.2020 </w:t>
      </w:r>
      <w:r w:rsidR="00612751">
        <w:rPr>
          <w:rStyle w:val="s10"/>
          <w:b/>
          <w:bCs/>
          <w:szCs w:val="24"/>
        </w:rPr>
        <w:t xml:space="preserve">– </w:t>
      </w:r>
      <w:r w:rsidR="00B928BC">
        <w:rPr>
          <w:rStyle w:val="s10"/>
          <w:bCs/>
          <w:szCs w:val="24"/>
        </w:rPr>
        <w:t xml:space="preserve">Deutschland benötigt bis 2030 bis zu </w:t>
      </w:r>
      <w:r w:rsidR="005B528D">
        <w:rPr>
          <w:rStyle w:val="s10"/>
          <w:bCs/>
          <w:szCs w:val="24"/>
        </w:rPr>
        <w:t xml:space="preserve">maximal </w:t>
      </w:r>
      <w:r w:rsidR="00B928BC">
        <w:rPr>
          <w:rStyle w:val="s10"/>
          <w:bCs/>
          <w:szCs w:val="24"/>
        </w:rPr>
        <w:t>293.000 zusätzliche Pflegeheimplätze</w:t>
      </w:r>
      <w:r w:rsidR="003E742E">
        <w:rPr>
          <w:rStyle w:val="s10"/>
          <w:bCs/>
          <w:szCs w:val="24"/>
        </w:rPr>
        <w:t>.</w:t>
      </w:r>
      <w:r w:rsidR="00B928BC">
        <w:rPr>
          <w:rStyle w:val="s10"/>
          <w:bCs/>
          <w:szCs w:val="24"/>
        </w:rPr>
        <w:t xml:space="preserve"> </w:t>
      </w:r>
      <w:r w:rsidR="005B528D">
        <w:rPr>
          <w:rStyle w:val="s10"/>
          <w:bCs/>
          <w:szCs w:val="24"/>
        </w:rPr>
        <w:t xml:space="preserve">Dies entspricht einem </w:t>
      </w:r>
      <w:r w:rsidR="00B928BC" w:rsidRPr="00B928BC">
        <w:rPr>
          <w:rStyle w:val="s10"/>
          <w:bCs/>
          <w:szCs w:val="24"/>
        </w:rPr>
        <w:t>jährlichen Neubaubedarf zwischen rund 210 und 390 Heimen</w:t>
      </w:r>
      <w:r w:rsidR="00B928BC">
        <w:rPr>
          <w:rStyle w:val="s10"/>
          <w:bCs/>
          <w:szCs w:val="24"/>
        </w:rPr>
        <w:t xml:space="preserve"> </w:t>
      </w:r>
      <w:r w:rsidR="00B928BC" w:rsidRPr="00B928BC">
        <w:rPr>
          <w:rStyle w:val="s10"/>
          <w:bCs/>
          <w:szCs w:val="24"/>
        </w:rPr>
        <w:t xml:space="preserve">bis zum </w:t>
      </w:r>
      <w:r w:rsidR="00B928BC">
        <w:rPr>
          <w:rStyle w:val="s10"/>
          <w:bCs/>
          <w:szCs w:val="24"/>
        </w:rPr>
        <w:t>Ende des laufenden Jahrzehnts.</w:t>
      </w:r>
      <w:r w:rsidR="00323EFC">
        <w:rPr>
          <w:rStyle w:val="s10"/>
          <w:bCs/>
          <w:szCs w:val="24"/>
        </w:rPr>
        <w:t xml:space="preserve"> Zu diesen Ergebnissen kommt eine Studie </w:t>
      </w:r>
      <w:r w:rsidR="00323EFC" w:rsidRPr="00323EFC">
        <w:rPr>
          <w:rStyle w:val="s10"/>
          <w:bCs/>
          <w:szCs w:val="24"/>
        </w:rPr>
        <w:t xml:space="preserve">der </w:t>
      </w:r>
      <w:r w:rsidR="00323EFC">
        <w:rPr>
          <w:rStyle w:val="s10"/>
          <w:bCs/>
          <w:szCs w:val="24"/>
        </w:rPr>
        <w:t>IRE|BS</w:t>
      </w:r>
      <w:r w:rsidR="00323EFC" w:rsidRPr="00323EFC">
        <w:rPr>
          <w:rStyle w:val="s10"/>
          <w:bCs/>
          <w:szCs w:val="24"/>
        </w:rPr>
        <w:t xml:space="preserve"> Internatio</w:t>
      </w:r>
      <w:r w:rsidR="00323EFC">
        <w:rPr>
          <w:rStyle w:val="s10"/>
          <w:bCs/>
          <w:szCs w:val="24"/>
        </w:rPr>
        <w:t xml:space="preserve">nal Real Estate Business School im Auftrag des Zentralen Immobilien Ausschusses ZIA, Spitzenverband der Immobilienwirtschaft. </w:t>
      </w:r>
      <w:r w:rsidR="00B928BC">
        <w:rPr>
          <w:rStyle w:val="s10"/>
          <w:bCs/>
          <w:szCs w:val="24"/>
        </w:rPr>
        <w:t>„</w:t>
      </w:r>
      <w:r w:rsidR="005B528D">
        <w:rPr>
          <w:rStyle w:val="s10"/>
          <w:bCs/>
          <w:szCs w:val="24"/>
        </w:rPr>
        <w:t xml:space="preserve">Diese Zahlen zeigen, dass wir aufgrund einer älter werdenden Bevölkerung und dem steigenden Bedarf an Pflegedienstleistungen bezahlbare und praktikable Lösungen finden müssen. Neben der stationären Pflege </w:t>
      </w:r>
      <w:r w:rsidR="003E742E">
        <w:rPr>
          <w:rStyle w:val="s10"/>
          <w:bCs/>
          <w:szCs w:val="24"/>
        </w:rPr>
        <w:t xml:space="preserve">und der Behebung des baulichen Pflegenotstands </w:t>
      </w:r>
      <w:r w:rsidR="005B528D">
        <w:rPr>
          <w:rStyle w:val="s10"/>
          <w:bCs/>
          <w:szCs w:val="24"/>
        </w:rPr>
        <w:t>gehört hierzu auch die ambulante Versorgung und das Älterwerden im Quartier – etwa durch die Förderung von barrierefreiem Wohnungsbau. Nur, wenn wir sämtliche Pflegekonzepte mitdenken, werden wir den demogra</w:t>
      </w:r>
      <w:r w:rsidR="003E742E">
        <w:rPr>
          <w:rStyle w:val="s10"/>
          <w:bCs/>
          <w:szCs w:val="24"/>
        </w:rPr>
        <w:t>phischen Wandel stemmen können“,</w:t>
      </w:r>
      <w:r w:rsidR="005B528D">
        <w:rPr>
          <w:rStyle w:val="s10"/>
          <w:bCs/>
          <w:szCs w:val="24"/>
        </w:rPr>
        <w:t xml:space="preserve"> </w:t>
      </w:r>
      <w:r w:rsidR="0069565E">
        <w:rPr>
          <w:rStyle w:val="s10"/>
          <w:bCs/>
          <w:szCs w:val="24"/>
        </w:rPr>
        <w:t xml:space="preserve">sagt Jan-Hendrik Jessen, Vorsitzender der ZIA-Ausschusses Gesundheitsimmobilien. </w:t>
      </w:r>
    </w:p>
    <w:p w14:paraId="2F4D7C01" w14:textId="77777777" w:rsidR="0069565E" w:rsidRDefault="0069565E" w:rsidP="00B928BC">
      <w:pPr>
        <w:rPr>
          <w:rStyle w:val="s10"/>
          <w:bCs/>
          <w:szCs w:val="24"/>
        </w:rPr>
      </w:pPr>
    </w:p>
    <w:p w14:paraId="4A9AF56C" w14:textId="77777777" w:rsidR="00323EFC" w:rsidRPr="00323EFC" w:rsidRDefault="00323EFC" w:rsidP="00B928BC">
      <w:pPr>
        <w:rPr>
          <w:rStyle w:val="s10"/>
          <w:b/>
          <w:bCs/>
          <w:szCs w:val="24"/>
        </w:rPr>
      </w:pPr>
      <w:r w:rsidRPr="00323EFC">
        <w:rPr>
          <w:rStyle w:val="s10"/>
          <w:b/>
          <w:bCs/>
          <w:szCs w:val="24"/>
        </w:rPr>
        <w:t>Investitionen in peripheren Lagen lohnen sich mehr</w:t>
      </w:r>
    </w:p>
    <w:p w14:paraId="35C61FE1" w14:textId="2B6FA2AB" w:rsidR="00C66237" w:rsidRDefault="0069565E" w:rsidP="00C66237">
      <w:pPr>
        <w:rPr>
          <w:rStyle w:val="s10"/>
          <w:bCs/>
          <w:szCs w:val="24"/>
        </w:rPr>
      </w:pPr>
      <w:r>
        <w:rPr>
          <w:rStyle w:val="s10"/>
          <w:bCs/>
          <w:szCs w:val="24"/>
        </w:rPr>
        <w:t xml:space="preserve">Auf regionaler Ebene stellt sich die Situation </w:t>
      </w:r>
      <w:r w:rsidR="005B528D">
        <w:rPr>
          <w:rStyle w:val="s10"/>
          <w:bCs/>
          <w:szCs w:val="24"/>
        </w:rPr>
        <w:t>unterschiedlich</w:t>
      </w:r>
      <w:r w:rsidR="003E742E">
        <w:rPr>
          <w:rStyle w:val="s10"/>
          <w:bCs/>
          <w:szCs w:val="24"/>
        </w:rPr>
        <w:t xml:space="preserve"> </w:t>
      </w:r>
      <w:r>
        <w:rPr>
          <w:rStyle w:val="s10"/>
          <w:bCs/>
          <w:szCs w:val="24"/>
        </w:rPr>
        <w:t xml:space="preserve">dar. </w:t>
      </w:r>
      <w:r w:rsidRPr="0069565E">
        <w:rPr>
          <w:rStyle w:val="s10"/>
          <w:bCs/>
          <w:szCs w:val="24"/>
        </w:rPr>
        <w:t>Die größten Zuwächse an vollstationär versorgten Pflegebedürftigen</w:t>
      </w:r>
      <w:r>
        <w:rPr>
          <w:rStyle w:val="s10"/>
          <w:bCs/>
          <w:szCs w:val="24"/>
        </w:rPr>
        <w:t xml:space="preserve"> </w:t>
      </w:r>
      <w:r w:rsidRPr="0069565E">
        <w:rPr>
          <w:rStyle w:val="s10"/>
          <w:bCs/>
          <w:szCs w:val="24"/>
        </w:rPr>
        <w:t>bis 203</w:t>
      </w:r>
      <w:r w:rsidR="003E742E">
        <w:rPr>
          <w:rStyle w:val="s10"/>
          <w:bCs/>
          <w:szCs w:val="24"/>
        </w:rPr>
        <w:t xml:space="preserve">0 sind </w:t>
      </w:r>
      <w:r>
        <w:rPr>
          <w:rStyle w:val="s10"/>
          <w:bCs/>
          <w:szCs w:val="24"/>
        </w:rPr>
        <w:t>in Berlin mit etwa</w:t>
      </w:r>
      <w:r w:rsidRPr="0069565E">
        <w:rPr>
          <w:rStyle w:val="s10"/>
          <w:bCs/>
          <w:szCs w:val="24"/>
        </w:rPr>
        <w:t xml:space="preserve"> 34 </w:t>
      </w:r>
      <w:r>
        <w:rPr>
          <w:rStyle w:val="s10"/>
          <w:bCs/>
          <w:szCs w:val="24"/>
        </w:rPr>
        <w:t>Prozent, in Brandenburg mit</w:t>
      </w:r>
      <w:r w:rsidRPr="0069565E">
        <w:rPr>
          <w:rStyle w:val="s10"/>
          <w:bCs/>
          <w:szCs w:val="24"/>
        </w:rPr>
        <w:t xml:space="preserve"> 28 </w:t>
      </w:r>
      <w:r>
        <w:rPr>
          <w:rStyle w:val="s10"/>
          <w:bCs/>
          <w:szCs w:val="24"/>
        </w:rPr>
        <w:t xml:space="preserve">Prozent </w:t>
      </w:r>
      <w:r w:rsidRPr="0069565E">
        <w:rPr>
          <w:rStyle w:val="s10"/>
          <w:bCs/>
          <w:szCs w:val="24"/>
        </w:rPr>
        <w:t>und in</w:t>
      </w:r>
      <w:r>
        <w:rPr>
          <w:rStyle w:val="s10"/>
          <w:bCs/>
          <w:szCs w:val="24"/>
        </w:rPr>
        <w:t xml:space="preserve"> </w:t>
      </w:r>
      <w:r w:rsidRPr="0069565E">
        <w:rPr>
          <w:rStyle w:val="s10"/>
          <w:bCs/>
          <w:szCs w:val="24"/>
        </w:rPr>
        <w:t>Hessen</w:t>
      </w:r>
      <w:r>
        <w:rPr>
          <w:rStyle w:val="s10"/>
          <w:bCs/>
          <w:szCs w:val="24"/>
        </w:rPr>
        <w:t xml:space="preserve"> mit </w:t>
      </w:r>
      <w:r w:rsidRPr="0069565E">
        <w:rPr>
          <w:rStyle w:val="s10"/>
          <w:bCs/>
          <w:szCs w:val="24"/>
        </w:rPr>
        <w:t>25</w:t>
      </w:r>
      <w:r>
        <w:rPr>
          <w:rStyle w:val="s10"/>
          <w:bCs/>
          <w:szCs w:val="24"/>
        </w:rPr>
        <w:t xml:space="preserve"> Prozent </w:t>
      </w:r>
      <w:r w:rsidRPr="0069565E">
        <w:rPr>
          <w:rStyle w:val="s10"/>
          <w:bCs/>
          <w:szCs w:val="24"/>
        </w:rPr>
        <w:t xml:space="preserve">zu verzeichnen. </w:t>
      </w:r>
      <w:r w:rsidR="00C20EAC">
        <w:rPr>
          <w:rStyle w:val="s10"/>
          <w:bCs/>
          <w:szCs w:val="24"/>
        </w:rPr>
        <w:t>Da sich die Bundesländer vollständig aus de</w:t>
      </w:r>
      <w:r w:rsidR="00EF62E3">
        <w:rPr>
          <w:rStyle w:val="s10"/>
          <w:bCs/>
          <w:szCs w:val="24"/>
        </w:rPr>
        <w:t>m</w:t>
      </w:r>
      <w:r w:rsidR="00C20EAC">
        <w:rPr>
          <w:rStyle w:val="s10"/>
          <w:bCs/>
          <w:szCs w:val="24"/>
        </w:rPr>
        <w:t xml:space="preserve"> </w:t>
      </w:r>
      <w:r w:rsidR="00EF62E3">
        <w:rPr>
          <w:rStyle w:val="s10"/>
          <w:bCs/>
          <w:szCs w:val="24"/>
        </w:rPr>
        <w:t xml:space="preserve">Bau </w:t>
      </w:r>
      <w:r w:rsidR="00C20EAC">
        <w:rPr>
          <w:rStyle w:val="s10"/>
          <w:bCs/>
          <w:szCs w:val="24"/>
        </w:rPr>
        <w:t xml:space="preserve">von Pflegeheimen zurückgezogen haben, wird der Aufbau der Pflegeinfrastruktur </w:t>
      </w:r>
      <w:r w:rsidR="00EF62E3">
        <w:rPr>
          <w:rStyle w:val="s10"/>
          <w:bCs/>
          <w:szCs w:val="24"/>
        </w:rPr>
        <w:t xml:space="preserve">überwiegend </w:t>
      </w:r>
      <w:r w:rsidR="00C20EAC">
        <w:rPr>
          <w:rStyle w:val="s10"/>
          <w:bCs/>
          <w:szCs w:val="24"/>
        </w:rPr>
        <w:t xml:space="preserve">durch privates Kapital </w:t>
      </w:r>
      <w:r w:rsidR="00EF62E3">
        <w:rPr>
          <w:rStyle w:val="s10"/>
          <w:bCs/>
          <w:szCs w:val="24"/>
        </w:rPr>
        <w:t>geleistet</w:t>
      </w:r>
      <w:r w:rsidR="00C20EAC">
        <w:rPr>
          <w:rStyle w:val="s10"/>
          <w:bCs/>
          <w:szCs w:val="24"/>
        </w:rPr>
        <w:t xml:space="preserve">. </w:t>
      </w:r>
      <w:r w:rsidR="00C66237">
        <w:rPr>
          <w:rStyle w:val="s10"/>
          <w:bCs/>
          <w:szCs w:val="24"/>
        </w:rPr>
        <w:t xml:space="preserve">Die Studie zeigt anhand von Fallbeispielen auf, dass sich </w:t>
      </w:r>
      <w:r w:rsidR="00C66237" w:rsidRPr="00C66237">
        <w:rPr>
          <w:rStyle w:val="s10"/>
          <w:bCs/>
          <w:szCs w:val="24"/>
        </w:rPr>
        <w:lastRenderedPageBreak/>
        <w:t>Projektentwicklungen und Investments in peripheren</w:t>
      </w:r>
      <w:r w:rsidR="00C66237">
        <w:rPr>
          <w:rStyle w:val="s10"/>
          <w:bCs/>
          <w:szCs w:val="24"/>
        </w:rPr>
        <w:t xml:space="preserve"> </w:t>
      </w:r>
      <w:r w:rsidR="00C66237" w:rsidRPr="00C66237">
        <w:rPr>
          <w:rStyle w:val="s10"/>
          <w:bCs/>
          <w:szCs w:val="24"/>
        </w:rPr>
        <w:t>Lagen eher lohnen</w:t>
      </w:r>
      <w:r w:rsidR="00C66237">
        <w:rPr>
          <w:rStyle w:val="s10"/>
          <w:bCs/>
          <w:szCs w:val="24"/>
        </w:rPr>
        <w:t xml:space="preserve">, der Bedarf an zusätzlichen Pflegeplätzen jedoch vor allem </w:t>
      </w:r>
      <w:r w:rsidR="00C66237" w:rsidRPr="00C66237">
        <w:rPr>
          <w:rStyle w:val="s10"/>
          <w:bCs/>
          <w:szCs w:val="24"/>
        </w:rPr>
        <w:t>in</w:t>
      </w:r>
      <w:r w:rsidR="00C66237">
        <w:rPr>
          <w:rStyle w:val="s10"/>
          <w:bCs/>
          <w:szCs w:val="24"/>
        </w:rPr>
        <w:t xml:space="preserve"> </w:t>
      </w:r>
      <w:r w:rsidR="00C66237" w:rsidRPr="00C66237">
        <w:rPr>
          <w:rStyle w:val="s10"/>
          <w:bCs/>
          <w:szCs w:val="24"/>
        </w:rPr>
        <w:t>(sehr) zentralen Lagen steigen wird.</w:t>
      </w:r>
      <w:r w:rsidR="00C20EAC">
        <w:rPr>
          <w:rStyle w:val="s10"/>
          <w:bCs/>
          <w:szCs w:val="24"/>
        </w:rPr>
        <w:t xml:space="preserve"> „Diese Fehlanreize widersprechen dem Ziel der </w:t>
      </w:r>
      <w:r w:rsidR="002B1341">
        <w:rPr>
          <w:rStyle w:val="s10"/>
          <w:bCs/>
          <w:szCs w:val="24"/>
        </w:rPr>
        <w:t>Pflege im Quartier</w:t>
      </w:r>
      <w:r w:rsidR="004E40CA">
        <w:rPr>
          <w:rStyle w:val="s10"/>
          <w:bCs/>
          <w:szCs w:val="24"/>
        </w:rPr>
        <w:t>“, sagt Martin Engel, der die Studie für den ZIA betreut hat.</w:t>
      </w:r>
      <w:r w:rsidR="00C66237" w:rsidRPr="00C66237">
        <w:rPr>
          <w:rStyle w:val="s10"/>
          <w:bCs/>
          <w:szCs w:val="24"/>
        </w:rPr>
        <w:t xml:space="preserve"> Damit Projektentwicklungen in </w:t>
      </w:r>
      <w:r w:rsidR="00BA7916">
        <w:rPr>
          <w:rStyle w:val="s10"/>
          <w:bCs/>
          <w:szCs w:val="24"/>
        </w:rPr>
        <w:t>zentralen</w:t>
      </w:r>
      <w:r w:rsidR="00C66237" w:rsidRPr="00C66237">
        <w:rPr>
          <w:rStyle w:val="s10"/>
          <w:bCs/>
          <w:szCs w:val="24"/>
        </w:rPr>
        <w:t xml:space="preserve"> Lagen vorteilhaft</w:t>
      </w:r>
      <w:r w:rsidR="00C66237">
        <w:rPr>
          <w:rStyle w:val="s10"/>
          <w:bCs/>
          <w:szCs w:val="24"/>
        </w:rPr>
        <w:t xml:space="preserve"> </w:t>
      </w:r>
      <w:r w:rsidR="00C66237" w:rsidRPr="00C66237">
        <w:rPr>
          <w:rStyle w:val="s10"/>
          <w:bCs/>
          <w:szCs w:val="24"/>
        </w:rPr>
        <w:t>wären, müssten die Grundstücke günstiger bereitgestellt oder mit einer größeren</w:t>
      </w:r>
      <w:r w:rsidR="00C66237">
        <w:rPr>
          <w:rStyle w:val="s10"/>
          <w:bCs/>
          <w:szCs w:val="24"/>
        </w:rPr>
        <w:t xml:space="preserve"> </w:t>
      </w:r>
      <w:r w:rsidR="00C66237" w:rsidRPr="00C66237">
        <w:rPr>
          <w:rStyle w:val="s10"/>
          <w:bCs/>
          <w:szCs w:val="24"/>
        </w:rPr>
        <w:t>Bettenkapazität kalkuliert werden dürfen.</w:t>
      </w:r>
      <w:r w:rsidR="00C66237">
        <w:rPr>
          <w:rStyle w:val="s10"/>
          <w:bCs/>
          <w:szCs w:val="24"/>
        </w:rPr>
        <w:t xml:space="preserve"> </w:t>
      </w:r>
      <w:r w:rsidR="00C66237" w:rsidRPr="00C66237">
        <w:rPr>
          <w:rStyle w:val="s10"/>
          <w:bCs/>
          <w:szCs w:val="24"/>
        </w:rPr>
        <w:t>Durch den Anstieg des Baukostenindexes und gestiegene bauliche Anforderungen, wie</w:t>
      </w:r>
      <w:r w:rsidR="00C66237">
        <w:rPr>
          <w:rStyle w:val="s10"/>
          <w:bCs/>
          <w:szCs w:val="24"/>
        </w:rPr>
        <w:t xml:space="preserve"> </w:t>
      </w:r>
      <w:r w:rsidR="00C66237" w:rsidRPr="00C66237">
        <w:rPr>
          <w:rStyle w:val="s10"/>
          <w:bCs/>
          <w:szCs w:val="24"/>
        </w:rPr>
        <w:t>neue Energiestandards, strengere Brandschutzvorgaben oder mehr Flächenverbrauch</w:t>
      </w:r>
      <w:r w:rsidR="00C66237">
        <w:rPr>
          <w:rStyle w:val="s10"/>
          <w:bCs/>
          <w:szCs w:val="24"/>
        </w:rPr>
        <w:t xml:space="preserve"> </w:t>
      </w:r>
      <w:r w:rsidR="00C66237" w:rsidRPr="00C66237">
        <w:rPr>
          <w:rStyle w:val="s10"/>
          <w:bCs/>
          <w:szCs w:val="24"/>
        </w:rPr>
        <w:t>aufgrund von Vorgaben zur Mindestgröße der Bewohnerzimmer erhöhen sich</w:t>
      </w:r>
      <w:r w:rsidR="00BA7916">
        <w:rPr>
          <w:rStyle w:val="s10"/>
          <w:bCs/>
          <w:szCs w:val="24"/>
        </w:rPr>
        <w:t xml:space="preserve"> </w:t>
      </w:r>
      <w:r w:rsidR="00C66237" w:rsidRPr="00C66237">
        <w:rPr>
          <w:rStyle w:val="s10"/>
          <w:bCs/>
          <w:szCs w:val="24"/>
        </w:rPr>
        <w:t>die Baukosten</w:t>
      </w:r>
      <w:r w:rsidR="00BA7916">
        <w:rPr>
          <w:rStyle w:val="s10"/>
          <w:bCs/>
          <w:szCs w:val="24"/>
        </w:rPr>
        <w:t xml:space="preserve"> ebenfalls</w:t>
      </w:r>
      <w:r w:rsidR="00C66237">
        <w:rPr>
          <w:rStyle w:val="s10"/>
          <w:bCs/>
          <w:szCs w:val="24"/>
        </w:rPr>
        <w:t xml:space="preserve"> </w:t>
      </w:r>
      <w:r w:rsidR="00C66237" w:rsidRPr="00C66237">
        <w:rPr>
          <w:rStyle w:val="s10"/>
          <w:bCs/>
          <w:szCs w:val="24"/>
        </w:rPr>
        <w:t>und wirken sich negativ auf die Kalkulation aus.</w:t>
      </w:r>
    </w:p>
    <w:p w14:paraId="0CC1C6F2" w14:textId="77777777" w:rsidR="00BA7916" w:rsidRDefault="00BA7916" w:rsidP="00C66237">
      <w:pPr>
        <w:rPr>
          <w:rStyle w:val="s10"/>
          <w:bCs/>
          <w:szCs w:val="24"/>
        </w:rPr>
      </w:pPr>
    </w:p>
    <w:p w14:paraId="00F9DAFB" w14:textId="7046308A" w:rsidR="00323EFC" w:rsidRPr="00323EFC" w:rsidRDefault="00B50706" w:rsidP="00C66237">
      <w:pPr>
        <w:rPr>
          <w:rStyle w:val="s10"/>
          <w:b/>
          <w:bCs/>
          <w:szCs w:val="24"/>
        </w:rPr>
      </w:pPr>
      <w:r>
        <w:rPr>
          <w:rStyle w:val="s10"/>
          <w:b/>
          <w:bCs/>
          <w:szCs w:val="24"/>
        </w:rPr>
        <w:t>Ver</w:t>
      </w:r>
      <w:r w:rsidR="00202876">
        <w:rPr>
          <w:rStyle w:val="s10"/>
          <w:b/>
          <w:bCs/>
          <w:szCs w:val="24"/>
        </w:rPr>
        <w:t>einheitlichte</w:t>
      </w:r>
      <w:r w:rsidR="004E40CA">
        <w:rPr>
          <w:rStyle w:val="s10"/>
          <w:b/>
          <w:bCs/>
          <w:szCs w:val="24"/>
        </w:rPr>
        <w:t xml:space="preserve"> Rahmenbedingungen und Mietindexierung</w:t>
      </w:r>
      <w:r w:rsidR="00323EFC" w:rsidRPr="00323EFC">
        <w:rPr>
          <w:rStyle w:val="s10"/>
          <w:b/>
          <w:bCs/>
          <w:szCs w:val="24"/>
        </w:rPr>
        <w:t xml:space="preserve"> notwendig</w:t>
      </w:r>
    </w:p>
    <w:p w14:paraId="00B28D10" w14:textId="77777777" w:rsidR="00202876" w:rsidRDefault="00CB0C20" w:rsidP="00202876">
      <w:pPr>
        <w:rPr>
          <w:rStyle w:val="s10"/>
          <w:bCs/>
          <w:szCs w:val="24"/>
        </w:rPr>
      </w:pPr>
      <w:r w:rsidRPr="00CB0C20">
        <w:rPr>
          <w:rStyle w:val="s10"/>
          <w:bCs/>
          <w:szCs w:val="24"/>
        </w:rPr>
        <w:t>„In den bauliche</w:t>
      </w:r>
      <w:r>
        <w:rPr>
          <w:rStyle w:val="s10"/>
          <w:bCs/>
          <w:szCs w:val="24"/>
        </w:rPr>
        <w:t>n Mindeststandards existieren je nach Bundesland</w:t>
      </w:r>
      <w:r w:rsidRPr="00CB0C20">
        <w:rPr>
          <w:rStyle w:val="s10"/>
          <w:bCs/>
          <w:szCs w:val="24"/>
        </w:rPr>
        <w:t xml:space="preserve"> unterschiedliche Vorgaben“, so Jessen.</w:t>
      </w:r>
      <w:r>
        <w:rPr>
          <w:rStyle w:val="s10"/>
          <w:bCs/>
          <w:szCs w:val="24"/>
        </w:rPr>
        <w:t xml:space="preserve"> „Es ist beispielsweise nicht nachvollziehbar, warum etwa die Einbettzimmerquote </w:t>
      </w:r>
      <w:r w:rsidR="00BA7916">
        <w:rPr>
          <w:rStyle w:val="s10"/>
          <w:bCs/>
          <w:szCs w:val="24"/>
        </w:rPr>
        <w:t xml:space="preserve">in Baden-Württemberg und Hamburg bei 100 Prozent liegt, aber in Bremen, </w:t>
      </w:r>
      <w:r w:rsidR="00BA7916" w:rsidRPr="00BA7916">
        <w:rPr>
          <w:rStyle w:val="s10"/>
          <w:bCs/>
          <w:szCs w:val="24"/>
        </w:rPr>
        <w:t>Rheinland-Pfalz, Saarland, Sachsen, Sachsen-Anhalt und Thüringen</w:t>
      </w:r>
      <w:r w:rsidR="00BA7916">
        <w:rPr>
          <w:rStyle w:val="s10"/>
          <w:bCs/>
          <w:szCs w:val="24"/>
        </w:rPr>
        <w:t xml:space="preserve"> diesbezüglich </w:t>
      </w:r>
      <w:r w:rsidR="00BA7916" w:rsidRPr="00BA7916">
        <w:rPr>
          <w:rStyle w:val="s10"/>
          <w:bCs/>
          <w:szCs w:val="24"/>
        </w:rPr>
        <w:t>keine Vorgaben</w:t>
      </w:r>
      <w:r w:rsidR="00BA7916">
        <w:rPr>
          <w:rStyle w:val="s10"/>
          <w:bCs/>
          <w:szCs w:val="24"/>
        </w:rPr>
        <w:t xml:space="preserve"> bestehen</w:t>
      </w:r>
      <w:r>
        <w:rPr>
          <w:rStyle w:val="s10"/>
          <w:bCs/>
          <w:szCs w:val="24"/>
        </w:rPr>
        <w:t>. Investitionen müssen so je nach Bundesland stets neu</w:t>
      </w:r>
      <w:r w:rsidR="00202876">
        <w:rPr>
          <w:rStyle w:val="s10"/>
          <w:bCs/>
          <w:szCs w:val="24"/>
        </w:rPr>
        <w:t xml:space="preserve"> geplant und kalkuliert werden.“ Die Autoren der Studie schlagen daher eine bundesweite Vereinheitlichung der Regeln vor und zeigen ebenfalls auf, </w:t>
      </w:r>
      <w:r w:rsidR="004E40CA">
        <w:rPr>
          <w:rStyle w:val="s10"/>
          <w:bCs/>
          <w:szCs w:val="24"/>
        </w:rPr>
        <w:t>dass sich der Bau eines Pflegeheims mit einem nicht an den Verbraucherpreis-Index gekoppelten Mietvertrag in keinem Szenari</w:t>
      </w:r>
      <w:r w:rsidR="00B50706">
        <w:rPr>
          <w:rStyle w:val="s10"/>
          <w:bCs/>
          <w:szCs w:val="24"/>
        </w:rPr>
        <w:t>o</w:t>
      </w:r>
      <w:r w:rsidR="004E40CA">
        <w:rPr>
          <w:rStyle w:val="s10"/>
          <w:bCs/>
          <w:szCs w:val="24"/>
        </w:rPr>
        <w:t xml:space="preserve"> rentiert. „Ein Inflationsschutz des Immobilieninvestments ist ohne Mietindexierung nicht gegeben</w:t>
      </w:r>
      <w:r w:rsidR="00202876">
        <w:rPr>
          <w:rStyle w:val="s10"/>
          <w:bCs/>
          <w:szCs w:val="24"/>
        </w:rPr>
        <w:t>“, so Engel. „</w:t>
      </w:r>
      <w:r w:rsidR="004E40CA">
        <w:rPr>
          <w:rStyle w:val="s10"/>
          <w:bCs/>
          <w:szCs w:val="24"/>
        </w:rPr>
        <w:t>Da jedoch gerade in NRW die Refinanzierung der Pflegeheimbetreiber eine Indexierung der sogenannten I</w:t>
      </w:r>
      <w:r w:rsidR="00202876">
        <w:rPr>
          <w:rStyle w:val="s10"/>
          <w:bCs/>
          <w:szCs w:val="24"/>
        </w:rPr>
        <w:t>nvestitionsko</w:t>
      </w:r>
      <w:r w:rsidR="004E40CA">
        <w:rPr>
          <w:rStyle w:val="s10"/>
          <w:bCs/>
          <w:szCs w:val="24"/>
        </w:rPr>
        <w:t xml:space="preserve">sten nicht mehr vorsieht, liegt es an der Politik, dieses erhebliche Hindernis </w:t>
      </w:r>
      <w:r w:rsidR="00B50706">
        <w:rPr>
          <w:rStyle w:val="s10"/>
          <w:bCs/>
          <w:szCs w:val="24"/>
        </w:rPr>
        <w:t>beim Aufbau der notwendigen Pflegeinfra</w:t>
      </w:r>
      <w:r w:rsidR="00202876">
        <w:rPr>
          <w:rStyle w:val="s10"/>
          <w:bCs/>
          <w:szCs w:val="24"/>
        </w:rPr>
        <w:t xml:space="preserve">struktur wieder zu bereinigen.“ </w:t>
      </w:r>
      <w:r w:rsidR="00B50706">
        <w:rPr>
          <w:rStyle w:val="s10"/>
          <w:bCs/>
          <w:szCs w:val="24"/>
        </w:rPr>
        <w:t xml:space="preserve">Eine solche Korrektur </w:t>
      </w:r>
      <w:r w:rsidR="00202876">
        <w:rPr>
          <w:rStyle w:val="s10"/>
          <w:bCs/>
          <w:szCs w:val="24"/>
        </w:rPr>
        <w:t>sei</w:t>
      </w:r>
      <w:r w:rsidR="00B50706">
        <w:rPr>
          <w:rStyle w:val="s10"/>
          <w:bCs/>
          <w:szCs w:val="24"/>
        </w:rPr>
        <w:t xml:space="preserve"> ein starkes Signal </w:t>
      </w:r>
      <w:r w:rsidR="00202876">
        <w:rPr>
          <w:rStyle w:val="s10"/>
          <w:bCs/>
          <w:szCs w:val="24"/>
        </w:rPr>
        <w:t xml:space="preserve">und erzeuge </w:t>
      </w:r>
      <w:r w:rsidR="00B50706">
        <w:rPr>
          <w:rStyle w:val="s10"/>
          <w:bCs/>
          <w:szCs w:val="24"/>
        </w:rPr>
        <w:t xml:space="preserve">Vertrauen in die Investitionssicherheit. </w:t>
      </w:r>
    </w:p>
    <w:p w14:paraId="3CE1A616" w14:textId="77777777" w:rsidR="00202876" w:rsidRDefault="00202876" w:rsidP="00202876">
      <w:pPr>
        <w:rPr>
          <w:rStyle w:val="s10"/>
          <w:bCs/>
          <w:szCs w:val="24"/>
        </w:rPr>
      </w:pPr>
    </w:p>
    <w:p w14:paraId="0C5270FB" w14:textId="5CDA46F9" w:rsidR="00BA7916" w:rsidRDefault="00B50706" w:rsidP="00202876">
      <w:pPr>
        <w:rPr>
          <w:rStyle w:val="s10"/>
          <w:bCs/>
          <w:szCs w:val="24"/>
        </w:rPr>
      </w:pPr>
      <w:r>
        <w:rPr>
          <w:rStyle w:val="s10"/>
          <w:bCs/>
          <w:szCs w:val="24"/>
        </w:rPr>
        <w:t>„Investitionssicherheit benötigen Projektentwickler und Investoren nicht nur für Pflegeheime, sondern auch für den Aufbau ambulanter Versorgungsinfrastruktur. Hier unterscheiden sich beide Formen nicht.“, so Jessen.</w:t>
      </w:r>
    </w:p>
    <w:p w14:paraId="51C4FD96" w14:textId="77777777" w:rsidR="003E742E" w:rsidRDefault="003E742E" w:rsidP="00BA7916">
      <w:pPr>
        <w:rPr>
          <w:rStyle w:val="s10"/>
          <w:bCs/>
          <w:szCs w:val="24"/>
        </w:rPr>
      </w:pPr>
    </w:p>
    <w:p w14:paraId="66D65CBD" w14:textId="004DCEA7" w:rsidR="00AB61BE" w:rsidRDefault="005B528D" w:rsidP="00202876">
      <w:pPr>
        <w:rPr>
          <w:rStyle w:val="s10"/>
          <w:bCs/>
          <w:szCs w:val="24"/>
        </w:rPr>
      </w:pPr>
      <w:r>
        <w:rPr>
          <w:rStyle w:val="s10"/>
          <w:bCs/>
          <w:szCs w:val="24"/>
        </w:rPr>
        <w:t xml:space="preserve">Die vollständige Studie </w:t>
      </w:r>
      <w:r w:rsidR="003E742E">
        <w:rPr>
          <w:rStyle w:val="s10"/>
          <w:bCs/>
          <w:szCs w:val="24"/>
        </w:rPr>
        <w:t>finden Sie unter dies</w:t>
      </w:r>
      <w:r w:rsidR="003E742E" w:rsidRPr="006C5CC5">
        <w:rPr>
          <w:rStyle w:val="s10"/>
          <w:bCs/>
          <w:szCs w:val="24"/>
        </w:rPr>
        <w:t xml:space="preserve">em </w:t>
      </w:r>
      <w:hyperlink r:id="rId6" w:history="1">
        <w:r w:rsidRPr="006C5CC5">
          <w:rPr>
            <w:rStyle w:val="Hyperlink"/>
            <w:bCs/>
            <w:szCs w:val="24"/>
          </w:rPr>
          <w:t>L</w:t>
        </w:r>
        <w:bookmarkStart w:id="1" w:name="_GoBack"/>
        <w:bookmarkEnd w:id="1"/>
        <w:r w:rsidRPr="006C5CC5">
          <w:rPr>
            <w:rStyle w:val="Hyperlink"/>
            <w:bCs/>
            <w:szCs w:val="24"/>
          </w:rPr>
          <w:t>I</w:t>
        </w:r>
        <w:r w:rsidRPr="006C5CC5">
          <w:rPr>
            <w:rStyle w:val="Hyperlink"/>
            <w:bCs/>
            <w:szCs w:val="24"/>
          </w:rPr>
          <w:t>NK</w:t>
        </w:r>
      </w:hyperlink>
      <w:r w:rsidR="003E742E" w:rsidRPr="006C5CC5">
        <w:rPr>
          <w:rStyle w:val="s10"/>
          <w:bCs/>
          <w:szCs w:val="24"/>
        </w:rPr>
        <w:t>.</w:t>
      </w:r>
    </w:p>
    <w:p w14:paraId="10E464BC" w14:textId="77777777" w:rsidR="006C5CC5" w:rsidRDefault="006C5CC5" w:rsidP="00202876">
      <w:pPr>
        <w:rPr>
          <w:rStyle w:val="s10"/>
          <w:bCs/>
          <w:szCs w:val="24"/>
        </w:rPr>
      </w:pPr>
    </w:p>
    <w:p w14:paraId="7995C6EC" w14:textId="01FD3277" w:rsidR="00202876" w:rsidRDefault="00202876" w:rsidP="00202876">
      <w:pPr>
        <w:rPr>
          <w:rStyle w:val="s10"/>
          <w:bCs/>
          <w:szCs w:val="24"/>
        </w:rPr>
      </w:pPr>
    </w:p>
    <w:p w14:paraId="48B0A59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3BCE418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2B52C3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6F099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DCF88D8"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7DC1C00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CEFB1A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27FB5B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86B7AC8"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2E523F2C"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44E3FC5"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FF244D"/>
    <w:multiLevelType w:val="hybridMultilevel"/>
    <w:tmpl w:val="A696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C4546"/>
    <w:rsid w:val="000E02D9"/>
    <w:rsid w:val="000E74E0"/>
    <w:rsid w:val="000F2DDF"/>
    <w:rsid w:val="00103818"/>
    <w:rsid w:val="0010589B"/>
    <w:rsid w:val="00113F51"/>
    <w:rsid w:val="00135874"/>
    <w:rsid w:val="0014045C"/>
    <w:rsid w:val="00165EA6"/>
    <w:rsid w:val="00167E86"/>
    <w:rsid w:val="0018064A"/>
    <w:rsid w:val="001A445E"/>
    <w:rsid w:val="001B5226"/>
    <w:rsid w:val="001C3F4E"/>
    <w:rsid w:val="001D58E8"/>
    <w:rsid w:val="001E2B25"/>
    <w:rsid w:val="001E319F"/>
    <w:rsid w:val="001F6989"/>
    <w:rsid w:val="00202876"/>
    <w:rsid w:val="00222C09"/>
    <w:rsid w:val="00223626"/>
    <w:rsid w:val="00224E46"/>
    <w:rsid w:val="00232776"/>
    <w:rsid w:val="00246B4F"/>
    <w:rsid w:val="002527CB"/>
    <w:rsid w:val="0025636D"/>
    <w:rsid w:val="002856CD"/>
    <w:rsid w:val="00291C78"/>
    <w:rsid w:val="002A6704"/>
    <w:rsid w:val="002B1341"/>
    <w:rsid w:val="002C6EC1"/>
    <w:rsid w:val="002D52F9"/>
    <w:rsid w:val="002D5696"/>
    <w:rsid w:val="002F168B"/>
    <w:rsid w:val="002F7633"/>
    <w:rsid w:val="00323A04"/>
    <w:rsid w:val="00323EFC"/>
    <w:rsid w:val="0034030C"/>
    <w:rsid w:val="00344750"/>
    <w:rsid w:val="00374BC7"/>
    <w:rsid w:val="00377EE2"/>
    <w:rsid w:val="00386777"/>
    <w:rsid w:val="003A1867"/>
    <w:rsid w:val="003B52D4"/>
    <w:rsid w:val="003B6CAA"/>
    <w:rsid w:val="003C3486"/>
    <w:rsid w:val="003E03AB"/>
    <w:rsid w:val="003E1867"/>
    <w:rsid w:val="003E742E"/>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4E40CA"/>
    <w:rsid w:val="00504C34"/>
    <w:rsid w:val="00517920"/>
    <w:rsid w:val="00521A30"/>
    <w:rsid w:val="00530257"/>
    <w:rsid w:val="005319A7"/>
    <w:rsid w:val="00533087"/>
    <w:rsid w:val="00540ADA"/>
    <w:rsid w:val="00555F86"/>
    <w:rsid w:val="005638E5"/>
    <w:rsid w:val="00565A8D"/>
    <w:rsid w:val="00590E6B"/>
    <w:rsid w:val="005B41DB"/>
    <w:rsid w:val="005B528D"/>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5E"/>
    <w:rsid w:val="006956A1"/>
    <w:rsid w:val="006A6B04"/>
    <w:rsid w:val="006B72B5"/>
    <w:rsid w:val="006C190B"/>
    <w:rsid w:val="006C5CC5"/>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33C33"/>
    <w:rsid w:val="00A6187E"/>
    <w:rsid w:val="00A70560"/>
    <w:rsid w:val="00A761C5"/>
    <w:rsid w:val="00A76BD6"/>
    <w:rsid w:val="00AB61BE"/>
    <w:rsid w:val="00AB6292"/>
    <w:rsid w:val="00AC2130"/>
    <w:rsid w:val="00AC798F"/>
    <w:rsid w:val="00AD20BE"/>
    <w:rsid w:val="00AE5947"/>
    <w:rsid w:val="00AF455A"/>
    <w:rsid w:val="00AF4D78"/>
    <w:rsid w:val="00AF67B3"/>
    <w:rsid w:val="00B07C1C"/>
    <w:rsid w:val="00B139FA"/>
    <w:rsid w:val="00B24A4A"/>
    <w:rsid w:val="00B3535D"/>
    <w:rsid w:val="00B40933"/>
    <w:rsid w:val="00B42DC1"/>
    <w:rsid w:val="00B45908"/>
    <w:rsid w:val="00B50706"/>
    <w:rsid w:val="00B640A5"/>
    <w:rsid w:val="00B65E91"/>
    <w:rsid w:val="00B77F03"/>
    <w:rsid w:val="00B927F0"/>
    <w:rsid w:val="00B928BC"/>
    <w:rsid w:val="00B936C1"/>
    <w:rsid w:val="00BA7916"/>
    <w:rsid w:val="00BB7FA4"/>
    <w:rsid w:val="00BD274B"/>
    <w:rsid w:val="00BE3F74"/>
    <w:rsid w:val="00C03B56"/>
    <w:rsid w:val="00C066A3"/>
    <w:rsid w:val="00C20EAC"/>
    <w:rsid w:val="00C32CB4"/>
    <w:rsid w:val="00C36662"/>
    <w:rsid w:val="00C66237"/>
    <w:rsid w:val="00C75254"/>
    <w:rsid w:val="00C822AA"/>
    <w:rsid w:val="00CA68A8"/>
    <w:rsid w:val="00CB0059"/>
    <w:rsid w:val="00CB0C20"/>
    <w:rsid w:val="00CB648E"/>
    <w:rsid w:val="00CC1DF4"/>
    <w:rsid w:val="00CC4688"/>
    <w:rsid w:val="00CD007F"/>
    <w:rsid w:val="00D07B08"/>
    <w:rsid w:val="00D36A51"/>
    <w:rsid w:val="00D40416"/>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EF62E3"/>
    <w:rsid w:val="00F01BBD"/>
    <w:rsid w:val="00F06436"/>
    <w:rsid w:val="00F3501A"/>
    <w:rsid w:val="00F54AB5"/>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D4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877b4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2020-05-13T08:27:00Z</cp:lastPrinted>
  <dcterms:created xsi:type="dcterms:W3CDTF">2020-05-13T08:27:00Z</dcterms:created>
  <dcterms:modified xsi:type="dcterms:W3CDTF">2020-05-13T08:30:00Z</dcterms:modified>
</cp:coreProperties>
</file>