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EE728" w14:textId="32337217" w:rsidR="00CA79D7" w:rsidRPr="004C322C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2E2D2D">
        <w:rPr>
          <w:rFonts w:ascii="Source Sans Pro" w:hAnsi="Source Sans Pro" w:cs="Source Sans Pro"/>
          <w:caps/>
          <w:color w:val="0086A8"/>
          <w:sz w:val="22"/>
          <w:szCs w:val="22"/>
        </w:rPr>
        <w:t>1-</w:t>
      </w:r>
      <w:r w:rsidR="00EA5A14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1550FE"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3613CB" w:rsidRPr="004C322C">
        <w:rPr>
          <w:rFonts w:ascii="Source Sans Pro" w:hAnsi="Source Sans Pro" w:cs="Source Sans Pro"/>
          <w:caps/>
          <w:color w:val="0086A8"/>
          <w:sz w:val="22"/>
          <w:szCs w:val="22"/>
        </w:rPr>
        <w:t>4</w:t>
      </w:r>
    </w:p>
    <w:p w14:paraId="7C2D2599" w14:textId="3A832A37" w:rsidR="00CA79D7" w:rsidRPr="004C322C" w:rsidRDefault="0051087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Zunahme der Transaktionen im zweiten Halbjahr erwartet</w:t>
      </w:r>
    </w:p>
    <w:p w14:paraId="743073FD" w14:textId="417D4D9D" w:rsidR="003152C9" w:rsidRPr="004C322C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14EADD5C" w14:textId="303D1107" w:rsidR="004F09D7" w:rsidRPr="00E822DD" w:rsidRDefault="00062237" w:rsidP="004F0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  <w:lang w:val="en-GB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  <w:lang w:val="en-GB"/>
        </w:rPr>
        <w:drawing>
          <wp:inline distT="0" distB="0" distL="0" distR="0" wp14:anchorId="33A0793E" wp14:editId="5FBBF530">
            <wp:extent cx="3404295" cy="1973183"/>
            <wp:effectExtent l="19050" t="19050" r="24765" b="27305"/>
            <wp:docPr id="18923454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345454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95" cy="19731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E5673" w:rsidRPr="00E822DD">
        <w:rPr>
          <w:rFonts w:ascii="Source Sans Pro" w:hAnsi="Source Sans Pro" w:cs="Source Sans Pro"/>
          <w:color w:val="0086A8"/>
          <w:sz w:val="22"/>
          <w:szCs w:val="22"/>
          <w:lang w:val="en-GB"/>
        </w:rPr>
        <w:br w:type="textWrapping" w:clear="all"/>
      </w:r>
    </w:p>
    <w:p w14:paraId="3E6CD95A" w14:textId="300EC244" w:rsidR="008C5CEC" w:rsidRPr="00510879" w:rsidRDefault="003946DE" w:rsidP="003946DE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0"/>
          <w:szCs w:val="20"/>
        </w:rPr>
      </w:pPr>
      <w:r w:rsidRPr="00510879">
        <w:rPr>
          <w:rFonts w:ascii="Source Sans Pro" w:hAnsi="Source Sans Pro" w:cs="Source Sans Pro"/>
          <w:color w:val="0086A8"/>
          <w:sz w:val="20"/>
          <w:szCs w:val="20"/>
        </w:rPr>
        <w:t>2</w:t>
      </w:r>
      <w:r w:rsidR="007D5A52" w:rsidRPr="00510879">
        <w:rPr>
          <w:rFonts w:ascii="Source Sans Pro" w:hAnsi="Source Sans Pro" w:cs="Source Sans Pro"/>
          <w:color w:val="0087A8"/>
          <w:sz w:val="20"/>
          <w:szCs w:val="20"/>
        </w:rPr>
        <w:t xml:space="preserve">. </w:t>
      </w:r>
      <w:r w:rsidR="00EA5A14" w:rsidRPr="00510879">
        <w:rPr>
          <w:rFonts w:ascii="Source Sans Pro" w:hAnsi="Source Sans Pro" w:cs="Source Sans Pro"/>
          <w:color w:val="0087A8"/>
          <w:sz w:val="20"/>
          <w:szCs w:val="20"/>
        </w:rPr>
        <w:t>Juli</w:t>
      </w:r>
      <w:r w:rsidR="000021F4" w:rsidRPr="00510879">
        <w:rPr>
          <w:rFonts w:ascii="Source Sans Pro" w:hAnsi="Source Sans Pro" w:cs="Source Sans Pro"/>
          <w:color w:val="0087A8"/>
          <w:sz w:val="20"/>
          <w:szCs w:val="20"/>
        </w:rPr>
        <w:t xml:space="preserve"> 202</w:t>
      </w:r>
      <w:r w:rsidR="003613CB" w:rsidRPr="00510879">
        <w:rPr>
          <w:rFonts w:ascii="Source Sans Pro" w:hAnsi="Source Sans Pro" w:cs="Source Sans Pro"/>
          <w:color w:val="0087A8"/>
          <w:sz w:val="20"/>
          <w:szCs w:val="20"/>
        </w:rPr>
        <w:t>4</w:t>
      </w:r>
      <w:r w:rsidR="007D5A52" w:rsidRPr="00510879">
        <w:rPr>
          <w:rFonts w:ascii="Source Sans Pro" w:hAnsi="Source Sans Pro" w:cs="Source Sans Pro"/>
          <w:color w:val="0087A8"/>
          <w:sz w:val="20"/>
          <w:szCs w:val="20"/>
        </w:rPr>
        <w:t>, Hamburg.</w:t>
      </w:r>
      <w:r w:rsidR="007D5A52" w:rsidRPr="00510879">
        <w:rPr>
          <w:rFonts w:ascii="Source Sans Pro" w:hAnsi="Source Sans Pro" w:cs="Source Sans Pro"/>
          <w:color w:val="0086A8"/>
          <w:sz w:val="20"/>
          <w:szCs w:val="20"/>
        </w:rPr>
        <w:t xml:space="preserve"> </w:t>
      </w:r>
      <w:r w:rsidR="008C5CEC" w:rsidRPr="00510879">
        <w:rPr>
          <w:rFonts w:ascii="Source Sans Pro" w:hAnsi="Source Sans Pro" w:cs="Source Sans Pro"/>
          <w:color w:val="auto"/>
          <w:sz w:val="20"/>
          <w:szCs w:val="20"/>
        </w:rPr>
        <w:t>Mit einem Transaktionsvolumen (TAV) von</w:t>
      </w:r>
      <w:r w:rsidR="00510879">
        <w:rPr>
          <w:rFonts w:ascii="Source Sans Pro" w:hAnsi="Source Sans Pro" w:cs="Source Sans Pro"/>
          <w:color w:val="auto"/>
          <w:sz w:val="20"/>
          <w:szCs w:val="20"/>
        </w:rPr>
        <w:t xml:space="preserve"> rund</w:t>
      </w:r>
      <w:r w:rsidR="008C5CEC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 4,6 Mrd. €</w:t>
      </w:r>
      <w:r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 im 1. Halbjahr 2024</w:t>
      </w:r>
      <w:r w:rsidR="008C5CEC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 </w:t>
      </w:r>
      <w:r w:rsidR="0071729A" w:rsidRPr="00510879">
        <w:rPr>
          <w:rFonts w:ascii="Source Sans Pro" w:hAnsi="Source Sans Pro" w:cs="Source Sans Pro"/>
          <w:color w:val="auto"/>
          <w:sz w:val="20"/>
          <w:szCs w:val="20"/>
        </w:rPr>
        <w:t>lagen</w:t>
      </w:r>
      <w:r w:rsidR="008C5CEC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 die Top-7-Märkte für gewerbliche Immobilieninvestments </w:t>
      </w:r>
      <w:r w:rsidR="0071729A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rund </w:t>
      </w:r>
      <w:r w:rsidR="0049607C">
        <w:rPr>
          <w:rFonts w:ascii="Source Sans Pro" w:hAnsi="Source Sans Pro" w:cs="Source Sans Pro"/>
          <w:color w:val="auto"/>
          <w:sz w:val="20"/>
          <w:szCs w:val="20"/>
        </w:rPr>
        <w:t>7</w:t>
      </w:r>
      <w:r w:rsidR="0071729A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 % über dem</w:t>
      </w:r>
      <w:r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 </w:t>
      </w:r>
      <w:r w:rsidR="009F6777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niedrigen </w:t>
      </w:r>
      <w:r w:rsidRPr="00510879">
        <w:rPr>
          <w:rFonts w:ascii="Source Sans Pro" w:hAnsi="Source Sans Pro" w:cs="Source Sans Pro"/>
          <w:color w:val="auto"/>
          <w:sz w:val="20"/>
          <w:szCs w:val="20"/>
        </w:rPr>
        <w:t>Vorjahres</w:t>
      </w:r>
      <w:r w:rsidR="009F6777" w:rsidRPr="00510879">
        <w:rPr>
          <w:rFonts w:ascii="Source Sans Pro" w:hAnsi="Source Sans Pro" w:cs="Source Sans Pro"/>
          <w:color w:val="auto"/>
          <w:sz w:val="20"/>
          <w:szCs w:val="20"/>
        </w:rPr>
        <w:t>wert</w:t>
      </w:r>
      <w:r w:rsidR="0071729A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. </w:t>
      </w:r>
      <w:r w:rsidR="009F6777" w:rsidRPr="00510879">
        <w:rPr>
          <w:rFonts w:ascii="Source Sans Pro" w:hAnsi="Source Sans Pro" w:cs="Source Sans Pro"/>
          <w:color w:val="auto"/>
          <w:sz w:val="20"/>
          <w:szCs w:val="20"/>
        </w:rPr>
        <w:t>Dies ist das zweit</w:t>
      </w:r>
      <w:r w:rsidR="00510879">
        <w:rPr>
          <w:rFonts w:ascii="Source Sans Pro" w:hAnsi="Source Sans Pro" w:cs="Source Sans Pro"/>
          <w:color w:val="auto"/>
          <w:sz w:val="20"/>
          <w:szCs w:val="20"/>
        </w:rPr>
        <w:t>schwächste</w:t>
      </w:r>
      <w:r w:rsidR="009F6777"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 Halbjahresergebnis seit 2009</w:t>
      </w:r>
      <w:r w:rsidR="000C1C4D" w:rsidRPr="00510879">
        <w:rPr>
          <w:rFonts w:ascii="Source Sans Pro" w:hAnsi="Source Sans Pro" w:cs="Source Sans Pro"/>
          <w:color w:val="auto"/>
          <w:sz w:val="20"/>
          <w:szCs w:val="20"/>
        </w:rPr>
        <w:t>.</w:t>
      </w:r>
      <w:r w:rsidR="000C1C4D" w:rsidRPr="00510879">
        <w:rPr>
          <w:rFonts w:ascii="Source Sans Pro" w:hAnsi="Source Sans Pro" w:cs="Source Sans Pro"/>
          <w:iCs/>
          <w:sz w:val="20"/>
          <w:szCs w:val="20"/>
        </w:rPr>
        <w:t xml:space="preserve"> </w:t>
      </w:r>
      <w:r w:rsidR="0071729A" w:rsidRPr="00510879">
        <w:rPr>
          <w:rFonts w:ascii="Source Sans Pro" w:hAnsi="Source Sans Pro" w:cs="Source Sans Pro"/>
          <w:bCs/>
          <w:i/>
          <w:sz w:val="20"/>
          <w:szCs w:val="20"/>
        </w:rPr>
        <w:t xml:space="preserve">„Nach wie vor </w:t>
      </w:r>
      <w:r w:rsidR="002D5463" w:rsidRPr="002D5463">
        <w:rPr>
          <w:rFonts w:ascii="Source Sans Pro" w:hAnsi="Source Sans Pro" w:cs="Source Sans Pro"/>
          <w:bCs/>
          <w:i/>
          <w:sz w:val="20"/>
          <w:szCs w:val="20"/>
        </w:rPr>
        <w:t xml:space="preserve">gehören private Anleger, Family Offices und </w:t>
      </w:r>
      <w:proofErr w:type="spellStart"/>
      <w:r w:rsidR="002D5463" w:rsidRPr="002D5463">
        <w:rPr>
          <w:rFonts w:ascii="Source Sans Pro" w:hAnsi="Source Sans Pro" w:cs="Source Sans Pro"/>
          <w:bCs/>
          <w:i/>
          <w:sz w:val="20"/>
          <w:szCs w:val="20"/>
        </w:rPr>
        <w:t>Corporates</w:t>
      </w:r>
      <w:proofErr w:type="spellEnd"/>
      <w:r w:rsidR="002D5463" w:rsidRPr="002D5463">
        <w:rPr>
          <w:rFonts w:ascii="Source Sans Pro" w:hAnsi="Source Sans Pro" w:cs="Source Sans Pro"/>
          <w:bCs/>
          <w:i/>
          <w:sz w:val="20"/>
          <w:szCs w:val="20"/>
        </w:rPr>
        <w:t xml:space="preserve"> zu den aktivsten Käufergruppen</w:t>
      </w:r>
      <w:r w:rsidR="000C1C4D" w:rsidRPr="00510879">
        <w:rPr>
          <w:rFonts w:ascii="Source Sans Pro" w:hAnsi="Source Sans Pro" w:cs="Source Sans Pro"/>
          <w:i/>
          <w:sz w:val="20"/>
          <w:szCs w:val="20"/>
        </w:rPr>
        <w:t xml:space="preserve">“, </w:t>
      </w:r>
      <w:r w:rsidR="000C1C4D" w:rsidRPr="00510879">
        <w:rPr>
          <w:rFonts w:ascii="Source Sans Pro" w:hAnsi="Source Sans Pro" w:cs="Source Sans Pro"/>
          <w:iCs/>
          <w:sz w:val="20"/>
          <w:szCs w:val="20"/>
        </w:rPr>
        <w:t xml:space="preserve">kommentiert </w:t>
      </w:r>
      <w:r w:rsidR="000C1C4D" w:rsidRPr="00510879">
        <w:rPr>
          <w:rFonts w:ascii="Source Sans Pro" w:hAnsi="Source Sans Pro" w:cs="Arial"/>
          <w:bCs/>
          <w:iCs/>
          <w:sz w:val="20"/>
          <w:szCs w:val="20"/>
        </w:rPr>
        <w:t xml:space="preserve">GPP-Sprecher </w:t>
      </w:r>
      <w:r w:rsidR="000C1C4D" w:rsidRPr="00510879">
        <w:rPr>
          <w:rFonts w:ascii="Source Sans Pro" w:hAnsi="Source Sans Pro" w:cs="Source Sans Pro"/>
          <w:b/>
          <w:iCs/>
          <w:sz w:val="20"/>
          <w:szCs w:val="20"/>
        </w:rPr>
        <w:t>Björn Holzwarth.</w:t>
      </w:r>
      <w:r w:rsidR="0071729A" w:rsidRPr="00510879">
        <w:rPr>
          <w:rFonts w:ascii="Source Sans Pro" w:hAnsi="Source Sans Pro" w:cs="Source Sans Pro"/>
          <w:bCs/>
          <w:i/>
          <w:sz w:val="20"/>
          <w:szCs w:val="20"/>
        </w:rPr>
        <w:t xml:space="preserve"> </w:t>
      </w:r>
      <w:r w:rsidR="00510879">
        <w:rPr>
          <w:rFonts w:ascii="Source Sans Pro" w:hAnsi="Source Sans Pro" w:cs="Source Sans Pro"/>
          <w:bCs/>
          <w:i/>
          <w:sz w:val="20"/>
          <w:szCs w:val="20"/>
        </w:rPr>
        <w:t>„</w:t>
      </w:r>
      <w:r w:rsidR="0071729A" w:rsidRPr="00510879">
        <w:rPr>
          <w:rFonts w:ascii="Source Sans Pro" w:hAnsi="Source Sans Pro" w:cs="Source Sans Pro"/>
          <w:bCs/>
          <w:i/>
          <w:sz w:val="20"/>
          <w:szCs w:val="20"/>
        </w:rPr>
        <w:t>Demensprechend bewegen sich die realisierten Transaktionen überwiegend im kleinen bis mittleren Preissegment. Großvolumige Abschlüsse waren im zweiten Quartal rar</w:t>
      </w:r>
      <w:r w:rsidR="00887D7F">
        <w:rPr>
          <w:rFonts w:ascii="Source Sans Pro" w:hAnsi="Source Sans Pro" w:cs="Source Sans Pro"/>
          <w:bCs/>
          <w:i/>
          <w:sz w:val="20"/>
          <w:szCs w:val="20"/>
        </w:rPr>
        <w:t>.</w:t>
      </w:r>
      <w:r w:rsidR="0071729A" w:rsidRPr="00510879">
        <w:rPr>
          <w:rFonts w:ascii="Source Sans Pro" w:hAnsi="Source Sans Pro" w:cs="Source Sans Pro"/>
          <w:bCs/>
          <w:i/>
          <w:sz w:val="20"/>
          <w:szCs w:val="20"/>
        </w:rPr>
        <w:t>“</w:t>
      </w:r>
    </w:p>
    <w:p w14:paraId="63A0CC93" w14:textId="77777777" w:rsidR="003946DE" w:rsidRPr="00510879" w:rsidRDefault="003946DE" w:rsidP="0071729A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Cs/>
          <w:sz w:val="20"/>
          <w:szCs w:val="20"/>
        </w:rPr>
      </w:pPr>
    </w:p>
    <w:p w14:paraId="71A88633" w14:textId="683DA977" w:rsidR="00655CAA" w:rsidRPr="00510879" w:rsidRDefault="003946DE" w:rsidP="000A512C">
      <w:pPr>
        <w:pStyle w:val="EinfAbs"/>
        <w:numPr>
          <w:ilvl w:val="0"/>
          <w:numId w:val="17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  <w:r w:rsidRPr="00510879">
        <w:rPr>
          <w:rFonts w:ascii="Source Sans Pro" w:hAnsi="Source Sans Pro" w:cs="Source Sans Pro"/>
          <w:iCs/>
          <w:sz w:val="20"/>
          <w:szCs w:val="20"/>
        </w:rPr>
        <w:t xml:space="preserve">Standortübergreifend wurden weiterhin wenige, hauptsächlich kleine bis mittelgroße Transaktionen realisiert. </w:t>
      </w:r>
      <w:r w:rsidR="009F6777" w:rsidRPr="00510879">
        <w:rPr>
          <w:rFonts w:ascii="Source Sans Pro" w:hAnsi="Source Sans Pro" w:cs="Source Sans Pro"/>
          <w:iCs/>
          <w:sz w:val="20"/>
          <w:szCs w:val="20"/>
        </w:rPr>
        <w:t>Für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Stuttgart und Berlin</w:t>
      </w:r>
      <w:r w:rsidR="009F6777" w:rsidRPr="00510879">
        <w:rPr>
          <w:rFonts w:ascii="Source Sans Pro" w:hAnsi="Source Sans Pro" w:cs="Source Sans Pro"/>
          <w:iCs/>
          <w:sz w:val="20"/>
          <w:szCs w:val="20"/>
        </w:rPr>
        <w:t xml:space="preserve"> erfasste GPP einen deutlichen Rückgang des TAVs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von 54 und 38 %</w:t>
      </w:r>
      <w:r w:rsidR="0071729A" w:rsidRPr="00510879">
        <w:rPr>
          <w:rFonts w:ascii="Source Sans Pro" w:hAnsi="Source Sans Pro" w:cs="Source Sans Pro"/>
          <w:iCs/>
          <w:sz w:val="20"/>
          <w:szCs w:val="20"/>
        </w:rPr>
        <w:t xml:space="preserve">. </w:t>
      </w:r>
      <w:r w:rsidR="002F3249" w:rsidRPr="00510879">
        <w:rPr>
          <w:rFonts w:ascii="Source Sans Pro" w:hAnsi="Source Sans Pro" w:cs="Source Sans Pro"/>
          <w:iCs/>
          <w:sz w:val="20"/>
          <w:szCs w:val="20"/>
        </w:rPr>
        <w:t xml:space="preserve">In München (+138% auf 1,36 Mrd. €) und </w:t>
      </w:r>
      <w:r w:rsidR="00DE0CC7" w:rsidRPr="00510879">
        <w:rPr>
          <w:rFonts w:ascii="Source Sans Pro" w:hAnsi="Source Sans Pro" w:cs="Source Sans Pro"/>
          <w:iCs/>
          <w:sz w:val="20"/>
          <w:szCs w:val="20"/>
        </w:rPr>
        <w:t>Frankfurt</w:t>
      </w:r>
      <w:r w:rsidR="002F3249" w:rsidRPr="00510879">
        <w:rPr>
          <w:rFonts w:ascii="Source Sans Pro" w:hAnsi="Source Sans Pro" w:cs="Source Sans Pro"/>
          <w:iCs/>
          <w:sz w:val="20"/>
          <w:szCs w:val="20"/>
        </w:rPr>
        <w:t xml:space="preserve"> (+6</w:t>
      </w:r>
      <w:r w:rsidR="0049607C">
        <w:rPr>
          <w:rFonts w:ascii="Source Sans Pro" w:hAnsi="Source Sans Pro" w:cs="Source Sans Pro"/>
          <w:iCs/>
          <w:sz w:val="20"/>
          <w:szCs w:val="20"/>
        </w:rPr>
        <w:t>7</w:t>
      </w:r>
      <w:r w:rsidR="002F3249" w:rsidRPr="00510879">
        <w:rPr>
          <w:rFonts w:ascii="Source Sans Pro" w:hAnsi="Source Sans Pro" w:cs="Source Sans Pro"/>
          <w:iCs/>
          <w:sz w:val="20"/>
          <w:szCs w:val="20"/>
        </w:rPr>
        <w:t xml:space="preserve"> % auf </w:t>
      </w:r>
      <w:r w:rsidR="0049607C">
        <w:rPr>
          <w:rFonts w:ascii="Source Sans Pro" w:hAnsi="Source Sans Pro" w:cs="Source Sans Pro"/>
          <w:iCs/>
          <w:sz w:val="20"/>
          <w:szCs w:val="20"/>
        </w:rPr>
        <w:t>534</w:t>
      </w:r>
      <w:r w:rsidR="002F3249" w:rsidRPr="00510879">
        <w:rPr>
          <w:rFonts w:ascii="Source Sans Pro" w:hAnsi="Source Sans Pro" w:cs="Source Sans Pro"/>
          <w:iCs/>
          <w:sz w:val="20"/>
          <w:szCs w:val="20"/>
        </w:rPr>
        <w:t xml:space="preserve"> Mio. €)</w:t>
      </w:r>
      <w:r w:rsidR="00DE0CC7" w:rsidRPr="00510879">
        <w:rPr>
          <w:rFonts w:ascii="Source Sans Pro" w:hAnsi="Source Sans Pro" w:cs="Source Sans Pro"/>
          <w:iCs/>
          <w:sz w:val="20"/>
          <w:szCs w:val="20"/>
        </w:rPr>
        <w:t xml:space="preserve"> kletterte das TAV</w:t>
      </w:r>
      <w:r w:rsidR="007C7B61" w:rsidRPr="00510879">
        <w:rPr>
          <w:rFonts w:ascii="Source Sans Pro" w:hAnsi="Source Sans Pro" w:cs="Source Sans Pro"/>
          <w:iCs/>
          <w:sz w:val="20"/>
          <w:szCs w:val="20"/>
        </w:rPr>
        <w:t xml:space="preserve"> hingegen</w:t>
      </w:r>
      <w:r w:rsidR="00DE0CC7" w:rsidRPr="00510879">
        <w:rPr>
          <w:rFonts w:ascii="Source Sans Pro" w:hAnsi="Source Sans Pro" w:cs="Source Sans Pro"/>
          <w:iCs/>
          <w:sz w:val="20"/>
          <w:szCs w:val="20"/>
        </w:rPr>
        <w:t xml:space="preserve"> deutlich nach oben. Dies ist auf </w:t>
      </w:r>
      <w:r w:rsidR="002F3249" w:rsidRPr="00510879">
        <w:rPr>
          <w:rFonts w:ascii="Source Sans Pro" w:hAnsi="Source Sans Pro" w:cs="Source Sans Pro"/>
          <w:iCs/>
          <w:sz w:val="20"/>
          <w:szCs w:val="20"/>
        </w:rPr>
        <w:t xml:space="preserve">zwei Großtransaktionen zum Jahresanfang in München sowie </w:t>
      </w:r>
      <w:r w:rsidR="00887D7F">
        <w:rPr>
          <w:rFonts w:ascii="Source Sans Pro" w:hAnsi="Source Sans Pro" w:cs="Source Sans Pro"/>
          <w:iCs/>
          <w:sz w:val="20"/>
          <w:szCs w:val="20"/>
        </w:rPr>
        <w:t xml:space="preserve">einige großvolumige </w:t>
      </w:r>
      <w:r w:rsidR="002F3249" w:rsidRPr="00510879">
        <w:rPr>
          <w:rFonts w:ascii="Source Sans Pro" w:hAnsi="Source Sans Pro" w:cs="Source Sans Pro"/>
          <w:iCs/>
          <w:sz w:val="20"/>
          <w:szCs w:val="20"/>
        </w:rPr>
        <w:t>Verkäufe in Frankfurt zurückzuführen. Die bayerische Landeshauptstadt erzielte damit das höchste TAV im Top-7-Vergleich</w:t>
      </w:r>
      <w:r w:rsidR="00B54185" w:rsidRPr="00510879">
        <w:rPr>
          <w:rFonts w:ascii="Source Sans Pro" w:hAnsi="Source Sans Pro" w:cs="Source Sans Pro"/>
          <w:iCs/>
          <w:sz w:val="20"/>
          <w:szCs w:val="20"/>
        </w:rPr>
        <w:t>, gefolgt von Berlin mit 1,18 Mrd. €.</w:t>
      </w:r>
    </w:p>
    <w:p w14:paraId="12D44884" w14:textId="56A18457" w:rsidR="00655CAA" w:rsidRPr="00510879" w:rsidRDefault="00BB284C" w:rsidP="00C50A3D">
      <w:pPr>
        <w:pStyle w:val="EinfAbs"/>
        <w:numPr>
          <w:ilvl w:val="0"/>
          <w:numId w:val="17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  <w:r w:rsidRPr="00510879">
        <w:rPr>
          <w:rFonts w:ascii="Source Sans Pro" w:hAnsi="Source Sans Pro" w:cs="Source Sans Pro"/>
          <w:iCs/>
          <w:sz w:val="20"/>
          <w:szCs w:val="20"/>
        </w:rPr>
        <w:t>Die Münchener</w:t>
      </w:r>
      <w:r w:rsidR="00887D7F">
        <w:rPr>
          <w:rFonts w:ascii="Source Sans Pro" w:hAnsi="Source Sans Pro" w:cs="Source Sans Pro"/>
          <w:iCs/>
          <w:sz w:val="20"/>
          <w:szCs w:val="20"/>
        </w:rPr>
        <w:t xml:space="preserve"> und Frankfurter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Großtransaktionen sorgten ebenfalls dafür, dass </w:t>
      </w:r>
      <w:proofErr w:type="gramStart"/>
      <w:r w:rsidRPr="00510879">
        <w:rPr>
          <w:rFonts w:ascii="Source Sans Pro" w:hAnsi="Source Sans Pro" w:cs="Source Sans Pro"/>
          <w:iCs/>
          <w:sz w:val="20"/>
          <w:szCs w:val="20"/>
        </w:rPr>
        <w:t>Mixed-</w:t>
      </w:r>
      <w:proofErr w:type="spellStart"/>
      <w:r w:rsidRPr="00510879">
        <w:rPr>
          <w:rFonts w:ascii="Source Sans Pro" w:hAnsi="Source Sans Pro" w:cs="Source Sans Pro"/>
          <w:iCs/>
          <w:sz w:val="20"/>
          <w:szCs w:val="20"/>
        </w:rPr>
        <w:t>use</w:t>
      </w:r>
      <w:proofErr w:type="spellEnd"/>
      <w:r w:rsidRPr="00510879">
        <w:rPr>
          <w:rFonts w:ascii="Source Sans Pro" w:hAnsi="Source Sans Pro" w:cs="Source Sans Pro"/>
          <w:iCs/>
          <w:sz w:val="20"/>
          <w:szCs w:val="20"/>
        </w:rPr>
        <w:t>-Objekte</w:t>
      </w:r>
      <w:proofErr w:type="gramEnd"/>
      <w:r w:rsidRPr="00510879">
        <w:rPr>
          <w:rFonts w:ascii="Source Sans Pro" w:hAnsi="Source Sans Pro" w:cs="Source Sans Pro"/>
          <w:iCs/>
          <w:sz w:val="20"/>
          <w:szCs w:val="20"/>
        </w:rPr>
        <w:t xml:space="preserve"> die am stärkste</w:t>
      </w:r>
      <w:r w:rsidR="001407F3">
        <w:rPr>
          <w:rFonts w:ascii="Source Sans Pro" w:hAnsi="Source Sans Pro" w:cs="Source Sans Pro"/>
          <w:iCs/>
          <w:sz w:val="20"/>
          <w:szCs w:val="20"/>
        </w:rPr>
        <w:t>n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gehandelte Assetklasse waren. Ihr Anteil am Top-7-TA</w:t>
      </w:r>
      <w:r w:rsidR="00E20DE4" w:rsidRPr="00510879">
        <w:rPr>
          <w:rFonts w:ascii="Source Sans Pro" w:hAnsi="Source Sans Pro" w:cs="Source Sans Pro"/>
          <w:iCs/>
          <w:sz w:val="20"/>
          <w:szCs w:val="20"/>
        </w:rPr>
        <w:t>V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belief sich auf rund 3</w:t>
      </w:r>
      <w:r w:rsidR="0065213B">
        <w:rPr>
          <w:rFonts w:ascii="Source Sans Pro" w:hAnsi="Source Sans Pro" w:cs="Source Sans Pro"/>
          <w:iCs/>
          <w:sz w:val="20"/>
          <w:szCs w:val="20"/>
        </w:rPr>
        <w:t>4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%, </w:t>
      </w:r>
      <w:r w:rsidR="00E20DE4" w:rsidRPr="00510879">
        <w:rPr>
          <w:rFonts w:ascii="Source Sans Pro" w:hAnsi="Source Sans Pro" w:cs="Source Sans Pro"/>
          <w:iCs/>
          <w:sz w:val="20"/>
          <w:szCs w:val="20"/>
        </w:rPr>
        <w:t>darauf folgten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</w:t>
      </w:r>
      <w:r w:rsidR="00E20DE4" w:rsidRPr="00510879">
        <w:rPr>
          <w:rFonts w:ascii="Source Sans Pro" w:hAnsi="Source Sans Pro" w:cs="Source Sans Pro"/>
          <w:iCs/>
          <w:sz w:val="20"/>
          <w:szCs w:val="20"/>
        </w:rPr>
        <w:t xml:space="preserve">Büroimmobilien mit etwa </w:t>
      </w:r>
      <w:r w:rsidR="0065213B" w:rsidRPr="00510879">
        <w:rPr>
          <w:rFonts w:ascii="Source Sans Pro" w:hAnsi="Source Sans Pro" w:cs="Source Sans Pro"/>
          <w:iCs/>
          <w:sz w:val="20"/>
          <w:szCs w:val="20"/>
        </w:rPr>
        <w:t>2</w:t>
      </w:r>
      <w:r w:rsidR="0065213B">
        <w:rPr>
          <w:rFonts w:ascii="Source Sans Pro" w:hAnsi="Source Sans Pro" w:cs="Source Sans Pro"/>
          <w:iCs/>
          <w:sz w:val="20"/>
          <w:szCs w:val="20"/>
        </w:rPr>
        <w:t>1</w:t>
      </w:r>
      <w:r w:rsidR="0065213B" w:rsidRPr="00510879">
        <w:rPr>
          <w:rFonts w:ascii="Source Sans Pro" w:hAnsi="Source Sans Pro" w:cs="Source Sans Pro"/>
          <w:iCs/>
          <w:sz w:val="20"/>
          <w:szCs w:val="20"/>
        </w:rPr>
        <w:t xml:space="preserve"> </w:t>
      </w:r>
      <w:r w:rsidR="00E20DE4" w:rsidRPr="00510879">
        <w:rPr>
          <w:rFonts w:ascii="Source Sans Pro" w:hAnsi="Source Sans Pro" w:cs="Source Sans Pro"/>
          <w:iCs/>
          <w:sz w:val="20"/>
          <w:szCs w:val="20"/>
        </w:rPr>
        <w:t>%.</w:t>
      </w:r>
    </w:p>
    <w:p w14:paraId="782D42C6" w14:textId="014AD2C5" w:rsidR="00655CAA" w:rsidRPr="00510879" w:rsidRDefault="00B519C8" w:rsidP="00F27F1C">
      <w:pPr>
        <w:pStyle w:val="EinfAbs"/>
        <w:numPr>
          <w:ilvl w:val="0"/>
          <w:numId w:val="17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  <w:r w:rsidRPr="00510879">
        <w:rPr>
          <w:rFonts w:ascii="Source Sans Pro" w:hAnsi="Source Sans Pro" w:cs="Source Sans Pro"/>
          <w:iCs/>
          <w:sz w:val="20"/>
          <w:szCs w:val="20"/>
        </w:rPr>
        <w:t>Der Anteil an Portfolio-</w:t>
      </w:r>
      <w:r w:rsidR="00655CAA" w:rsidRPr="00510879">
        <w:rPr>
          <w:rFonts w:ascii="Source Sans Pro" w:hAnsi="Source Sans Pro" w:cs="Source Sans Pro"/>
          <w:iCs/>
          <w:sz w:val="20"/>
          <w:szCs w:val="20"/>
        </w:rPr>
        <w:t>K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äufen sank von rund 31 % im Vorjahreszeitraum auf etwa </w:t>
      </w:r>
      <w:r w:rsidR="0049607C">
        <w:rPr>
          <w:rFonts w:ascii="Source Sans Pro" w:hAnsi="Source Sans Pro" w:cs="Source Sans Pro"/>
          <w:iCs/>
          <w:sz w:val="20"/>
          <w:szCs w:val="20"/>
        </w:rPr>
        <w:t>6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%.</w:t>
      </w:r>
      <w:r w:rsidR="00C86B1E" w:rsidRPr="00510879">
        <w:rPr>
          <w:rFonts w:ascii="Source Sans Pro" w:hAnsi="Source Sans Pro" w:cs="Source Sans Pro"/>
          <w:iCs/>
          <w:sz w:val="20"/>
          <w:szCs w:val="20"/>
        </w:rPr>
        <w:t xml:space="preserve"> In Düsseldorf, </w:t>
      </w:r>
      <w:r w:rsidR="0049607C">
        <w:rPr>
          <w:rFonts w:ascii="Source Sans Pro" w:hAnsi="Source Sans Pro" w:cs="Source Sans Pro"/>
          <w:iCs/>
          <w:sz w:val="20"/>
          <w:szCs w:val="20"/>
        </w:rPr>
        <w:t xml:space="preserve">Frankfurt, </w:t>
      </w:r>
      <w:r w:rsidR="00C86B1E" w:rsidRPr="00510879">
        <w:rPr>
          <w:rFonts w:ascii="Source Sans Pro" w:hAnsi="Source Sans Pro" w:cs="Source Sans Pro"/>
          <w:iCs/>
          <w:sz w:val="20"/>
          <w:szCs w:val="20"/>
        </w:rPr>
        <w:t xml:space="preserve">Stuttgart und München </w:t>
      </w:r>
      <w:r w:rsidR="0071729A" w:rsidRPr="00510879">
        <w:rPr>
          <w:rFonts w:ascii="Source Sans Pro" w:hAnsi="Source Sans Pro" w:cs="Source Sans Pro"/>
          <w:iCs/>
          <w:sz w:val="20"/>
          <w:szCs w:val="20"/>
        </w:rPr>
        <w:t xml:space="preserve">blieben diese </w:t>
      </w:r>
      <w:r w:rsidR="00C86B1E" w:rsidRPr="00510879">
        <w:rPr>
          <w:rFonts w:ascii="Source Sans Pro" w:hAnsi="Source Sans Pro" w:cs="Source Sans Pro"/>
          <w:iCs/>
          <w:sz w:val="20"/>
          <w:szCs w:val="20"/>
        </w:rPr>
        <w:t>aus.</w:t>
      </w:r>
    </w:p>
    <w:p w14:paraId="09C4CA3B" w14:textId="78037625" w:rsidR="00655CAA" w:rsidRPr="00510879" w:rsidRDefault="00655CAA" w:rsidP="00F27F1C">
      <w:pPr>
        <w:pStyle w:val="EinfAbs"/>
        <w:numPr>
          <w:ilvl w:val="0"/>
          <w:numId w:val="17"/>
        </w:numPr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  <w:r w:rsidRPr="00510879">
        <w:rPr>
          <w:rFonts w:ascii="Source Sans Pro" w:hAnsi="Source Sans Pro" w:cs="Source Sans Pro"/>
          <w:iCs/>
          <w:sz w:val="20"/>
          <w:szCs w:val="20"/>
        </w:rPr>
        <w:t xml:space="preserve">In der 1. Jahreshälfte haben sich die Spitzenrenditen an den meisten Standorten stabilisiert. Der Renditeabstand zwischen </w:t>
      </w:r>
      <w:r w:rsidR="00887D7F">
        <w:rPr>
          <w:rFonts w:ascii="Source Sans Pro" w:hAnsi="Source Sans Pro" w:cs="Source Sans Pro"/>
          <w:iCs/>
          <w:sz w:val="20"/>
          <w:szCs w:val="20"/>
        </w:rPr>
        <w:t>Büroobjekten und Industrie- und Logistikimmobilien</w:t>
      </w:r>
      <w:r w:rsidRPr="00510879">
        <w:rPr>
          <w:rFonts w:ascii="Source Sans Pro" w:hAnsi="Source Sans Pro" w:cs="Source Sans Pro"/>
          <w:iCs/>
          <w:sz w:val="20"/>
          <w:szCs w:val="20"/>
        </w:rPr>
        <w:t xml:space="preserve"> ist weiterhin gering. In Hamburg, Köln, Frankfurt und Stuttgart liegen sie auf dem gleichen Niveau.</w:t>
      </w:r>
    </w:p>
    <w:p w14:paraId="4B526C1A" w14:textId="5D8EFC0B" w:rsidR="00655CAA" w:rsidRPr="00510879" w:rsidRDefault="00655CAA" w:rsidP="0071729A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0"/>
          <w:szCs w:val="20"/>
        </w:rPr>
      </w:pPr>
    </w:p>
    <w:p w14:paraId="09A2C847" w14:textId="2449B598" w:rsidR="000B5FF3" w:rsidRPr="00510879" w:rsidRDefault="0071729A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iCs/>
          <w:color w:val="auto"/>
          <w:sz w:val="20"/>
          <w:szCs w:val="20"/>
        </w:rPr>
      </w:pPr>
      <w:r w:rsidRPr="00510879">
        <w:rPr>
          <w:rFonts w:ascii="Source Sans Pro" w:hAnsi="Source Sans Pro" w:cs="Source Sans Pro"/>
          <w:b/>
          <w:bCs/>
          <w:color w:val="auto"/>
          <w:sz w:val="20"/>
          <w:szCs w:val="20"/>
        </w:rPr>
        <w:t xml:space="preserve">Holzwarth </w:t>
      </w:r>
      <w:r w:rsidRPr="00510879">
        <w:rPr>
          <w:rFonts w:ascii="Source Sans Pro" w:hAnsi="Source Sans Pro" w:cs="Source Sans Pro"/>
          <w:color w:val="auto"/>
          <w:sz w:val="20"/>
          <w:szCs w:val="20"/>
        </w:rPr>
        <w:t xml:space="preserve">prognostiziert: </w:t>
      </w:r>
      <w:r w:rsidRPr="00510879">
        <w:rPr>
          <w:rFonts w:ascii="Source Sans Pro" w:hAnsi="Source Sans Pro" w:cs="Source Sans Pro"/>
          <w:i/>
          <w:iCs/>
          <w:color w:val="auto"/>
          <w:sz w:val="20"/>
          <w:szCs w:val="20"/>
        </w:rPr>
        <w:t>„Wir beobachten</w:t>
      </w:r>
      <w:r w:rsidR="007C7B61" w:rsidRPr="00510879">
        <w:rPr>
          <w:rFonts w:ascii="Source Sans Pro" w:hAnsi="Source Sans Pro" w:cs="Source Sans Pro"/>
          <w:i/>
          <w:iCs/>
          <w:color w:val="auto"/>
          <w:sz w:val="20"/>
          <w:szCs w:val="20"/>
        </w:rPr>
        <w:t xml:space="preserve"> an einigen Standorten eine Zunahme </w:t>
      </w:r>
      <w:r w:rsidR="00887D7F">
        <w:rPr>
          <w:rFonts w:ascii="Source Sans Pro" w:hAnsi="Source Sans Pro" w:cs="Source Sans Pro"/>
          <w:i/>
          <w:iCs/>
          <w:color w:val="auto"/>
          <w:sz w:val="20"/>
          <w:szCs w:val="20"/>
        </w:rPr>
        <w:t>an</w:t>
      </w:r>
      <w:r w:rsidR="007C7B61" w:rsidRPr="00510879">
        <w:rPr>
          <w:rFonts w:ascii="Source Sans Pro" w:hAnsi="Source Sans Pro" w:cs="Source Sans Pro"/>
          <w:i/>
          <w:iCs/>
          <w:color w:val="auto"/>
          <w:sz w:val="20"/>
          <w:szCs w:val="20"/>
        </w:rPr>
        <w:t xml:space="preserve"> Verkaufsvorbereitungen, sodass im weiteren Jahresverlauf wieder mehr Transaktionen abgeschlossen werden dürften. Weitere mögliche Signa-Verkäufe könnten das Transaktionsvolumen zusätzlich anheben. Die Zinssenkung der EZB im Juni dürfte für Investoren ein erstes Zeichen sein, aus ihrer abwartenden Haltung zurückzukehren</w:t>
      </w:r>
      <w:r w:rsidR="00510879" w:rsidRPr="00510879">
        <w:rPr>
          <w:rFonts w:ascii="Source Sans Pro" w:hAnsi="Source Sans Pro" w:cs="Source Sans Pro"/>
          <w:i/>
          <w:iCs/>
          <w:color w:val="auto"/>
          <w:sz w:val="20"/>
          <w:szCs w:val="20"/>
        </w:rPr>
        <w:t>. M</w:t>
      </w:r>
      <w:r w:rsidR="007C7B61" w:rsidRPr="00510879">
        <w:rPr>
          <w:rFonts w:ascii="Source Sans Pro" w:hAnsi="Source Sans Pro" w:cs="Source Sans Pro"/>
          <w:i/>
          <w:iCs/>
          <w:color w:val="auto"/>
          <w:sz w:val="20"/>
          <w:szCs w:val="20"/>
        </w:rPr>
        <w:t>it einer Wiederbelebung des Marktes rechnen wir 2024 jedoch nicht.“</w:t>
      </w:r>
    </w:p>
    <w:p w14:paraId="2867A76E" w14:textId="77777777" w:rsidR="007C7B61" w:rsidRPr="00510879" w:rsidRDefault="007C7B61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iCs/>
          <w:color w:val="auto"/>
          <w:sz w:val="20"/>
          <w:szCs w:val="20"/>
        </w:rPr>
      </w:pPr>
    </w:p>
    <w:p w14:paraId="2E3C6E2E" w14:textId="5507C944" w:rsidR="00E822DD" w:rsidRPr="00510879" w:rsidRDefault="000D6F1F" w:rsidP="00991B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0"/>
          <w:szCs w:val="20"/>
        </w:rPr>
      </w:pPr>
      <w:r w:rsidRPr="00510879">
        <w:rPr>
          <w:rFonts w:ascii="Source Sans Pro" w:hAnsi="Source Sans Pro" w:cs="Source Sans Pro"/>
          <w:sz w:val="20"/>
          <w:szCs w:val="20"/>
        </w:rPr>
        <w:lastRenderedPageBreak/>
        <w:t xml:space="preserve">Zu </w:t>
      </w:r>
      <w:r w:rsidR="007C7B61" w:rsidRPr="00510879">
        <w:rPr>
          <w:rFonts w:ascii="Source Sans Pro" w:hAnsi="Source Sans Pro" w:cs="Source Sans Pro"/>
          <w:sz w:val="20"/>
          <w:szCs w:val="20"/>
        </w:rPr>
        <w:t>German Property Partners (GPP)</w:t>
      </w:r>
      <w:r w:rsidRPr="00510879">
        <w:rPr>
          <w:rFonts w:ascii="Source Sans Pro" w:hAnsi="Source Sans Pro" w:cs="Source Sans Pro"/>
          <w:sz w:val="20"/>
          <w:szCs w:val="20"/>
        </w:rPr>
        <w:t xml:space="preserve"> gehören </w:t>
      </w:r>
      <w:r w:rsidRPr="00510879">
        <w:rPr>
          <w:rFonts w:ascii="Source Sans Pro" w:hAnsi="Source Sans Pro" w:cs="Arial"/>
          <w:bCs/>
          <w:sz w:val="20"/>
          <w:szCs w:val="20"/>
        </w:rPr>
        <w:t>Grossmann &amp; Berger</w:t>
      </w:r>
      <w:r w:rsidR="00484027" w:rsidRPr="00510879">
        <w:rPr>
          <w:rFonts w:ascii="Source Sans Pro" w:hAnsi="Source Sans Pro" w:cs="Arial"/>
          <w:bCs/>
          <w:sz w:val="20"/>
          <w:szCs w:val="20"/>
        </w:rPr>
        <w:t xml:space="preserve"> Immobilien</w:t>
      </w:r>
      <w:r w:rsidRPr="00510879">
        <w:rPr>
          <w:rFonts w:ascii="Source Sans Pro" w:hAnsi="Source Sans Pro" w:cs="Arial"/>
          <w:bCs/>
          <w:sz w:val="20"/>
          <w:szCs w:val="20"/>
        </w:rPr>
        <w:t xml:space="preserve">, Anteon Immobilien, GREIF &amp; CONTZEN Immobilien, blackolive und E &amp; G </w:t>
      </w:r>
      <w:r w:rsidR="00080FD4" w:rsidRPr="00510879">
        <w:rPr>
          <w:rFonts w:ascii="Source Sans Pro" w:hAnsi="Source Sans Pro" w:cs="Arial"/>
          <w:bCs/>
          <w:sz w:val="20"/>
          <w:szCs w:val="20"/>
        </w:rPr>
        <w:t>Immobilien</w:t>
      </w:r>
      <w:r w:rsidRPr="00510879">
        <w:rPr>
          <w:rFonts w:ascii="Source Sans Pro" w:hAnsi="Source Sans Pro" w:cs="Arial"/>
          <w:bCs/>
          <w:sz w:val="20"/>
          <w:szCs w:val="20"/>
        </w:rPr>
        <w:t>.</w:t>
      </w:r>
    </w:p>
    <w:p w14:paraId="2933DBA6" w14:textId="77777777" w:rsidR="00635995" w:rsidRDefault="00635995" w:rsidP="00991B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/>
          <w:sz w:val="20"/>
        </w:rPr>
      </w:pPr>
    </w:p>
    <w:p w14:paraId="1554564B" w14:textId="176BA3A8" w:rsidR="00E822DD" w:rsidRPr="00EF0944" w:rsidRDefault="00E822DD" w:rsidP="00E822DD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510879">
        <w:rPr>
          <w:rFonts w:ascii="Source Sans Pro" w:hAnsi="Source Sans Pro" w:cs="Arial"/>
          <w:b/>
          <w:sz w:val="20"/>
          <w:lang w:val="en-GB"/>
        </w:rPr>
        <w:t xml:space="preserve">Top-7-Standorte | </w:t>
      </w:r>
      <w:r w:rsidR="002E2D2D" w:rsidRPr="00510879">
        <w:rPr>
          <w:rFonts w:ascii="Source Sans Pro" w:hAnsi="Source Sans Pro" w:cs="Arial"/>
          <w:b/>
          <w:sz w:val="20"/>
          <w:lang w:val="en-GB"/>
        </w:rPr>
        <w:t>1.-</w:t>
      </w:r>
      <w:r w:rsidR="00EA5A14" w:rsidRPr="00510879">
        <w:rPr>
          <w:rFonts w:ascii="Source Sans Pro" w:hAnsi="Source Sans Pro" w:cs="Arial"/>
          <w:b/>
          <w:sz w:val="20"/>
          <w:lang w:val="en-GB"/>
        </w:rPr>
        <w:t>2</w:t>
      </w:r>
      <w:r w:rsidRPr="00510879">
        <w:rPr>
          <w:rFonts w:ascii="Source Sans Pro" w:hAnsi="Source Sans Pro" w:cs="Arial"/>
          <w:b/>
          <w:sz w:val="20"/>
          <w:lang w:val="en-GB"/>
        </w:rPr>
        <w:t xml:space="preserve">. </w:t>
      </w:r>
      <w:r w:rsidRPr="00510879">
        <w:rPr>
          <w:rFonts w:ascii="Source Sans Pro" w:hAnsi="Source Sans Pro" w:cs="Arial"/>
          <w:b/>
          <w:sz w:val="20"/>
        </w:rPr>
        <w:t>Quartal 2024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1134"/>
        <w:gridCol w:w="850"/>
        <w:gridCol w:w="851"/>
        <w:gridCol w:w="923"/>
      </w:tblGrid>
      <w:tr w:rsidR="00910B65" w:rsidRPr="00161817" w14:paraId="2B554485" w14:textId="77777777" w:rsidTr="00C974EE">
        <w:tc>
          <w:tcPr>
            <w:tcW w:w="1555" w:type="dxa"/>
          </w:tcPr>
          <w:p w14:paraId="5F7F2C19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CCBA568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992" w:type="dxa"/>
          </w:tcPr>
          <w:p w14:paraId="1B9556F5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92" w:type="dxa"/>
          </w:tcPr>
          <w:p w14:paraId="4B35B61E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93" w:type="dxa"/>
          </w:tcPr>
          <w:p w14:paraId="669870D1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1134" w:type="dxa"/>
          </w:tcPr>
          <w:p w14:paraId="012CEC8E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850" w:type="dxa"/>
          </w:tcPr>
          <w:p w14:paraId="337BA2E8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851" w:type="dxa"/>
          </w:tcPr>
          <w:p w14:paraId="29257547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923" w:type="dxa"/>
          </w:tcPr>
          <w:p w14:paraId="1D10DF5A" w14:textId="77777777" w:rsidR="00E822DD" w:rsidRPr="00161817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910B65" w:rsidRPr="00161817" w14:paraId="277AF685" w14:textId="77777777" w:rsidTr="00C974EE">
        <w:tc>
          <w:tcPr>
            <w:tcW w:w="1555" w:type="dxa"/>
          </w:tcPr>
          <w:p w14:paraId="013262B9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0501F81D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992" w:type="dxa"/>
            <w:vAlign w:val="center"/>
          </w:tcPr>
          <w:p w14:paraId="37982267" w14:textId="0BC85C46" w:rsidR="00E822DD" w:rsidRPr="002E7EE2" w:rsidRDefault="002E7EE2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E7EE2">
              <w:rPr>
                <w:rFonts w:ascii="Source Sans Pro" w:hAnsi="Source Sans Pro" w:cs="Arial"/>
                <w:sz w:val="16"/>
                <w:szCs w:val="16"/>
              </w:rPr>
              <w:t>640</w:t>
            </w:r>
          </w:p>
        </w:tc>
        <w:tc>
          <w:tcPr>
            <w:tcW w:w="992" w:type="dxa"/>
            <w:vAlign w:val="center"/>
          </w:tcPr>
          <w:p w14:paraId="626C970A" w14:textId="2A7D2120" w:rsidR="00E822DD" w:rsidRPr="00B16A5C" w:rsidRDefault="002E7EE2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1.180</w:t>
            </w:r>
          </w:p>
        </w:tc>
        <w:tc>
          <w:tcPr>
            <w:tcW w:w="992" w:type="dxa"/>
            <w:vAlign w:val="center"/>
          </w:tcPr>
          <w:p w14:paraId="7AEB33B8" w14:textId="19B546F4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14:paraId="2C2C18EC" w14:textId="3B659B9E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14:paraId="32C4F1F9" w14:textId="0B3C996D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075446">
              <w:rPr>
                <w:rFonts w:ascii="Source Sans Pro" w:hAnsi="Source Sans Pro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14:paraId="4883A7F0" w14:textId="050A82FC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E6ACA" w14:textId="176586EC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1.357</w:t>
            </w:r>
          </w:p>
        </w:tc>
        <w:tc>
          <w:tcPr>
            <w:tcW w:w="923" w:type="dxa"/>
            <w:vAlign w:val="center"/>
          </w:tcPr>
          <w:p w14:paraId="72E3C7F5" w14:textId="2ED6960F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b/>
                <w:sz w:val="16"/>
                <w:szCs w:val="16"/>
              </w:rPr>
              <w:t>4.</w:t>
            </w:r>
            <w:r w:rsidR="00075446" w:rsidRPr="00B16A5C"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  <w:r w:rsidR="00075446">
              <w:rPr>
                <w:rFonts w:ascii="Source Sans Pro" w:hAnsi="Source Sans Pro" w:cs="Arial"/>
                <w:b/>
                <w:sz w:val="16"/>
                <w:szCs w:val="16"/>
              </w:rPr>
              <w:t>73</w:t>
            </w:r>
          </w:p>
        </w:tc>
      </w:tr>
      <w:tr w:rsidR="00910B65" w:rsidRPr="00161817" w14:paraId="5C518F86" w14:textId="77777777" w:rsidTr="00C974EE">
        <w:tc>
          <w:tcPr>
            <w:tcW w:w="1555" w:type="dxa"/>
          </w:tcPr>
          <w:p w14:paraId="3350112D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21AFC26B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ggü. Vorjahr</w:t>
            </w: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992" w:type="dxa"/>
            <w:vAlign w:val="center"/>
          </w:tcPr>
          <w:p w14:paraId="6EC238E4" w14:textId="28D32C48" w:rsidR="00E822DD" w:rsidRPr="002E7EE2" w:rsidRDefault="002E7EE2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E7EE2">
              <w:rPr>
                <w:rFonts w:ascii="Source Sans Pro" w:hAnsi="Source Sans Pro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14:paraId="2C0D819C" w14:textId="7F3CACEA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2E7EE2" w:rsidRPr="00B16A5C">
              <w:rPr>
                <w:rFonts w:ascii="Source Sans Pro" w:hAnsi="Source Sans Pro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14:paraId="1D31FE0A" w14:textId="3E92FD06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21EB7A3C" w14:textId="2801A07B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14:paraId="61BD16E7" w14:textId="79477E69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6</w:t>
            </w:r>
            <w:r w:rsidR="00075446">
              <w:rPr>
                <w:rFonts w:ascii="Source Sans Pro" w:hAnsi="Source Sans Pro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2E248438" w14:textId="54F759BE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12C30" w14:textId="2505AC99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1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38</w:t>
            </w:r>
          </w:p>
        </w:tc>
        <w:tc>
          <w:tcPr>
            <w:tcW w:w="923" w:type="dxa"/>
            <w:vAlign w:val="center"/>
          </w:tcPr>
          <w:p w14:paraId="44391118" w14:textId="46C96E7E" w:rsidR="00E822DD" w:rsidRPr="00B16A5C" w:rsidRDefault="0049607C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7</w:t>
            </w:r>
          </w:p>
        </w:tc>
      </w:tr>
      <w:tr w:rsidR="00910B65" w:rsidRPr="00161817" w14:paraId="0E2C9494" w14:textId="77777777" w:rsidTr="00C974EE">
        <w:tc>
          <w:tcPr>
            <w:tcW w:w="1555" w:type="dxa"/>
          </w:tcPr>
          <w:p w14:paraId="3C8BE28D" w14:textId="3F43E0C8" w:rsidR="00E822DD" w:rsidRPr="00161817" w:rsidRDefault="00E822DD" w:rsidP="006061BF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  <w:r w:rsidR="006061BF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992" w:type="dxa"/>
            <w:vAlign w:val="center"/>
          </w:tcPr>
          <w:p w14:paraId="5D7F0600" w14:textId="0B287A4E" w:rsidR="00E822DD" w:rsidRPr="002E7EE2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E7EE2">
              <w:rPr>
                <w:rFonts w:ascii="Source Sans Pro" w:hAnsi="Source Sans Pro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vAlign w:val="center"/>
          </w:tcPr>
          <w:p w14:paraId="6D16127A" w14:textId="3CB5D95C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2E7EE2" w:rsidRPr="00B16A5C">
              <w:rPr>
                <w:rFonts w:ascii="Source Sans Pro" w:hAnsi="Source Sans Pro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14:paraId="02CFC26B" w14:textId="6B61E05D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993" w:type="dxa"/>
            <w:vAlign w:val="center"/>
          </w:tcPr>
          <w:p w14:paraId="77622C27" w14:textId="00FACAA9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1134" w:type="dxa"/>
            <w:vAlign w:val="center"/>
          </w:tcPr>
          <w:p w14:paraId="0C44D799" w14:textId="6DE79824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4,60</w:t>
            </w:r>
          </w:p>
        </w:tc>
        <w:tc>
          <w:tcPr>
            <w:tcW w:w="850" w:type="dxa"/>
            <w:vAlign w:val="center"/>
          </w:tcPr>
          <w:p w14:paraId="480FC3B3" w14:textId="5CC9C194" w:rsidR="00E822DD" w:rsidRPr="001A0708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A0708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B16A5C" w:rsidRPr="001A0708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Pr="001A0708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D38FEF" w14:textId="22CF6371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4,20</w:t>
            </w:r>
          </w:p>
        </w:tc>
        <w:tc>
          <w:tcPr>
            <w:tcW w:w="923" w:type="dxa"/>
            <w:vAlign w:val="center"/>
          </w:tcPr>
          <w:p w14:paraId="12457880" w14:textId="0630734A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b/>
                <w:sz w:val="16"/>
                <w:szCs w:val="16"/>
              </w:rPr>
              <w:t>4,4</w:t>
            </w:r>
            <w:r w:rsidR="00B16A5C" w:rsidRPr="00B16A5C">
              <w:rPr>
                <w:rFonts w:ascii="Source Sans Pro" w:hAnsi="Source Sans Pro" w:cs="Arial"/>
                <w:b/>
                <w:sz w:val="16"/>
                <w:szCs w:val="16"/>
              </w:rPr>
              <w:t>1</w:t>
            </w:r>
          </w:p>
        </w:tc>
      </w:tr>
      <w:tr w:rsidR="00910B65" w:rsidRPr="00161817" w14:paraId="5B819F04" w14:textId="77777777" w:rsidTr="00C974EE">
        <w:tc>
          <w:tcPr>
            <w:tcW w:w="1555" w:type="dxa"/>
          </w:tcPr>
          <w:p w14:paraId="345B2B43" w14:textId="77777777" w:rsidR="006061BF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ggü. Vorjahr</w:t>
            </w:r>
          </w:p>
          <w:p w14:paraId="5F4CAF94" w14:textId="4A9AEBF6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992" w:type="dxa"/>
            <w:vAlign w:val="center"/>
          </w:tcPr>
          <w:p w14:paraId="1BF8BB5A" w14:textId="36A03821" w:rsidR="00E822DD" w:rsidRPr="002E7EE2" w:rsidRDefault="002E7EE2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E7EE2">
              <w:rPr>
                <w:rFonts w:ascii="Source Sans Pro" w:hAnsi="Source Sans Pro" w:cs="Arial"/>
                <w:sz w:val="16"/>
                <w:szCs w:val="16"/>
              </w:rPr>
              <w:t>0,70</w:t>
            </w:r>
          </w:p>
        </w:tc>
        <w:tc>
          <w:tcPr>
            <w:tcW w:w="992" w:type="dxa"/>
            <w:vAlign w:val="center"/>
          </w:tcPr>
          <w:p w14:paraId="30382577" w14:textId="3FFB8ED0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2E7EE2" w:rsidRPr="00B16A5C">
              <w:rPr>
                <w:rFonts w:ascii="Source Sans Pro" w:hAnsi="Source Sans Pro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14:paraId="750221CA" w14:textId="2C230407" w:rsidR="00E822DD" w:rsidRPr="00B16A5C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6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6DD7413C" w14:textId="78FD97EF" w:rsidR="00E822DD" w:rsidRPr="00B16A5C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,60</w:t>
            </w:r>
          </w:p>
        </w:tc>
        <w:tc>
          <w:tcPr>
            <w:tcW w:w="1134" w:type="dxa"/>
            <w:vAlign w:val="center"/>
          </w:tcPr>
          <w:p w14:paraId="75EE8890" w14:textId="69AEE7FF" w:rsidR="00E822DD" w:rsidRPr="00B16A5C" w:rsidRDefault="006061BF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14:paraId="5AFA008F" w14:textId="32EE93B6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45EB7" w14:textId="2BDEFF0F" w:rsidR="00E822DD" w:rsidRPr="00B16A5C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23" w:type="dxa"/>
            <w:vAlign w:val="center"/>
          </w:tcPr>
          <w:p w14:paraId="10E27A7C" w14:textId="51A3F74D" w:rsidR="00E822DD" w:rsidRPr="00B16A5C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b/>
                <w:sz w:val="16"/>
                <w:szCs w:val="16"/>
              </w:rPr>
              <w:t>0,</w:t>
            </w:r>
            <w:r w:rsidR="00B16A5C" w:rsidRPr="00B16A5C">
              <w:rPr>
                <w:rFonts w:ascii="Source Sans Pro" w:hAnsi="Source Sans Pro" w:cs="Arial"/>
                <w:b/>
                <w:sz w:val="16"/>
                <w:szCs w:val="16"/>
              </w:rPr>
              <w:t>61</w:t>
            </w:r>
          </w:p>
        </w:tc>
      </w:tr>
      <w:tr w:rsidR="00910B65" w:rsidRPr="00161817" w14:paraId="2411BA51" w14:textId="77777777" w:rsidTr="00C974EE">
        <w:tc>
          <w:tcPr>
            <w:tcW w:w="1555" w:type="dxa"/>
          </w:tcPr>
          <w:p w14:paraId="16BE5098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Spitzenrendite* Logistik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992" w:type="dxa"/>
            <w:vAlign w:val="center"/>
          </w:tcPr>
          <w:p w14:paraId="1E269F87" w14:textId="68DE3D23" w:rsidR="00E822DD" w:rsidRPr="002E7EE2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E7EE2">
              <w:rPr>
                <w:rFonts w:ascii="Source Sans Pro" w:hAnsi="Source Sans Pro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vAlign w:val="center"/>
          </w:tcPr>
          <w:p w14:paraId="4AC2BC62" w14:textId="38A0A46D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49607C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BC1DA3D" w14:textId="77E74B02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4,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6</w:t>
            </w: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vAlign w:val="center"/>
          </w:tcPr>
          <w:p w14:paraId="46DE1972" w14:textId="4DFF1FC1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1134" w:type="dxa"/>
            <w:vAlign w:val="center"/>
          </w:tcPr>
          <w:p w14:paraId="51830899" w14:textId="1A47BCD6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4,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6</w:t>
            </w: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850" w:type="dxa"/>
            <w:vAlign w:val="center"/>
          </w:tcPr>
          <w:p w14:paraId="2AEDBBC9" w14:textId="77777777" w:rsidR="00E822DD" w:rsidRPr="001A0708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A0708">
              <w:rPr>
                <w:rFonts w:ascii="Source Sans Pro" w:hAnsi="Source Sans Pro" w:cs="Arial"/>
                <w:sz w:val="16"/>
                <w:szCs w:val="16"/>
              </w:rPr>
              <w:t>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9DE90" w14:textId="7E08A993" w:rsidR="00E822DD" w:rsidRPr="00B16A5C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23" w:type="dxa"/>
            <w:vAlign w:val="center"/>
          </w:tcPr>
          <w:p w14:paraId="15EC44A2" w14:textId="05D0BC79" w:rsidR="00E822DD" w:rsidRPr="00B16A5C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b/>
                <w:sz w:val="16"/>
                <w:szCs w:val="16"/>
              </w:rPr>
              <w:t>4,</w:t>
            </w:r>
            <w:r w:rsidR="00B16A5C" w:rsidRPr="00B16A5C"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  <w:r w:rsidR="00FD429E">
              <w:rPr>
                <w:rFonts w:ascii="Source Sans Pro" w:hAnsi="Source Sans Pro" w:cs="Arial"/>
                <w:b/>
                <w:sz w:val="16"/>
                <w:szCs w:val="16"/>
              </w:rPr>
              <w:t>1</w:t>
            </w:r>
          </w:p>
        </w:tc>
      </w:tr>
      <w:tr w:rsidR="00910B65" w:rsidRPr="00161817" w14:paraId="7E552845" w14:textId="77777777" w:rsidTr="00C974EE">
        <w:tc>
          <w:tcPr>
            <w:tcW w:w="1555" w:type="dxa"/>
          </w:tcPr>
          <w:p w14:paraId="6DC11B9C" w14:textId="77777777" w:rsidR="006061BF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ggü. Vorjahr</w:t>
            </w:r>
          </w:p>
          <w:p w14:paraId="5725897F" w14:textId="569358C3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992" w:type="dxa"/>
            <w:vAlign w:val="center"/>
          </w:tcPr>
          <w:p w14:paraId="56189F55" w14:textId="0BB9E1FE" w:rsidR="00E822DD" w:rsidRPr="001A0708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0,30</w:t>
            </w:r>
          </w:p>
        </w:tc>
        <w:tc>
          <w:tcPr>
            <w:tcW w:w="992" w:type="dxa"/>
            <w:vAlign w:val="center"/>
          </w:tcPr>
          <w:p w14:paraId="09A563B0" w14:textId="33DB1D63" w:rsidR="00E822DD" w:rsidRPr="001A0708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0,</w:t>
            </w:r>
            <w:r w:rsidR="00FD429E"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3</w:t>
            </w:r>
            <w:r w:rsidR="00B16A5C"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992" w:type="dxa"/>
            <w:vAlign w:val="center"/>
          </w:tcPr>
          <w:p w14:paraId="28EE0851" w14:textId="45EC8846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4EC1D9CD" w14:textId="17C8C3EF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</w:rPr>
              <w:t>1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7DCD6729" w14:textId="05B66C14" w:rsidR="00E822DD" w:rsidRPr="001A0708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0,</w:t>
            </w:r>
            <w:r w:rsidR="00B16A5C"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30</w:t>
            </w:r>
          </w:p>
        </w:tc>
        <w:tc>
          <w:tcPr>
            <w:tcW w:w="850" w:type="dxa"/>
            <w:vAlign w:val="center"/>
          </w:tcPr>
          <w:p w14:paraId="4BFB79FE" w14:textId="0DA77EF3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3E6E9" w14:textId="1E34BFB2" w:rsidR="00E822DD" w:rsidRPr="001A0708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0,</w:t>
            </w:r>
            <w:r w:rsidR="00B16A5C"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3</w:t>
            </w:r>
            <w:r w:rsidRPr="001A0708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923" w:type="dxa"/>
            <w:vAlign w:val="center"/>
          </w:tcPr>
          <w:p w14:paraId="243E1FC2" w14:textId="780337FA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b/>
                <w:sz w:val="16"/>
                <w:szCs w:val="16"/>
              </w:rPr>
              <w:t>0,</w:t>
            </w:r>
            <w:r w:rsidR="00B16A5C" w:rsidRPr="00B16A5C">
              <w:rPr>
                <w:rFonts w:ascii="Source Sans Pro" w:hAnsi="Source Sans Pro" w:cs="Arial"/>
                <w:b/>
                <w:sz w:val="16"/>
                <w:szCs w:val="16"/>
              </w:rPr>
              <w:t>2</w:t>
            </w:r>
            <w:r w:rsidR="00FD429E">
              <w:rPr>
                <w:rFonts w:ascii="Source Sans Pro" w:hAnsi="Source Sans Pro" w:cs="Arial"/>
                <w:b/>
                <w:sz w:val="16"/>
                <w:szCs w:val="16"/>
              </w:rPr>
              <w:t>1</w:t>
            </w:r>
          </w:p>
        </w:tc>
      </w:tr>
      <w:tr w:rsidR="00910B65" w:rsidRPr="00161817" w14:paraId="511D3D80" w14:textId="77777777" w:rsidTr="00C974EE">
        <w:trPr>
          <w:trHeight w:val="471"/>
        </w:trPr>
        <w:tc>
          <w:tcPr>
            <w:tcW w:w="1555" w:type="dxa"/>
          </w:tcPr>
          <w:p w14:paraId="23F6D442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4F399EC0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992" w:type="dxa"/>
            <w:vAlign w:val="center"/>
          </w:tcPr>
          <w:p w14:paraId="708BFD1F" w14:textId="417A5C67" w:rsidR="00E822DD" w:rsidRPr="002E7EE2" w:rsidRDefault="002E7EE2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E7EE2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92" w:type="dxa"/>
            <w:vAlign w:val="center"/>
          </w:tcPr>
          <w:p w14:paraId="457A7224" w14:textId="6E7CABE0" w:rsidR="00E822DD" w:rsidRPr="00B16A5C" w:rsidRDefault="00E822D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Einzel</w:t>
            </w:r>
            <w:r w:rsidR="00910B65" w:rsidRPr="00B16A5C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handel</w:t>
            </w:r>
          </w:p>
        </w:tc>
        <w:tc>
          <w:tcPr>
            <w:tcW w:w="992" w:type="dxa"/>
            <w:vAlign w:val="center"/>
          </w:tcPr>
          <w:p w14:paraId="0579ADDE" w14:textId="0CBE8EE3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Einzel-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br/>
              <w:t>handel</w:t>
            </w:r>
          </w:p>
        </w:tc>
        <w:tc>
          <w:tcPr>
            <w:tcW w:w="993" w:type="dxa"/>
            <w:vAlign w:val="center"/>
          </w:tcPr>
          <w:p w14:paraId="280FC882" w14:textId="356C50DB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Industrie &amp; Logistik</w:t>
            </w:r>
          </w:p>
        </w:tc>
        <w:tc>
          <w:tcPr>
            <w:tcW w:w="1134" w:type="dxa"/>
            <w:vAlign w:val="center"/>
          </w:tcPr>
          <w:p w14:paraId="008BF92C" w14:textId="326570A0" w:rsidR="00E822DD" w:rsidRPr="00B16A5C" w:rsidRDefault="00E126D5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26D5">
              <w:rPr>
                <w:rFonts w:ascii="Source Sans Pro" w:hAnsi="Source Sans Pro" w:cs="Arial"/>
                <w:sz w:val="16"/>
                <w:szCs w:val="16"/>
              </w:rPr>
              <w:t>Entwick</w:t>
            </w:r>
            <w:proofErr w:type="spellEnd"/>
            <w:r w:rsidR="00E46889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E46889">
              <w:rPr>
                <w:rFonts w:ascii="Source Sans Pro" w:hAnsi="Source Sans Pro" w:cs="Arial"/>
                <w:sz w:val="16"/>
                <w:szCs w:val="16"/>
              </w:rPr>
              <w:br/>
            </w:r>
            <w:proofErr w:type="spellStart"/>
            <w:r w:rsidRPr="00E126D5">
              <w:rPr>
                <w:rFonts w:ascii="Source Sans Pro" w:hAnsi="Source Sans Pro" w:cs="Arial"/>
                <w:sz w:val="16"/>
                <w:szCs w:val="16"/>
              </w:rPr>
              <w:t>lungsgrund</w:t>
            </w:r>
            <w:proofErr w:type="spellEnd"/>
            <w:r w:rsidR="00E46889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Pr="00E126D5">
              <w:rPr>
                <w:rFonts w:ascii="Source Sans Pro" w:hAnsi="Source Sans Pro" w:cs="Arial"/>
                <w:sz w:val="16"/>
                <w:szCs w:val="16"/>
              </w:rPr>
              <w:t>stücke</w:t>
            </w:r>
          </w:p>
        </w:tc>
        <w:tc>
          <w:tcPr>
            <w:tcW w:w="850" w:type="dxa"/>
            <w:vAlign w:val="center"/>
          </w:tcPr>
          <w:p w14:paraId="14E2CD93" w14:textId="69C27B8A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Misch-nutzung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549E8" w14:textId="3FDA9514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Misch</w:t>
            </w:r>
            <w:r w:rsidR="00910B65" w:rsidRPr="00B16A5C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Pr="00B16A5C">
              <w:rPr>
                <w:rFonts w:ascii="Source Sans Pro" w:hAnsi="Source Sans Pro" w:cs="Arial"/>
                <w:sz w:val="16"/>
                <w:szCs w:val="16"/>
              </w:rPr>
              <w:t>nutzung</w:t>
            </w:r>
          </w:p>
        </w:tc>
        <w:tc>
          <w:tcPr>
            <w:tcW w:w="923" w:type="dxa"/>
            <w:vAlign w:val="center"/>
          </w:tcPr>
          <w:p w14:paraId="6C2135E3" w14:textId="36A370EF" w:rsidR="00E822DD" w:rsidRPr="00B16A5C" w:rsidRDefault="0001662B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Misch-nutzung</w:t>
            </w:r>
          </w:p>
        </w:tc>
      </w:tr>
      <w:tr w:rsidR="00910B65" w:rsidRPr="00161817" w14:paraId="3C798CFE" w14:textId="77777777" w:rsidTr="00C974EE">
        <w:tc>
          <w:tcPr>
            <w:tcW w:w="1555" w:type="dxa"/>
          </w:tcPr>
          <w:p w14:paraId="69CD3109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7FDF28CB" w14:textId="77777777" w:rsidR="00E822DD" w:rsidRPr="00161817" w:rsidRDefault="00E822DD" w:rsidP="002B1BCA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992" w:type="dxa"/>
            <w:vAlign w:val="center"/>
          </w:tcPr>
          <w:p w14:paraId="2F2CDD9F" w14:textId="53F521FB" w:rsidR="00E822DD" w:rsidRPr="002E7EE2" w:rsidRDefault="002E7EE2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E7EE2">
              <w:rPr>
                <w:rFonts w:ascii="Source Sans Pro" w:hAnsi="Source Sans Pro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14:paraId="673EE990" w14:textId="5BEB44F1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center"/>
          </w:tcPr>
          <w:p w14:paraId="73931A1E" w14:textId="0E84742E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="00B16A5C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6D5DE4CF" w14:textId="504EFCCC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461FD967" w14:textId="0823B544" w:rsidR="00E822DD" w:rsidRPr="00B16A5C" w:rsidRDefault="00E126D5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4EE4162A" w14:textId="5CEDB9B5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3299E" w14:textId="7E571C58" w:rsidR="00E822DD" w:rsidRPr="00B16A5C" w:rsidRDefault="002704CD" w:rsidP="002B1BCA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9</w:t>
            </w:r>
            <w:r w:rsidR="00B16A5C" w:rsidRPr="00B16A5C">
              <w:rPr>
                <w:rFonts w:ascii="Source Sans Pro" w:hAnsi="Source Sans Pro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923" w:type="dxa"/>
            <w:vAlign w:val="center"/>
          </w:tcPr>
          <w:p w14:paraId="08D05C82" w14:textId="26FA43F3" w:rsidR="00E822DD" w:rsidRPr="00B16A5C" w:rsidRDefault="00B16A5C" w:rsidP="002B1BC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B16A5C">
              <w:rPr>
                <w:rFonts w:ascii="Source Sans Pro" w:hAnsi="Source Sans Pro" w:cs="Arial"/>
                <w:b/>
                <w:sz w:val="16"/>
                <w:szCs w:val="16"/>
              </w:rPr>
              <w:t>32</w:t>
            </w:r>
          </w:p>
        </w:tc>
      </w:tr>
    </w:tbl>
    <w:p w14:paraId="101A4546" w14:textId="7F19CE6A" w:rsidR="008C5CEC" w:rsidRDefault="00E822DD" w:rsidP="00E822DD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</w:t>
      </w:r>
      <w:r w:rsidR="002704CD">
        <w:rPr>
          <w:rFonts w:ascii="Source Sans Pro" w:hAnsi="Source Sans Pro" w:cs="Arial"/>
          <w:sz w:val="16"/>
          <w:szCs w:val="16"/>
        </w:rPr>
        <w:t>.</w:t>
      </w:r>
      <w:r w:rsidRPr="00161817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247CD90D" w14:textId="77777777" w:rsidR="00510879" w:rsidRPr="00510879" w:rsidRDefault="00510879" w:rsidP="00E822DD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</w:p>
    <w:p w14:paraId="5CED34B8" w14:textId="3D3BF116" w:rsidR="00161817" w:rsidRPr="00161817" w:rsidRDefault="00367F4F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t>Größte</w:t>
      </w:r>
      <w:r w:rsidR="00161817" w:rsidRPr="00161817">
        <w:rPr>
          <w:rFonts w:ascii="Source Sans Pro" w:hAnsi="Source Sans Pro" w:cs="Arial"/>
          <w:b/>
          <w:sz w:val="20"/>
        </w:rPr>
        <w:t xml:space="preserve"> bekannte Abschlüsse | Top-7-Standorte | </w:t>
      </w:r>
      <w:r w:rsidR="009820DC">
        <w:rPr>
          <w:rFonts w:ascii="Source Sans Pro" w:hAnsi="Source Sans Pro" w:cs="Arial"/>
          <w:b/>
          <w:sz w:val="20"/>
        </w:rPr>
        <w:t>1.-</w:t>
      </w:r>
      <w:r w:rsidR="00EA5A14">
        <w:rPr>
          <w:rFonts w:ascii="Source Sans Pro" w:hAnsi="Source Sans Pro" w:cs="Arial"/>
          <w:b/>
          <w:sz w:val="20"/>
        </w:rPr>
        <w:t>2</w:t>
      </w:r>
      <w:r w:rsidR="00161817" w:rsidRPr="00161817">
        <w:rPr>
          <w:rFonts w:ascii="Source Sans Pro" w:hAnsi="Source Sans Pro" w:cs="Arial"/>
          <w:b/>
          <w:sz w:val="20"/>
        </w:rPr>
        <w:t>. Quartal 202</w:t>
      </w:r>
      <w:r w:rsidR="003613CB">
        <w:rPr>
          <w:rFonts w:ascii="Source Sans Pro" w:hAnsi="Source Sans Pro" w:cs="Arial"/>
          <w:b/>
          <w:sz w:val="20"/>
        </w:rPr>
        <w:t>4</w:t>
      </w:r>
    </w:p>
    <w:tbl>
      <w:tblPr>
        <w:tblStyle w:val="TableGrid1"/>
        <w:tblW w:w="9271" w:type="dxa"/>
        <w:tblLayout w:type="fixed"/>
        <w:tblLook w:val="04A0" w:firstRow="1" w:lastRow="0" w:firstColumn="1" w:lastColumn="0" w:noHBand="0" w:noVBand="1"/>
      </w:tblPr>
      <w:tblGrid>
        <w:gridCol w:w="690"/>
        <w:gridCol w:w="2694"/>
        <w:gridCol w:w="2670"/>
        <w:gridCol w:w="2199"/>
        <w:gridCol w:w="1018"/>
      </w:tblGrid>
      <w:tr w:rsidR="00161817" w:rsidRPr="00161817" w14:paraId="113FCC50" w14:textId="77777777" w:rsidTr="00510879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583AC8" w:rsidRPr="00161817" w14:paraId="0B78E6CD" w14:textId="77777777" w:rsidTr="00510879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576C9D5C" w14:textId="105AFF42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052B28" w14:textId="77777777" w:rsidR="00290917" w:rsidRPr="008C5CEC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„Fünf Höfe“,</w:t>
            </w:r>
          </w:p>
          <w:p w14:paraId="7CDDAAC2" w14:textId="403687D1" w:rsidR="00583AC8" w:rsidRPr="008C5CEC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Theatinerstraße 8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EECDA99" w14:textId="7E6E2002" w:rsidR="00583AC8" w:rsidRPr="008C5CEC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Athos Family Office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F8AFED1" w14:textId="36AA6B62" w:rsidR="00583AC8" w:rsidRPr="008C5CEC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Union Investment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25E6C98" w14:textId="053348AD" w:rsidR="00583AC8" w:rsidRPr="008C5CEC" w:rsidRDefault="00080FD4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715</w:t>
            </w:r>
          </w:p>
        </w:tc>
      </w:tr>
      <w:tr w:rsidR="00583AC8" w:rsidRPr="00161817" w14:paraId="61DBCEAF" w14:textId="77777777" w:rsidTr="00510879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06119DA2" w14:textId="6F626365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D90978" w14:textId="3FE2207D" w:rsidR="00583AC8" w:rsidRPr="008C5CEC" w:rsidRDefault="002704C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Maximilianstraße 12-14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D4D3495" w14:textId="51730FC7" w:rsidR="00583AC8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Commerz Real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5E718DC" w14:textId="2CA88799" w:rsidR="00583AC8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Centrum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DB19CDE" w14:textId="2518FC86" w:rsidR="00583AC8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250</w:t>
            </w:r>
          </w:p>
        </w:tc>
      </w:tr>
      <w:tr w:rsidR="000B4A9D" w:rsidRPr="00161817" w14:paraId="5809275A" w14:textId="77777777" w:rsidTr="00510879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7CE0EC77" w14:textId="21B4E028" w:rsidR="000B4A9D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B0E9DA" w14:textId="77777777" w:rsidR="00290917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„Romy“,</w:t>
            </w:r>
          </w:p>
          <w:p w14:paraId="5BDC97A7" w14:textId="3541E9BE" w:rsidR="000B4A9D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Rosenstraße 8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8B2B66A" w14:textId="7A5E3232" w:rsidR="000B4A9D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Concept Real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B0CC4B1" w14:textId="2AF41E45" w:rsidR="000B4A9D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Signa Prime Selection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3E29F60" w14:textId="77DD5945" w:rsidR="000B4A9D" w:rsidRPr="008C5CE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85</w:t>
            </w:r>
          </w:p>
        </w:tc>
      </w:tr>
      <w:tr w:rsidR="00A86AFC" w:rsidRPr="00161817" w14:paraId="56BA8532" w14:textId="77777777" w:rsidTr="00510879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0FCB2338" w14:textId="2E1C59D8" w:rsidR="00A86AFC" w:rsidRDefault="00A86AFC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12C1DA" w14:textId="718D5102" w:rsidR="00A86AFC" w:rsidRPr="00510879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10879">
              <w:rPr>
                <w:rFonts w:ascii="Source Sans Pro" w:hAnsi="Source Sans Pro" w:cs="Arial"/>
                <w:sz w:val="16"/>
                <w:szCs w:val="16"/>
              </w:rPr>
              <w:t>„Karstadt“-Anteilsverkauf, Müllerstraße 25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DA3D656" w14:textId="350A37A2" w:rsidR="00A86AFC" w:rsidRPr="00510879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10879">
              <w:rPr>
                <w:rFonts w:ascii="Source Sans Pro" w:hAnsi="Source Sans Pro" w:cs="Arial"/>
                <w:sz w:val="16"/>
                <w:szCs w:val="16"/>
              </w:rPr>
              <w:t>Versicherungskammer Bayern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1626ABF" w14:textId="5F29A378" w:rsidR="00A86AFC" w:rsidRPr="00510879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10879">
              <w:rPr>
                <w:rFonts w:ascii="Source Sans Pro" w:hAnsi="Source Sans Pro" w:cs="Arial"/>
                <w:sz w:val="16"/>
                <w:szCs w:val="16"/>
              </w:rPr>
              <w:t>Signa Development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7A6027F" w14:textId="30E1FF8C" w:rsidR="00A86AFC" w:rsidRPr="00510879" w:rsidRDefault="00290917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10879">
              <w:rPr>
                <w:rFonts w:ascii="Source Sans Pro" w:hAnsi="Source Sans Pro" w:cs="Arial"/>
                <w:sz w:val="16"/>
                <w:szCs w:val="16"/>
              </w:rPr>
              <w:t>80</w:t>
            </w:r>
          </w:p>
        </w:tc>
      </w:tr>
      <w:tr w:rsidR="000B4A9D" w:rsidRPr="00161817" w14:paraId="4962DD99" w14:textId="77777777" w:rsidTr="00510879">
        <w:trPr>
          <w:trHeight w:val="138"/>
        </w:trPr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75742589" w14:textId="77777777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EAAAA" w:themeFill="background2" w:themeFillShade="BF"/>
            <w:vAlign w:val="center"/>
          </w:tcPr>
          <w:p w14:paraId="03D0F1B5" w14:textId="77777777" w:rsidR="000B4A9D" w:rsidRPr="00EA5A14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2670" w:type="dxa"/>
            <w:shd w:val="clear" w:color="auto" w:fill="AEAAAA" w:themeFill="background2" w:themeFillShade="BF"/>
            <w:vAlign w:val="center"/>
          </w:tcPr>
          <w:p w14:paraId="01D566D4" w14:textId="77777777" w:rsidR="000B4A9D" w:rsidRPr="00EA5A14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2199" w:type="dxa"/>
            <w:shd w:val="clear" w:color="auto" w:fill="AEAAAA" w:themeFill="background2" w:themeFillShade="BF"/>
            <w:vAlign w:val="center"/>
          </w:tcPr>
          <w:p w14:paraId="72D67DB9" w14:textId="77777777" w:rsidR="000B4A9D" w:rsidRPr="00EA5A14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1018" w:type="dxa"/>
            <w:shd w:val="clear" w:color="auto" w:fill="AEAAAA" w:themeFill="background2" w:themeFillShade="BF"/>
            <w:vAlign w:val="center"/>
          </w:tcPr>
          <w:p w14:paraId="29A21095" w14:textId="77777777" w:rsidR="000B4A9D" w:rsidRPr="00EA5A14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</w:tr>
      <w:tr w:rsidR="00FF2D3F" w:rsidRPr="00161817" w14:paraId="70880505" w14:textId="77777777" w:rsidTr="001A0708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626A37DE" w14:textId="1EA9231E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B4FB48" w14:textId="77777777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„Freudenberger-Areal“,</w:t>
            </w:r>
          </w:p>
          <w:p w14:paraId="1FEE3D15" w14:textId="0F18DAA4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8C5CEC">
              <w:rPr>
                <w:rFonts w:ascii="Source Sans Pro" w:hAnsi="Source Sans Pro" w:cs="Arial"/>
                <w:sz w:val="16"/>
                <w:szCs w:val="16"/>
              </w:rPr>
              <w:t>Seevestraße</w:t>
            </w:r>
            <w:proofErr w:type="spellEnd"/>
            <w:r w:rsidRPr="008C5CEC">
              <w:rPr>
                <w:rFonts w:ascii="Source Sans Pro" w:hAnsi="Source Sans Pro" w:cs="Arial"/>
                <w:sz w:val="16"/>
                <w:szCs w:val="16"/>
              </w:rPr>
              <w:t xml:space="preserve"> 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1AA04A8" w14:textId="4788851E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Freie und Hansestadt Hamburg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2815315" w14:textId="5B67AAEF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Gateway Real Estate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65D335A" w14:textId="33158744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FF2D3F" w:rsidRPr="00161817" w14:paraId="59939447" w14:textId="77777777" w:rsidTr="009750C4">
        <w:trPr>
          <w:trHeight w:val="546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3C7AD878" w14:textId="00E69792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CF4172" w14:textId="29516C38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>"HAUPTWACHE EINS",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</w:r>
            <w:r w:rsidRPr="009750C4">
              <w:rPr>
                <w:rFonts w:ascii="Source Sans Pro" w:hAnsi="Source Sans Pro" w:cs="Arial"/>
                <w:sz w:val="16"/>
                <w:szCs w:val="16"/>
              </w:rPr>
              <w:t>An der Hauptwache 1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5D0E81B0" w14:textId="33B17251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>Frankfurter Sparkasse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10921D86" w14:textId="397B67D4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 xml:space="preserve">Signa Prime </w:t>
            </w:r>
            <w:proofErr w:type="spellStart"/>
            <w:r w:rsidRPr="009750C4">
              <w:rPr>
                <w:rFonts w:ascii="Source Sans Pro" w:hAnsi="Source Sans Pro" w:cs="Arial"/>
                <w:sz w:val="16"/>
                <w:szCs w:val="16"/>
              </w:rPr>
              <w:t>Selection</w:t>
            </w:r>
            <w:proofErr w:type="spellEnd"/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0835653" w14:textId="4E4AFC68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FF2D3F" w:rsidRPr="00161817" w14:paraId="0A9F7B0D" w14:textId="77777777" w:rsidTr="001A0708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470CFC9E" w14:textId="2E76B5EA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2DA927" w14:textId="77777777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„LEIQ“, Nordring 144,</w:t>
            </w:r>
          </w:p>
          <w:p w14:paraId="584423CC" w14:textId="41BEFA29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Goethering 60 + 66, Offenbach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91E2040" w14:textId="568FCB30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 xml:space="preserve">HT Top 8 </w:t>
            </w:r>
            <w:proofErr w:type="spellStart"/>
            <w:r w:rsidRPr="008C5CEC">
              <w:rPr>
                <w:rFonts w:ascii="Source Sans Pro" w:hAnsi="Source Sans Pro" w:cs="Arial"/>
                <w:sz w:val="16"/>
                <w:szCs w:val="16"/>
              </w:rPr>
              <w:t>Invest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14:paraId="23C81A9B" w14:textId="6572D789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 xml:space="preserve">Adolf Lupp, HT </w:t>
            </w:r>
            <w:proofErr w:type="spellStart"/>
            <w:r w:rsidRPr="008C5CEC">
              <w:rPr>
                <w:rFonts w:ascii="Source Sans Pro" w:hAnsi="Source Sans Pro" w:cs="Arial"/>
                <w:sz w:val="16"/>
                <w:szCs w:val="16"/>
              </w:rPr>
              <w:t>Invest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14:paraId="4EB1809A" w14:textId="01C3A094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FF2D3F" w:rsidRPr="00161817" w14:paraId="49B6C9EF" w14:textId="77777777" w:rsidTr="001A0708">
        <w:trPr>
          <w:trHeight w:val="546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6BE6EEC7" w14:textId="3C21F95C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563316C" w14:textId="7E68000E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>Opernplatz 2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196BA9B8" w14:textId="76D71DC8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>Capital Land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525AB522" w14:textId="359E75DF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 xml:space="preserve">Signa Prime </w:t>
            </w:r>
            <w:proofErr w:type="spellStart"/>
            <w:r w:rsidRPr="009750C4">
              <w:rPr>
                <w:rFonts w:ascii="Source Sans Pro" w:hAnsi="Source Sans Pro" w:cs="Arial"/>
                <w:sz w:val="16"/>
                <w:szCs w:val="16"/>
              </w:rPr>
              <w:t>Selection</w:t>
            </w:r>
            <w:proofErr w:type="spellEnd"/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CE3C984" w14:textId="1B1CBB5D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FF2D3F" w:rsidRPr="00161817" w14:paraId="04735D1A" w14:textId="77777777" w:rsidTr="001A0708">
        <w:trPr>
          <w:trHeight w:val="546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3AB584B" w14:textId="095D008A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F6735AD" w14:textId="627ABFDF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>"Samson-Werk" (Teil</w:t>
            </w:r>
            <w:r>
              <w:rPr>
                <w:rFonts w:ascii="Source Sans Pro" w:hAnsi="Source Sans Pro" w:cs="Arial"/>
                <w:sz w:val="16"/>
                <w:szCs w:val="16"/>
              </w:rPr>
              <w:t>verkauf</w:t>
            </w:r>
            <w:r w:rsidRPr="009750C4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0582EE37" w14:textId="53099786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9750C4">
              <w:rPr>
                <w:rFonts w:ascii="Source Sans Pro" w:hAnsi="Source Sans Pro" w:cs="Arial"/>
                <w:sz w:val="16"/>
                <w:szCs w:val="16"/>
              </w:rPr>
              <w:t>Tishman</w:t>
            </w:r>
            <w:proofErr w:type="spellEnd"/>
            <w:r w:rsidRPr="009750C4">
              <w:rPr>
                <w:rFonts w:ascii="Source Sans Pro" w:hAnsi="Source Sans Pro" w:cs="Arial"/>
                <w:sz w:val="16"/>
                <w:szCs w:val="16"/>
              </w:rPr>
              <w:t xml:space="preserve"> Speyer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0AF96895" w14:textId="12B2082C" w:rsidR="00FF2D3F" w:rsidRPr="009750C4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750C4">
              <w:rPr>
                <w:rFonts w:ascii="Source Sans Pro" w:hAnsi="Source Sans Pro" w:cs="Arial"/>
                <w:sz w:val="16"/>
                <w:szCs w:val="16"/>
              </w:rPr>
              <w:t>Samson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D2DE33D" w14:textId="3554E07C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FF2D3F" w:rsidRPr="00161817" w14:paraId="72F51164" w14:textId="77777777" w:rsidTr="00510879">
        <w:trPr>
          <w:trHeight w:val="546"/>
        </w:trPr>
        <w:tc>
          <w:tcPr>
            <w:tcW w:w="690" w:type="dxa"/>
            <w:shd w:val="clear" w:color="auto" w:fill="auto"/>
            <w:vAlign w:val="center"/>
          </w:tcPr>
          <w:p w14:paraId="6E275A54" w14:textId="7A147432" w:rsidR="00FF2D3F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DUS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C13D07" w14:textId="7DBA8F1B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 xml:space="preserve">"TRIGON", </w:t>
            </w:r>
            <w:r w:rsidRPr="008C5CEC">
              <w:rPr>
                <w:rFonts w:ascii="Source Sans Pro" w:hAnsi="Source Sans Pro" w:cs="Arial"/>
                <w:sz w:val="16"/>
                <w:szCs w:val="16"/>
              </w:rPr>
              <w:br/>
              <w:t>Schiessstraße 45b, 47-49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E4F20C3" w14:textId="79110334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NordInvest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CA8D658" w14:textId="1CB4E099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Bema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433D167" w14:textId="6219070D" w:rsidR="00FF2D3F" w:rsidRPr="008C5CEC" w:rsidRDefault="00FF2D3F" w:rsidP="00FF2D3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8C5CEC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26AE2616" w14:textId="5A36EC4B" w:rsidR="00604E20" w:rsidRPr="00510879" w:rsidRDefault="002704CD" w:rsidP="00EF0944">
      <w:pPr>
        <w:widowControl w:val="0"/>
        <w:rPr>
          <w:rFonts w:ascii="Source Sans Pro" w:hAnsi="Source Sans Pro" w:cs="Arial"/>
          <w:sz w:val="16"/>
          <w:szCs w:val="16"/>
        </w:rPr>
      </w:pPr>
      <w:r w:rsidRPr="00510879">
        <w:rPr>
          <w:rFonts w:ascii="Source Sans Pro" w:hAnsi="Source Sans Pro" w:cs="Arial"/>
          <w:sz w:val="16"/>
          <w:szCs w:val="16"/>
        </w:rPr>
        <w:t xml:space="preserve">*Die aufgeführten Kaufpreise basieren auf öffentlich verfügbaren Angaben; wo solche fehlen, sind die Kaufpreise geschätzt. </w:t>
      </w:r>
      <w:r w:rsidR="00161817" w:rsidRPr="00510879">
        <w:rPr>
          <w:rFonts w:ascii="Source Sans Pro" w:hAnsi="Source Sans Pro" w:cs="Arial"/>
          <w:sz w:val="16"/>
          <w:szCs w:val="16"/>
        </w:rPr>
        <w:t xml:space="preserve">Quelle: German </w:t>
      </w:r>
      <w:r w:rsidR="00510879" w:rsidRPr="00510879">
        <w:rPr>
          <w:rFonts w:ascii="Source Sans Pro" w:hAnsi="Source Sans Pro" w:cs="Arial"/>
          <w:sz w:val="16"/>
          <w:szCs w:val="16"/>
        </w:rPr>
        <w:t>P</w:t>
      </w:r>
      <w:r w:rsidR="00161817" w:rsidRPr="00510879">
        <w:rPr>
          <w:rFonts w:ascii="Source Sans Pro" w:hAnsi="Source Sans Pro" w:cs="Arial"/>
          <w:sz w:val="16"/>
          <w:szCs w:val="16"/>
        </w:rPr>
        <w:t>roperty Partners (GPP)</w:t>
      </w:r>
      <w:r w:rsidR="008C5CEC" w:rsidRPr="00510879">
        <w:rPr>
          <w:rFonts w:ascii="Source Sans Pro" w:hAnsi="Source Sans Pro" w:cs="Arial"/>
          <w:sz w:val="16"/>
          <w:szCs w:val="16"/>
        </w:rPr>
        <w:t>; Transaktionen aus dem aktuellen Quartal sind farblich markiert</w:t>
      </w:r>
    </w:p>
    <w:p w14:paraId="40601320" w14:textId="6A0D8A08" w:rsidR="00E822DD" w:rsidRDefault="00073A63" w:rsidP="00E126D5">
      <w:pPr>
        <w:widowControl w:val="0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 w:rsidRPr="00510879">
        <w:rPr>
          <w:rFonts w:ascii="Source Sans Pro" w:hAnsi="Source Sans Pro" w:cs="Arial"/>
          <w:b/>
          <w:sz w:val="16"/>
          <w:szCs w:val="16"/>
        </w:rPr>
        <w:lastRenderedPageBreak/>
        <w:br/>
      </w:r>
    </w:p>
    <w:p w14:paraId="28CA77FD" w14:textId="77777777" w:rsidR="00EA5A14" w:rsidRPr="00A36FA4" w:rsidRDefault="00EA5A14" w:rsidP="00EA5A1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bookmarkStart w:id="0" w:name="_Hlk167186422"/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7A69FB99" w14:textId="77777777" w:rsidR="00EA5A14" w:rsidRPr="00E1280F" w:rsidRDefault="00215E22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A5A14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A5A14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</w:t>
      </w:r>
      <w:r w:rsidR="00EA5A14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Immobilien</w:t>
      </w:r>
      <w:r w:rsidR="00EA5A14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, Anteon Immobilien, GREIF &amp; CONTZEN Immobilien, blackolive und E &amp; G </w:t>
      </w:r>
      <w:r w:rsidR="00EA5A14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Immobilien</w:t>
      </w:r>
      <w:r w:rsidR="00EA5A14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. Es zeichnet sich durch tiefe Marktkenntnisse vor Ort, langjährig für die Partnerunternehmen tätige Immobilienberater und das persönliche Engagement der Gesellschafter und Geschäftsführer aus. </w:t>
      </w:r>
    </w:p>
    <w:p w14:paraId="4EE622DA" w14:textId="77777777" w:rsidR="00EA5A14" w:rsidRPr="00E1280F" w:rsidRDefault="00EA5A14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6DD3F237" w14:textId="77777777" w:rsidR="00EA5A14" w:rsidRPr="00E1280F" w:rsidRDefault="00EA5A14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Das Netzwerk verfügt in den Top-7-Städten Hamburg, Berlin, Düsseldorf|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Essen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77000CD5" w14:textId="77777777" w:rsidR="00EA5A14" w:rsidRPr="00E1280F" w:rsidRDefault="00EA5A14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57F93419" w14:textId="77777777" w:rsidR="00EA5A14" w:rsidRPr="006C69B7" w:rsidRDefault="00EA5A14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rund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3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 w:rsidRPr="009C6B12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490.000</w:t>
      </w:r>
      <w:r w:rsidRPr="000B463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m²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Gewerbefläche und betreute ein Transaktionsvolumen in Höhe von rund </w:t>
      </w:r>
      <w:r w:rsidRPr="009C6B12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770 Mio. €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</w:p>
    <w:p w14:paraId="0E509281" w14:textId="77777777" w:rsidR="00EA5A14" w:rsidRDefault="00EA5A14" w:rsidP="00EA5A14">
      <w:pPr>
        <w:pStyle w:val="EinfAbs"/>
        <w:tabs>
          <w:tab w:val="left" w:pos="200"/>
        </w:tabs>
        <w:spacing w:line="220" w:lineRule="exact"/>
        <w:jc w:val="both"/>
      </w:pPr>
    </w:p>
    <w:p w14:paraId="44111629" w14:textId="77777777" w:rsidR="00EA5A14" w:rsidRPr="006456EA" w:rsidRDefault="00EA5A14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5E8BFEAE" w14:textId="77777777" w:rsidR="00EA5A14" w:rsidRDefault="00EA5A14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sz w:val="14"/>
          <w:szCs w:val="14"/>
        </w:rPr>
      </w:pPr>
    </w:p>
    <w:p w14:paraId="468FAFF6" w14:textId="0946950C" w:rsidR="005C25D5" w:rsidRPr="00D56A51" w:rsidRDefault="00EA5A14" w:rsidP="00EA5A14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  <w:bookmarkEnd w:id="0"/>
    </w:p>
    <w:sectPr w:rsidR="005C25D5" w:rsidRPr="00D56A51" w:rsidSect="001B786B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7BA91A41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1499EE44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8B1BA3">
      <w:rPr>
        <w:rFonts w:ascii="Source Sans Pro" w:hAnsi="Source Sans Pro" w:cs="Source Sans Pro"/>
        <w:color w:val="0087A8"/>
        <w:sz w:val="18"/>
        <w:szCs w:val="18"/>
      </w:rPr>
      <w:t>9</w:t>
    </w:r>
    <w:r w:rsidR="00EA5A14">
      <w:rPr>
        <w:rFonts w:ascii="Source Sans Pro" w:hAnsi="Source Sans Pro" w:cs="Source Sans Pro"/>
        <w:color w:val="0087A8"/>
        <w:sz w:val="18"/>
        <w:szCs w:val="18"/>
      </w:rPr>
      <w:t>88</w:t>
    </w:r>
  </w:p>
  <w:p w14:paraId="6F9C1B3C" w14:textId="3B8E330F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A14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5A22ACEE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613CB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46353A06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8B1BA3">
      <w:rPr>
        <w:rFonts w:ascii="Source Sans Pro" w:hAnsi="Source Sans Pro" w:cs="Source Sans Pro"/>
        <w:color w:val="0087A8"/>
        <w:sz w:val="18"/>
        <w:szCs w:val="18"/>
      </w:rPr>
      <w:t>9</w:t>
    </w:r>
    <w:r w:rsidR="00EA5A14">
      <w:rPr>
        <w:rFonts w:ascii="Source Sans Pro" w:hAnsi="Source Sans Pro" w:cs="Source Sans Pro"/>
        <w:color w:val="0087A8"/>
        <w:sz w:val="18"/>
        <w:szCs w:val="18"/>
      </w:rPr>
      <w:t>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716EBD26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A14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DzwEAAJUDAAAOAAAAZHJzL2Uyb0RvYy54bWysU9uK2zAQfS/0H4TeGzspLMHEWZZdthS2&#10;F9j2AxRZskVtjTqjxE6/viM5zvbyVuoHcXSZMzNnjne309CLk0Fy4Gu5XpVSGK+hcb6t5dcvj2+2&#10;UlBUvlE9eFPLsyF5u3/9ajeGymygg74xKJjEUzWGWnYxhqooSHdmULSCYDxfWsBBRd5iWzSoRmYf&#10;+mJTljfFCNgEBG2I+PRhvpT7zG+t0fGTtWSi6GvJtcW8Yl4PaS32O1W1qELn9KUM9Q9VDMp5Tnql&#10;elBRiSO6v6gGpxEIbFxpGAqw1mmTe+Bu1uUf3Tx3KpjcC4tD4SoT/T9a/fH0HD5jKp3CE+hvJDzc&#10;d8q35g4Rxs6ohtOtk1DFGKi6BqQNcag4jB+g4dGqY4SswWRxSITcnZiy1Oer1GaKQvPhW/5uSp6I&#10;5rvNdlsyTilUtUQHpPjOwCASqCXyKDO7Oj1RnJ8uT1IyD4+u7/M4e//bAXPOJyb74RK9lJ+cQlWc&#10;DhPHJniA5sxdIcxeYW8z6AB/SDGyT2pJ348KjRT9e8/KJFMtABdwWIDymkNrGaWY4X2czXcM6NqO&#10;mde5KQ93rJ51ubGXKi6a8+yzNBefJnP9us+vXv6m/U8AAAD//wMAUEsDBBQABgAIAAAAIQA/7QM2&#10;3gAAAAoBAAAPAAAAZHJzL2Rvd25yZXYueG1sTI9BT4NAEIXvJv6HzZh4s4vYokWWxpSQ6K1WL962&#10;7AhEdhbYLeC/dzzp8c378ua9bLfYTkw4+taRgttVBAKpcqalWsH7W3nzAMIHTUZ3jlDBN3rY5ZcX&#10;mU6Nm+kVp2OoBYeQT7WCJoQ+ldJXDVrtV65HYu/TjVYHlmMtzahnDredjKMokVa3xB8a3eO+werr&#10;eLYKijExpd8/F+X2Yy7Cy2GYBjkodX21PD2CCLiEPxh+63N1yLnTyZ3JeNGxvovWjCrY3scgGEg2&#10;Gz6c2FnHCcg8k/8n5D8AAAD//wMAUEsBAi0AFAAGAAgAAAAhALaDOJL+AAAA4QEAABMAAAAAAAAA&#10;AAAAAAAAAAAAAFtDb250ZW50X1R5cGVzXS54bWxQSwECLQAUAAYACAAAACEAOP0h/9YAAACUAQAA&#10;CwAAAAAAAAAAAAAAAAAvAQAAX3JlbHMvLnJlbHNQSwECLQAUAAYACAAAACEAhe7eQ88BAACVAwAA&#10;DgAAAAAAAAAAAAAAAAAuAgAAZHJzL2Uyb0RvYy54bWxQSwECLQAUAAYACAAAACEAP+0DNt4AAAAK&#10;AQAADwAAAAAAAAAAAAAAAAApBAAAZHJzL2Rvd25yZXYueG1sUEsFBgAAAAAEAAQA8wAAADQFAAAA&#10;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7E87"/>
    <w:multiLevelType w:val="hybridMultilevel"/>
    <w:tmpl w:val="D2941DE4"/>
    <w:lvl w:ilvl="0" w:tplc="E22A0C4A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F1E"/>
    <w:multiLevelType w:val="hybridMultilevel"/>
    <w:tmpl w:val="4B542F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1CC6"/>
    <w:multiLevelType w:val="hybridMultilevel"/>
    <w:tmpl w:val="B0E01B48"/>
    <w:lvl w:ilvl="0" w:tplc="1ED8C61C">
      <w:start w:val="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7895"/>
    <w:multiLevelType w:val="hybridMultilevel"/>
    <w:tmpl w:val="30883CD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B53BB"/>
    <w:multiLevelType w:val="hybridMultilevel"/>
    <w:tmpl w:val="A8BA5CB4"/>
    <w:lvl w:ilvl="0" w:tplc="8778A3D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E33"/>
    <w:multiLevelType w:val="hybridMultilevel"/>
    <w:tmpl w:val="2BE8E350"/>
    <w:lvl w:ilvl="0" w:tplc="B82AA30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36C0"/>
    <w:multiLevelType w:val="hybridMultilevel"/>
    <w:tmpl w:val="51220B10"/>
    <w:lvl w:ilvl="0" w:tplc="782E1AF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0478"/>
    <w:multiLevelType w:val="hybridMultilevel"/>
    <w:tmpl w:val="1CC4F102"/>
    <w:lvl w:ilvl="0" w:tplc="EC46D9D4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796C"/>
    <w:multiLevelType w:val="hybridMultilevel"/>
    <w:tmpl w:val="EE0E1D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030DF"/>
    <w:multiLevelType w:val="hybridMultilevel"/>
    <w:tmpl w:val="C9B00D30"/>
    <w:lvl w:ilvl="0" w:tplc="59D258A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C230A"/>
    <w:multiLevelType w:val="hybridMultilevel"/>
    <w:tmpl w:val="C442B6BA"/>
    <w:lvl w:ilvl="0" w:tplc="5A6C334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6959"/>
    <w:multiLevelType w:val="hybridMultilevel"/>
    <w:tmpl w:val="5CCA21EA"/>
    <w:lvl w:ilvl="0" w:tplc="2F7E3994">
      <w:start w:val="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813C1"/>
    <w:multiLevelType w:val="hybridMultilevel"/>
    <w:tmpl w:val="05F49C50"/>
    <w:lvl w:ilvl="0" w:tplc="82300CE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1356"/>
    <w:multiLevelType w:val="hybridMultilevel"/>
    <w:tmpl w:val="35B4B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B6D1F"/>
    <w:multiLevelType w:val="hybridMultilevel"/>
    <w:tmpl w:val="456A7860"/>
    <w:lvl w:ilvl="0" w:tplc="B774640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78BD"/>
    <w:multiLevelType w:val="hybridMultilevel"/>
    <w:tmpl w:val="904C4D60"/>
    <w:lvl w:ilvl="0" w:tplc="51F0D846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C4963"/>
    <w:multiLevelType w:val="hybridMultilevel"/>
    <w:tmpl w:val="751880B2"/>
    <w:lvl w:ilvl="0" w:tplc="AF12DF7E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85149"/>
    <w:multiLevelType w:val="hybridMultilevel"/>
    <w:tmpl w:val="EDEAD9E0"/>
    <w:lvl w:ilvl="0" w:tplc="2782346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455">
    <w:abstractNumId w:val="17"/>
  </w:num>
  <w:num w:numId="2" w16cid:durableId="926688968">
    <w:abstractNumId w:val="16"/>
  </w:num>
  <w:num w:numId="3" w16cid:durableId="1912889337">
    <w:abstractNumId w:val="12"/>
  </w:num>
  <w:num w:numId="4" w16cid:durableId="1828858959">
    <w:abstractNumId w:val="5"/>
  </w:num>
  <w:num w:numId="5" w16cid:durableId="175654468">
    <w:abstractNumId w:val="0"/>
  </w:num>
  <w:num w:numId="6" w16cid:durableId="1750498072">
    <w:abstractNumId w:val="15"/>
  </w:num>
  <w:num w:numId="7" w16cid:durableId="2109495306">
    <w:abstractNumId w:val="14"/>
  </w:num>
  <w:num w:numId="8" w16cid:durableId="1150563889">
    <w:abstractNumId w:val="10"/>
  </w:num>
  <w:num w:numId="9" w16cid:durableId="1740327186">
    <w:abstractNumId w:val="4"/>
  </w:num>
  <w:num w:numId="10" w16cid:durableId="648098363">
    <w:abstractNumId w:val="6"/>
  </w:num>
  <w:num w:numId="11" w16cid:durableId="2062632712">
    <w:abstractNumId w:val="9"/>
  </w:num>
  <w:num w:numId="12" w16cid:durableId="213809433">
    <w:abstractNumId w:val="1"/>
  </w:num>
  <w:num w:numId="13" w16cid:durableId="1988246120">
    <w:abstractNumId w:val="7"/>
  </w:num>
  <w:num w:numId="14" w16cid:durableId="1804497586">
    <w:abstractNumId w:val="13"/>
  </w:num>
  <w:num w:numId="15" w16cid:durableId="1940868164">
    <w:abstractNumId w:val="2"/>
  </w:num>
  <w:num w:numId="16" w16cid:durableId="1791433212">
    <w:abstractNumId w:val="3"/>
  </w:num>
  <w:num w:numId="17" w16cid:durableId="1849058295">
    <w:abstractNumId w:val="8"/>
  </w:num>
  <w:num w:numId="18" w16cid:durableId="507866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85"/>
    <w:rsid w:val="00001F24"/>
    <w:rsid w:val="000021F4"/>
    <w:rsid w:val="00004E93"/>
    <w:rsid w:val="000136D7"/>
    <w:rsid w:val="00013C9D"/>
    <w:rsid w:val="00013D73"/>
    <w:rsid w:val="0001662B"/>
    <w:rsid w:val="00020AC9"/>
    <w:rsid w:val="00027EA3"/>
    <w:rsid w:val="00032028"/>
    <w:rsid w:val="00032564"/>
    <w:rsid w:val="00034121"/>
    <w:rsid w:val="000440EB"/>
    <w:rsid w:val="0005029E"/>
    <w:rsid w:val="00054673"/>
    <w:rsid w:val="000610DA"/>
    <w:rsid w:val="00062237"/>
    <w:rsid w:val="00062C87"/>
    <w:rsid w:val="00065685"/>
    <w:rsid w:val="000663B5"/>
    <w:rsid w:val="000665E2"/>
    <w:rsid w:val="00066A8A"/>
    <w:rsid w:val="00072A30"/>
    <w:rsid w:val="00073A63"/>
    <w:rsid w:val="00075446"/>
    <w:rsid w:val="000772AE"/>
    <w:rsid w:val="00077E8A"/>
    <w:rsid w:val="00080FD4"/>
    <w:rsid w:val="00082C59"/>
    <w:rsid w:val="00091562"/>
    <w:rsid w:val="00091D49"/>
    <w:rsid w:val="00091E5B"/>
    <w:rsid w:val="0009382E"/>
    <w:rsid w:val="000A072C"/>
    <w:rsid w:val="000A4FBB"/>
    <w:rsid w:val="000A6A78"/>
    <w:rsid w:val="000B2DF4"/>
    <w:rsid w:val="000B310B"/>
    <w:rsid w:val="000B4A9D"/>
    <w:rsid w:val="000B5FF3"/>
    <w:rsid w:val="000C1C4D"/>
    <w:rsid w:val="000C3A22"/>
    <w:rsid w:val="000C6B4F"/>
    <w:rsid w:val="000D5A87"/>
    <w:rsid w:val="000D6F1F"/>
    <w:rsid w:val="000D7B09"/>
    <w:rsid w:val="000D7FD3"/>
    <w:rsid w:val="000E194E"/>
    <w:rsid w:val="000E4F2C"/>
    <w:rsid w:val="000E6577"/>
    <w:rsid w:val="000E694E"/>
    <w:rsid w:val="000E753B"/>
    <w:rsid w:val="000F57F1"/>
    <w:rsid w:val="001104E2"/>
    <w:rsid w:val="00110917"/>
    <w:rsid w:val="00110E37"/>
    <w:rsid w:val="00110F8E"/>
    <w:rsid w:val="00113D8C"/>
    <w:rsid w:val="00120624"/>
    <w:rsid w:val="0012156C"/>
    <w:rsid w:val="001304F6"/>
    <w:rsid w:val="00131DC5"/>
    <w:rsid w:val="001340F8"/>
    <w:rsid w:val="001407F3"/>
    <w:rsid w:val="00146388"/>
    <w:rsid w:val="00150092"/>
    <w:rsid w:val="001550FE"/>
    <w:rsid w:val="00155828"/>
    <w:rsid w:val="00156AF6"/>
    <w:rsid w:val="00161817"/>
    <w:rsid w:val="00162CC4"/>
    <w:rsid w:val="001647B3"/>
    <w:rsid w:val="00166ED2"/>
    <w:rsid w:val="00176433"/>
    <w:rsid w:val="0018092C"/>
    <w:rsid w:val="00181706"/>
    <w:rsid w:val="00184BB0"/>
    <w:rsid w:val="00190761"/>
    <w:rsid w:val="001963BB"/>
    <w:rsid w:val="001A0708"/>
    <w:rsid w:val="001A22F5"/>
    <w:rsid w:val="001B786B"/>
    <w:rsid w:val="001C32DB"/>
    <w:rsid w:val="001C33FC"/>
    <w:rsid w:val="001C518B"/>
    <w:rsid w:val="001D00A5"/>
    <w:rsid w:val="001E1829"/>
    <w:rsid w:val="001E5503"/>
    <w:rsid w:val="001E7716"/>
    <w:rsid w:val="001F218D"/>
    <w:rsid w:val="001F35E1"/>
    <w:rsid w:val="00200C83"/>
    <w:rsid w:val="002014F7"/>
    <w:rsid w:val="00202DD3"/>
    <w:rsid w:val="00215E22"/>
    <w:rsid w:val="0022694F"/>
    <w:rsid w:val="00235393"/>
    <w:rsid w:val="00264A0A"/>
    <w:rsid w:val="00265CA3"/>
    <w:rsid w:val="002704CD"/>
    <w:rsid w:val="00270F3A"/>
    <w:rsid w:val="0028070D"/>
    <w:rsid w:val="00282ED8"/>
    <w:rsid w:val="00290672"/>
    <w:rsid w:val="00290917"/>
    <w:rsid w:val="002915F3"/>
    <w:rsid w:val="002A09C2"/>
    <w:rsid w:val="002A42FA"/>
    <w:rsid w:val="002A480D"/>
    <w:rsid w:val="002A7D58"/>
    <w:rsid w:val="002B63FD"/>
    <w:rsid w:val="002B749A"/>
    <w:rsid w:val="002C52C5"/>
    <w:rsid w:val="002D5463"/>
    <w:rsid w:val="002E1C45"/>
    <w:rsid w:val="002E2D2D"/>
    <w:rsid w:val="002E5673"/>
    <w:rsid w:val="002E7EE2"/>
    <w:rsid w:val="002F3249"/>
    <w:rsid w:val="002F461A"/>
    <w:rsid w:val="002F786B"/>
    <w:rsid w:val="00306932"/>
    <w:rsid w:val="003152C9"/>
    <w:rsid w:val="00315870"/>
    <w:rsid w:val="00316196"/>
    <w:rsid w:val="003250ED"/>
    <w:rsid w:val="00340A89"/>
    <w:rsid w:val="00341D84"/>
    <w:rsid w:val="003424EC"/>
    <w:rsid w:val="0034454C"/>
    <w:rsid w:val="00355438"/>
    <w:rsid w:val="00355D78"/>
    <w:rsid w:val="00355ED1"/>
    <w:rsid w:val="003613CB"/>
    <w:rsid w:val="00363075"/>
    <w:rsid w:val="00364C2C"/>
    <w:rsid w:val="00366AF3"/>
    <w:rsid w:val="00367F4F"/>
    <w:rsid w:val="00370785"/>
    <w:rsid w:val="00371640"/>
    <w:rsid w:val="00374F87"/>
    <w:rsid w:val="00375256"/>
    <w:rsid w:val="00392897"/>
    <w:rsid w:val="00392E9E"/>
    <w:rsid w:val="003946DE"/>
    <w:rsid w:val="003948FA"/>
    <w:rsid w:val="00394B04"/>
    <w:rsid w:val="003A463F"/>
    <w:rsid w:val="003B09DC"/>
    <w:rsid w:val="003B10B7"/>
    <w:rsid w:val="003B4145"/>
    <w:rsid w:val="003B4C22"/>
    <w:rsid w:val="003B63A8"/>
    <w:rsid w:val="003D36F0"/>
    <w:rsid w:val="003D3F73"/>
    <w:rsid w:val="003D5215"/>
    <w:rsid w:val="003D5D91"/>
    <w:rsid w:val="003E772C"/>
    <w:rsid w:val="003F1590"/>
    <w:rsid w:val="003F293B"/>
    <w:rsid w:val="003F5E07"/>
    <w:rsid w:val="003F6066"/>
    <w:rsid w:val="0040331F"/>
    <w:rsid w:val="00403C95"/>
    <w:rsid w:val="00404BCC"/>
    <w:rsid w:val="00405679"/>
    <w:rsid w:val="004061B9"/>
    <w:rsid w:val="0041188F"/>
    <w:rsid w:val="00423DAC"/>
    <w:rsid w:val="00425DBF"/>
    <w:rsid w:val="00426531"/>
    <w:rsid w:val="00430DA2"/>
    <w:rsid w:val="004329C6"/>
    <w:rsid w:val="004338CA"/>
    <w:rsid w:val="004343B1"/>
    <w:rsid w:val="00434EB9"/>
    <w:rsid w:val="00436DD0"/>
    <w:rsid w:val="00442B5C"/>
    <w:rsid w:val="00453F14"/>
    <w:rsid w:val="00456442"/>
    <w:rsid w:val="00462200"/>
    <w:rsid w:val="00465A6E"/>
    <w:rsid w:val="00474099"/>
    <w:rsid w:val="00474AC5"/>
    <w:rsid w:val="004804A5"/>
    <w:rsid w:val="00481D27"/>
    <w:rsid w:val="00484027"/>
    <w:rsid w:val="00486F74"/>
    <w:rsid w:val="00491CBC"/>
    <w:rsid w:val="004956AE"/>
    <w:rsid w:val="0049607C"/>
    <w:rsid w:val="004A2A30"/>
    <w:rsid w:val="004A2D54"/>
    <w:rsid w:val="004A60FB"/>
    <w:rsid w:val="004B5CB6"/>
    <w:rsid w:val="004C322C"/>
    <w:rsid w:val="004C616B"/>
    <w:rsid w:val="004D2CD0"/>
    <w:rsid w:val="004D30FB"/>
    <w:rsid w:val="004D31CF"/>
    <w:rsid w:val="004F09D7"/>
    <w:rsid w:val="004F1EDD"/>
    <w:rsid w:val="004F38BF"/>
    <w:rsid w:val="004F5262"/>
    <w:rsid w:val="004F77D4"/>
    <w:rsid w:val="00500981"/>
    <w:rsid w:val="00501428"/>
    <w:rsid w:val="0050248F"/>
    <w:rsid w:val="00502DEE"/>
    <w:rsid w:val="005045E7"/>
    <w:rsid w:val="00510879"/>
    <w:rsid w:val="00510C33"/>
    <w:rsid w:val="005122A0"/>
    <w:rsid w:val="0052371C"/>
    <w:rsid w:val="0054038E"/>
    <w:rsid w:val="0054593A"/>
    <w:rsid w:val="00547877"/>
    <w:rsid w:val="00554C9F"/>
    <w:rsid w:val="005550A4"/>
    <w:rsid w:val="00557B57"/>
    <w:rsid w:val="005644BE"/>
    <w:rsid w:val="0057524E"/>
    <w:rsid w:val="00575A55"/>
    <w:rsid w:val="00583AC8"/>
    <w:rsid w:val="00584565"/>
    <w:rsid w:val="00593E99"/>
    <w:rsid w:val="005A5999"/>
    <w:rsid w:val="005C25D5"/>
    <w:rsid w:val="005C47F7"/>
    <w:rsid w:val="005C4C28"/>
    <w:rsid w:val="005D0D0E"/>
    <w:rsid w:val="005D449F"/>
    <w:rsid w:val="005D73BE"/>
    <w:rsid w:val="005E1C97"/>
    <w:rsid w:val="005E6515"/>
    <w:rsid w:val="005F1F6B"/>
    <w:rsid w:val="005F3B7B"/>
    <w:rsid w:val="0060257F"/>
    <w:rsid w:val="00604E20"/>
    <w:rsid w:val="00604F63"/>
    <w:rsid w:val="00605989"/>
    <w:rsid w:val="006061BF"/>
    <w:rsid w:val="00607CF6"/>
    <w:rsid w:val="00610BB3"/>
    <w:rsid w:val="00613713"/>
    <w:rsid w:val="006224FB"/>
    <w:rsid w:val="0063115F"/>
    <w:rsid w:val="00632159"/>
    <w:rsid w:val="00635995"/>
    <w:rsid w:val="006363DA"/>
    <w:rsid w:val="006432C0"/>
    <w:rsid w:val="006456EA"/>
    <w:rsid w:val="0065213B"/>
    <w:rsid w:val="00653983"/>
    <w:rsid w:val="00655CAA"/>
    <w:rsid w:val="006609C2"/>
    <w:rsid w:val="00663D75"/>
    <w:rsid w:val="0066478F"/>
    <w:rsid w:val="00675E89"/>
    <w:rsid w:val="00682849"/>
    <w:rsid w:val="00695F46"/>
    <w:rsid w:val="006969F1"/>
    <w:rsid w:val="006A3C35"/>
    <w:rsid w:val="006A6D11"/>
    <w:rsid w:val="006B2259"/>
    <w:rsid w:val="006B3ECE"/>
    <w:rsid w:val="006C5754"/>
    <w:rsid w:val="006D03D9"/>
    <w:rsid w:val="006D6526"/>
    <w:rsid w:val="006E06BE"/>
    <w:rsid w:val="006E674D"/>
    <w:rsid w:val="006E6770"/>
    <w:rsid w:val="006F154A"/>
    <w:rsid w:val="00701992"/>
    <w:rsid w:val="0070363C"/>
    <w:rsid w:val="00712023"/>
    <w:rsid w:val="007144E9"/>
    <w:rsid w:val="007145C9"/>
    <w:rsid w:val="00714A1F"/>
    <w:rsid w:val="00715C36"/>
    <w:rsid w:val="0071729A"/>
    <w:rsid w:val="00717328"/>
    <w:rsid w:val="0072073D"/>
    <w:rsid w:val="00735DF6"/>
    <w:rsid w:val="00742C04"/>
    <w:rsid w:val="0074571D"/>
    <w:rsid w:val="00750962"/>
    <w:rsid w:val="00750A05"/>
    <w:rsid w:val="00752C05"/>
    <w:rsid w:val="00767018"/>
    <w:rsid w:val="0077196D"/>
    <w:rsid w:val="00771C92"/>
    <w:rsid w:val="00795586"/>
    <w:rsid w:val="00797DA3"/>
    <w:rsid w:val="007A17C3"/>
    <w:rsid w:val="007A4844"/>
    <w:rsid w:val="007A4BE6"/>
    <w:rsid w:val="007B1DFE"/>
    <w:rsid w:val="007B33CE"/>
    <w:rsid w:val="007B7B81"/>
    <w:rsid w:val="007C1429"/>
    <w:rsid w:val="007C5441"/>
    <w:rsid w:val="007C7B61"/>
    <w:rsid w:val="007D1495"/>
    <w:rsid w:val="007D5A52"/>
    <w:rsid w:val="007D5CA1"/>
    <w:rsid w:val="007D75C8"/>
    <w:rsid w:val="007E2C66"/>
    <w:rsid w:val="007F1021"/>
    <w:rsid w:val="007F12A3"/>
    <w:rsid w:val="007F1BD3"/>
    <w:rsid w:val="007F2DBB"/>
    <w:rsid w:val="007F7E7C"/>
    <w:rsid w:val="00806C63"/>
    <w:rsid w:val="0081166B"/>
    <w:rsid w:val="00816613"/>
    <w:rsid w:val="00821A81"/>
    <w:rsid w:val="00825F63"/>
    <w:rsid w:val="008322D8"/>
    <w:rsid w:val="00837E5B"/>
    <w:rsid w:val="008472D3"/>
    <w:rsid w:val="008472F9"/>
    <w:rsid w:val="00851067"/>
    <w:rsid w:val="0085416C"/>
    <w:rsid w:val="00855329"/>
    <w:rsid w:val="00856A7C"/>
    <w:rsid w:val="0086041F"/>
    <w:rsid w:val="008739E7"/>
    <w:rsid w:val="00874645"/>
    <w:rsid w:val="00881685"/>
    <w:rsid w:val="008844D9"/>
    <w:rsid w:val="008846F6"/>
    <w:rsid w:val="00887D7F"/>
    <w:rsid w:val="00891435"/>
    <w:rsid w:val="00891C3A"/>
    <w:rsid w:val="00895E64"/>
    <w:rsid w:val="008A3638"/>
    <w:rsid w:val="008A3A3B"/>
    <w:rsid w:val="008A7188"/>
    <w:rsid w:val="008B1BA3"/>
    <w:rsid w:val="008B68F7"/>
    <w:rsid w:val="008C276D"/>
    <w:rsid w:val="008C5CEC"/>
    <w:rsid w:val="008E0A69"/>
    <w:rsid w:val="008F0631"/>
    <w:rsid w:val="008F17D7"/>
    <w:rsid w:val="008F2058"/>
    <w:rsid w:val="008F3731"/>
    <w:rsid w:val="009020E3"/>
    <w:rsid w:val="00903C74"/>
    <w:rsid w:val="00904B69"/>
    <w:rsid w:val="009064CE"/>
    <w:rsid w:val="0090663A"/>
    <w:rsid w:val="00910AD1"/>
    <w:rsid w:val="00910B65"/>
    <w:rsid w:val="00912233"/>
    <w:rsid w:val="00914021"/>
    <w:rsid w:val="00917410"/>
    <w:rsid w:val="0092334A"/>
    <w:rsid w:val="009264D0"/>
    <w:rsid w:val="0093360A"/>
    <w:rsid w:val="009358D3"/>
    <w:rsid w:val="0093738F"/>
    <w:rsid w:val="00955433"/>
    <w:rsid w:val="00955764"/>
    <w:rsid w:val="00957A6F"/>
    <w:rsid w:val="0096086D"/>
    <w:rsid w:val="009649C2"/>
    <w:rsid w:val="00965DEB"/>
    <w:rsid w:val="00966A04"/>
    <w:rsid w:val="009738DE"/>
    <w:rsid w:val="009750C4"/>
    <w:rsid w:val="00980BEB"/>
    <w:rsid w:val="00980D94"/>
    <w:rsid w:val="009820DC"/>
    <w:rsid w:val="00982F7B"/>
    <w:rsid w:val="009843D4"/>
    <w:rsid w:val="00986361"/>
    <w:rsid w:val="009867A7"/>
    <w:rsid w:val="0099076D"/>
    <w:rsid w:val="00991B64"/>
    <w:rsid w:val="0099690F"/>
    <w:rsid w:val="00996D38"/>
    <w:rsid w:val="00997F89"/>
    <w:rsid w:val="009A10C6"/>
    <w:rsid w:val="009A4503"/>
    <w:rsid w:val="009B008F"/>
    <w:rsid w:val="009C2D11"/>
    <w:rsid w:val="009C3FDE"/>
    <w:rsid w:val="009C4CE9"/>
    <w:rsid w:val="009F28F5"/>
    <w:rsid w:val="009F5763"/>
    <w:rsid w:val="009F6777"/>
    <w:rsid w:val="00A06310"/>
    <w:rsid w:val="00A07846"/>
    <w:rsid w:val="00A17CA6"/>
    <w:rsid w:val="00A22C2C"/>
    <w:rsid w:val="00A22FBF"/>
    <w:rsid w:val="00A2670C"/>
    <w:rsid w:val="00A3040C"/>
    <w:rsid w:val="00A346EF"/>
    <w:rsid w:val="00A53E9E"/>
    <w:rsid w:val="00A54087"/>
    <w:rsid w:val="00A57024"/>
    <w:rsid w:val="00A61757"/>
    <w:rsid w:val="00A63939"/>
    <w:rsid w:val="00A65690"/>
    <w:rsid w:val="00A65FB0"/>
    <w:rsid w:val="00A66A23"/>
    <w:rsid w:val="00A743C6"/>
    <w:rsid w:val="00A8148C"/>
    <w:rsid w:val="00A831E7"/>
    <w:rsid w:val="00A85640"/>
    <w:rsid w:val="00A86AFC"/>
    <w:rsid w:val="00A91DC1"/>
    <w:rsid w:val="00A9412B"/>
    <w:rsid w:val="00A95D91"/>
    <w:rsid w:val="00A97B5C"/>
    <w:rsid w:val="00AB536E"/>
    <w:rsid w:val="00AB69AD"/>
    <w:rsid w:val="00AB747E"/>
    <w:rsid w:val="00AC31F4"/>
    <w:rsid w:val="00AC6B15"/>
    <w:rsid w:val="00AD2569"/>
    <w:rsid w:val="00AD4124"/>
    <w:rsid w:val="00AD7DB5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3444"/>
    <w:rsid w:val="00B04F23"/>
    <w:rsid w:val="00B062A5"/>
    <w:rsid w:val="00B14C16"/>
    <w:rsid w:val="00B14E68"/>
    <w:rsid w:val="00B16A5C"/>
    <w:rsid w:val="00B23669"/>
    <w:rsid w:val="00B24860"/>
    <w:rsid w:val="00B33789"/>
    <w:rsid w:val="00B434EA"/>
    <w:rsid w:val="00B46BC1"/>
    <w:rsid w:val="00B519C8"/>
    <w:rsid w:val="00B54185"/>
    <w:rsid w:val="00B56AFB"/>
    <w:rsid w:val="00B576A5"/>
    <w:rsid w:val="00B701FD"/>
    <w:rsid w:val="00B862DB"/>
    <w:rsid w:val="00B922EE"/>
    <w:rsid w:val="00B9596E"/>
    <w:rsid w:val="00BA2FA0"/>
    <w:rsid w:val="00BA3D8E"/>
    <w:rsid w:val="00BA40B4"/>
    <w:rsid w:val="00BA49EB"/>
    <w:rsid w:val="00BB0F85"/>
    <w:rsid w:val="00BB284C"/>
    <w:rsid w:val="00BC0132"/>
    <w:rsid w:val="00BC0598"/>
    <w:rsid w:val="00BC6B47"/>
    <w:rsid w:val="00BC7A4D"/>
    <w:rsid w:val="00BD0526"/>
    <w:rsid w:val="00BD2784"/>
    <w:rsid w:val="00BD46B2"/>
    <w:rsid w:val="00BE4710"/>
    <w:rsid w:val="00BF11C6"/>
    <w:rsid w:val="00C003B1"/>
    <w:rsid w:val="00C11004"/>
    <w:rsid w:val="00C111FE"/>
    <w:rsid w:val="00C1497F"/>
    <w:rsid w:val="00C20B9C"/>
    <w:rsid w:val="00C21E75"/>
    <w:rsid w:val="00C2509E"/>
    <w:rsid w:val="00C2778C"/>
    <w:rsid w:val="00C27F6A"/>
    <w:rsid w:val="00C3159C"/>
    <w:rsid w:val="00C35841"/>
    <w:rsid w:val="00C409C6"/>
    <w:rsid w:val="00C41C74"/>
    <w:rsid w:val="00C4260E"/>
    <w:rsid w:val="00C43C76"/>
    <w:rsid w:val="00C47B63"/>
    <w:rsid w:val="00C47F8B"/>
    <w:rsid w:val="00C50567"/>
    <w:rsid w:val="00C56A08"/>
    <w:rsid w:val="00C742DD"/>
    <w:rsid w:val="00C846F6"/>
    <w:rsid w:val="00C86B1E"/>
    <w:rsid w:val="00C94B4E"/>
    <w:rsid w:val="00C96048"/>
    <w:rsid w:val="00C96214"/>
    <w:rsid w:val="00C974EE"/>
    <w:rsid w:val="00C9797F"/>
    <w:rsid w:val="00CA1FB9"/>
    <w:rsid w:val="00CA73C1"/>
    <w:rsid w:val="00CA79D7"/>
    <w:rsid w:val="00CB7BE6"/>
    <w:rsid w:val="00CC0E23"/>
    <w:rsid w:val="00CC40B9"/>
    <w:rsid w:val="00CD7E39"/>
    <w:rsid w:val="00CE2EFB"/>
    <w:rsid w:val="00CE5A10"/>
    <w:rsid w:val="00CF2D6E"/>
    <w:rsid w:val="00D02FD8"/>
    <w:rsid w:val="00D10832"/>
    <w:rsid w:val="00D11A3A"/>
    <w:rsid w:val="00D3104C"/>
    <w:rsid w:val="00D42152"/>
    <w:rsid w:val="00D43D89"/>
    <w:rsid w:val="00D50FDD"/>
    <w:rsid w:val="00D513E4"/>
    <w:rsid w:val="00D53B8E"/>
    <w:rsid w:val="00D56A51"/>
    <w:rsid w:val="00D602AC"/>
    <w:rsid w:val="00D70824"/>
    <w:rsid w:val="00D760A9"/>
    <w:rsid w:val="00D760CF"/>
    <w:rsid w:val="00D925B8"/>
    <w:rsid w:val="00D949D0"/>
    <w:rsid w:val="00DA3B66"/>
    <w:rsid w:val="00DA4453"/>
    <w:rsid w:val="00DA4D95"/>
    <w:rsid w:val="00DA6836"/>
    <w:rsid w:val="00DA733A"/>
    <w:rsid w:val="00DB2417"/>
    <w:rsid w:val="00DC05A3"/>
    <w:rsid w:val="00DC6A0C"/>
    <w:rsid w:val="00DE0CC7"/>
    <w:rsid w:val="00DE49B7"/>
    <w:rsid w:val="00E03DB3"/>
    <w:rsid w:val="00E04EB8"/>
    <w:rsid w:val="00E06757"/>
    <w:rsid w:val="00E126D5"/>
    <w:rsid w:val="00E1280F"/>
    <w:rsid w:val="00E178A3"/>
    <w:rsid w:val="00E17B2C"/>
    <w:rsid w:val="00E20DE4"/>
    <w:rsid w:val="00E26EA1"/>
    <w:rsid w:val="00E27DEF"/>
    <w:rsid w:val="00E30081"/>
    <w:rsid w:val="00E32743"/>
    <w:rsid w:val="00E342C7"/>
    <w:rsid w:val="00E354F6"/>
    <w:rsid w:val="00E356BD"/>
    <w:rsid w:val="00E412D0"/>
    <w:rsid w:val="00E4317C"/>
    <w:rsid w:val="00E46889"/>
    <w:rsid w:val="00E53D4C"/>
    <w:rsid w:val="00E5571D"/>
    <w:rsid w:val="00E5677B"/>
    <w:rsid w:val="00E609ED"/>
    <w:rsid w:val="00E63703"/>
    <w:rsid w:val="00E64DDC"/>
    <w:rsid w:val="00E704C6"/>
    <w:rsid w:val="00E77545"/>
    <w:rsid w:val="00E775AC"/>
    <w:rsid w:val="00E77A47"/>
    <w:rsid w:val="00E77B98"/>
    <w:rsid w:val="00E822DD"/>
    <w:rsid w:val="00E8471E"/>
    <w:rsid w:val="00E91E8C"/>
    <w:rsid w:val="00E93C87"/>
    <w:rsid w:val="00E942DA"/>
    <w:rsid w:val="00E94EF3"/>
    <w:rsid w:val="00E959E9"/>
    <w:rsid w:val="00E95E00"/>
    <w:rsid w:val="00E97167"/>
    <w:rsid w:val="00EA5A14"/>
    <w:rsid w:val="00EB1611"/>
    <w:rsid w:val="00EB468A"/>
    <w:rsid w:val="00EC01E6"/>
    <w:rsid w:val="00EC3DC1"/>
    <w:rsid w:val="00EC4845"/>
    <w:rsid w:val="00EC6CC2"/>
    <w:rsid w:val="00ED1C27"/>
    <w:rsid w:val="00ED3D73"/>
    <w:rsid w:val="00ED3FA6"/>
    <w:rsid w:val="00ED5CDF"/>
    <w:rsid w:val="00ED6DCA"/>
    <w:rsid w:val="00EE1F30"/>
    <w:rsid w:val="00EF0944"/>
    <w:rsid w:val="00EF7BE7"/>
    <w:rsid w:val="00F05141"/>
    <w:rsid w:val="00F07267"/>
    <w:rsid w:val="00F159E2"/>
    <w:rsid w:val="00F167CB"/>
    <w:rsid w:val="00F16AA1"/>
    <w:rsid w:val="00F2164E"/>
    <w:rsid w:val="00F22F9A"/>
    <w:rsid w:val="00F240EB"/>
    <w:rsid w:val="00F315FE"/>
    <w:rsid w:val="00F31FE6"/>
    <w:rsid w:val="00F40B12"/>
    <w:rsid w:val="00F45BB8"/>
    <w:rsid w:val="00F4739C"/>
    <w:rsid w:val="00F53F80"/>
    <w:rsid w:val="00F5697E"/>
    <w:rsid w:val="00F57625"/>
    <w:rsid w:val="00F6024C"/>
    <w:rsid w:val="00F673A2"/>
    <w:rsid w:val="00F67B89"/>
    <w:rsid w:val="00F71A10"/>
    <w:rsid w:val="00F72A3E"/>
    <w:rsid w:val="00F74B67"/>
    <w:rsid w:val="00F7577B"/>
    <w:rsid w:val="00F8348D"/>
    <w:rsid w:val="00F91726"/>
    <w:rsid w:val="00F92AA5"/>
    <w:rsid w:val="00FB307B"/>
    <w:rsid w:val="00FB3B53"/>
    <w:rsid w:val="00FB551B"/>
    <w:rsid w:val="00FC2947"/>
    <w:rsid w:val="00FC69D9"/>
    <w:rsid w:val="00FD28C1"/>
    <w:rsid w:val="00FD429E"/>
    <w:rsid w:val="00FD7412"/>
    <w:rsid w:val="00FE6F42"/>
    <w:rsid w:val="00FE7EF3"/>
    <w:rsid w:val="00FF1703"/>
    <w:rsid w:val="00FF1EF9"/>
    <w:rsid w:val="00FF2D3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465A6E"/>
    <w:pPr>
      <w:ind w:left="720"/>
      <w:contextualSpacing/>
    </w:pPr>
  </w:style>
  <w:style w:type="paragraph" w:styleId="berarbeitung">
    <w:name w:val="Revision"/>
    <w:hidden/>
    <w:uiPriority w:val="99"/>
    <w:semiHidden/>
    <w:rsid w:val="0091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Katharina Koester</cp:lastModifiedBy>
  <cp:revision>2</cp:revision>
  <cp:lastPrinted>2022-03-30T15:12:00Z</cp:lastPrinted>
  <dcterms:created xsi:type="dcterms:W3CDTF">2024-07-01T14:06:00Z</dcterms:created>
  <dcterms:modified xsi:type="dcterms:W3CDTF">2024-07-01T14:06:00Z</dcterms:modified>
</cp:coreProperties>
</file>