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0159" w14:textId="77777777" w:rsidR="00A437F2" w:rsidRPr="00F900C7" w:rsidRDefault="00A437F2" w:rsidP="00A437F2">
      <w:pPr>
        <w:rPr>
          <w:rFonts w:ascii="Arial" w:eastAsia="Times New Roman" w:hAnsi="Arial" w:cs="Arial"/>
          <w:b/>
          <w:bCs/>
          <w:kern w:val="0"/>
          <w14:ligatures w14:val="none"/>
        </w:rPr>
      </w:pPr>
      <w:r w:rsidRPr="00F900C7">
        <w:rPr>
          <w:rFonts w:ascii="Arial" w:eastAsia="Times New Roman" w:hAnsi="Arial" w:cs="Arial"/>
          <w:b/>
          <w:bCs/>
          <w:kern w:val="0"/>
          <w14:ligatures w14:val="none"/>
        </w:rPr>
        <w:t>Pressemitteilung</w:t>
      </w:r>
    </w:p>
    <w:p w14:paraId="6C9CB9C8" w14:textId="33AD5CAF" w:rsidR="00262F4E" w:rsidRPr="00F900C7" w:rsidRDefault="007C7B81" w:rsidP="00F900C7">
      <w:pPr>
        <w:spacing w:line="240" w:lineRule="auto"/>
        <w:rPr>
          <w:rFonts w:ascii="Calibri" w:eastAsia="Times New Roman" w:hAnsi="Calibri" w:cs="Arial Unicode MS"/>
          <w:b/>
          <w:bCs/>
          <w:color w:val="1C5C9A"/>
          <w:kern w:val="0"/>
          <w:sz w:val="38"/>
          <w:szCs w:val="38"/>
          <w14:ligatures w14:val="none"/>
        </w:rPr>
      </w:pPr>
      <w:r w:rsidRPr="00F900C7">
        <w:rPr>
          <w:rFonts w:ascii="Calibri" w:eastAsia="Times New Roman" w:hAnsi="Calibri" w:cs="Arial Unicode MS"/>
          <w:b/>
          <w:bCs/>
          <w:color w:val="1C5C9A"/>
          <w:kern w:val="0"/>
          <w:sz w:val="38"/>
          <w:szCs w:val="38"/>
          <w14:ligatures w14:val="none"/>
        </w:rPr>
        <w:t>Bewegung als Medizin?</w:t>
      </w:r>
      <w:r w:rsidR="00DF1F21" w:rsidRPr="00F900C7">
        <w:rPr>
          <w:rFonts w:ascii="Calibri" w:eastAsia="Times New Roman" w:hAnsi="Calibri" w:cs="Arial Unicode MS"/>
          <w:b/>
          <w:bCs/>
          <w:color w:val="1C5C9A"/>
          <w:kern w:val="0"/>
          <w:sz w:val="38"/>
          <w:szCs w:val="38"/>
          <w14:ligatures w14:val="none"/>
        </w:rPr>
        <w:t xml:space="preserve"> </w:t>
      </w:r>
      <w:r w:rsidR="00262F4E" w:rsidRPr="00F900C7">
        <w:rPr>
          <w:rFonts w:ascii="Calibri" w:eastAsia="Times New Roman" w:hAnsi="Calibri" w:cs="Arial Unicode MS"/>
          <w:b/>
          <w:bCs/>
          <w:color w:val="1C5C9A"/>
          <w:kern w:val="0"/>
          <w:sz w:val="38"/>
          <w:szCs w:val="38"/>
          <w14:ligatures w14:val="none"/>
        </w:rPr>
        <w:t>Wie Aktivität Rücken und Gesundheit stärkt</w:t>
      </w:r>
    </w:p>
    <w:p w14:paraId="790FC106" w14:textId="0767A108" w:rsidR="003F5A27" w:rsidRPr="00484CD8" w:rsidRDefault="003F5A27" w:rsidP="00262F4E">
      <w:pPr>
        <w:rPr>
          <w:b/>
          <w:bCs/>
          <w:sz w:val="20"/>
          <w:szCs w:val="20"/>
        </w:rPr>
      </w:pPr>
      <w:r>
        <w:rPr>
          <w:b/>
          <w:bCs/>
          <w:noProof/>
          <w:sz w:val="20"/>
          <w:szCs w:val="20"/>
        </w:rPr>
        <w:drawing>
          <wp:inline distT="0" distB="0" distL="0" distR="0" wp14:anchorId="78DC6DE2" wp14:editId="2D995E4A">
            <wp:extent cx="5760720" cy="3844290"/>
            <wp:effectExtent l="0" t="0" r="0" b="3810"/>
            <wp:docPr id="14043287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28789" name="Grafik 1404328789"/>
                    <pic:cNvPicPr/>
                  </pic:nvPicPr>
                  <pic:blipFill>
                    <a:blip r:embed="rId10"/>
                    <a:stretch>
                      <a:fillRect/>
                    </a:stretch>
                  </pic:blipFill>
                  <pic:spPr>
                    <a:xfrm>
                      <a:off x="0" y="0"/>
                      <a:ext cx="5760720" cy="3844290"/>
                    </a:xfrm>
                    <a:prstGeom prst="rect">
                      <a:avLst/>
                    </a:prstGeom>
                  </pic:spPr>
                </pic:pic>
              </a:graphicData>
            </a:graphic>
          </wp:inline>
        </w:drawing>
      </w:r>
    </w:p>
    <w:p w14:paraId="1C2CA9D1" w14:textId="49236A56" w:rsidR="006068E9" w:rsidRPr="006068E9" w:rsidRDefault="00B42B0A" w:rsidP="006068E9">
      <w:pPr>
        <w:rPr>
          <w:rFonts w:ascii="Calibri" w:eastAsia="Times New Roman" w:hAnsi="Calibri" w:cs="Arial Unicode MS"/>
          <w:i/>
          <w:iCs/>
          <w:sz w:val="20"/>
          <w:szCs w:val="20"/>
        </w:rPr>
      </w:pPr>
      <w:r w:rsidRPr="00484CD8">
        <w:rPr>
          <w:sz w:val="20"/>
          <w:szCs w:val="20"/>
        </w:rPr>
        <w:t>Regelmäßige Bewegung stärkt den Rücken, erhält die Mobilität und kann einen wichtigen Beitrag zur Gesundheitsvorsorge leisten.</w:t>
      </w:r>
      <w:r w:rsidR="00484CD8">
        <w:rPr>
          <w:sz w:val="20"/>
          <w:szCs w:val="20"/>
        </w:rPr>
        <w:t xml:space="preserve"> </w:t>
      </w:r>
      <w:r w:rsidR="006068E9" w:rsidRPr="006068E9">
        <w:rPr>
          <w:rFonts w:ascii="Calibri" w:eastAsia="Times New Roman" w:hAnsi="Calibri" w:cs="Arial Unicode MS"/>
          <w:sz w:val="20"/>
          <w:szCs w:val="20"/>
        </w:rPr>
        <w:t>[©</w:t>
      </w:r>
      <w:proofErr w:type="spellStart"/>
      <w:r w:rsidR="00A659DA" w:rsidRPr="003F5A27">
        <w:rPr>
          <w:rFonts w:ascii="Calibri" w:eastAsia="Times New Roman" w:hAnsi="Calibri" w:cs="Arial Unicode MS"/>
          <w:sz w:val="20"/>
          <w:szCs w:val="20"/>
        </w:rPr>
        <w:t>lordn</w:t>
      </w:r>
      <w:proofErr w:type="spellEnd"/>
      <w:r w:rsidR="00A659DA" w:rsidRPr="00254CAD">
        <w:rPr>
          <w:sz w:val="20"/>
          <w:szCs w:val="20"/>
        </w:rPr>
        <w:t>/stock.adobe.com</w:t>
      </w:r>
      <w:r w:rsidR="006068E9" w:rsidRPr="003F5A27">
        <w:rPr>
          <w:rFonts w:ascii="Calibri" w:eastAsia="Times New Roman" w:hAnsi="Calibri" w:cs="Arial Unicode MS"/>
          <w:sz w:val="20"/>
          <w:szCs w:val="20"/>
        </w:rPr>
        <w:t>]</w:t>
      </w:r>
    </w:p>
    <w:p w14:paraId="79D38CBD" w14:textId="62EA6DC4" w:rsidR="00473814" w:rsidRDefault="00262F4E" w:rsidP="00262F4E">
      <w:pPr>
        <w:rPr>
          <w:b/>
          <w:bCs/>
        </w:rPr>
      </w:pPr>
      <w:r w:rsidRPr="00262F4E">
        <w:rPr>
          <w:b/>
          <w:bCs/>
        </w:rPr>
        <w:t xml:space="preserve">Bremervörde, </w:t>
      </w:r>
      <w:r w:rsidR="00030BA6">
        <w:rPr>
          <w:b/>
          <w:bCs/>
        </w:rPr>
        <w:t>27</w:t>
      </w:r>
      <w:r w:rsidRPr="00262F4E">
        <w:rPr>
          <w:b/>
          <w:bCs/>
        </w:rPr>
        <w:t>.</w:t>
      </w:r>
      <w:r w:rsidR="00030BA6">
        <w:rPr>
          <w:b/>
          <w:bCs/>
        </w:rPr>
        <w:t>08.</w:t>
      </w:r>
      <w:r w:rsidRPr="00262F4E">
        <w:rPr>
          <w:b/>
          <w:bCs/>
        </w:rPr>
        <w:t>2026</w:t>
      </w:r>
      <w:r w:rsidR="006068E9">
        <w:rPr>
          <w:b/>
          <w:bCs/>
        </w:rPr>
        <w:t xml:space="preserve"> </w:t>
      </w:r>
      <w:r w:rsidR="006068E9" w:rsidRPr="006068E9">
        <w:rPr>
          <w:b/>
          <w:bCs/>
        </w:rPr>
        <w:t xml:space="preserve">– </w:t>
      </w:r>
      <w:r w:rsidR="00473814" w:rsidRPr="00473814">
        <w:rPr>
          <w:b/>
          <w:bCs/>
        </w:rPr>
        <w:t>Regelmäßige Bewegung kann ein wichtiger Schlüssel zu mehr Gesundheit sein</w:t>
      </w:r>
      <w:r w:rsidR="00CB6A14">
        <w:rPr>
          <w:b/>
          <w:bCs/>
        </w:rPr>
        <w:t>, denn</w:t>
      </w:r>
      <w:r w:rsidR="00A62764">
        <w:rPr>
          <w:b/>
          <w:bCs/>
        </w:rPr>
        <w:t xml:space="preserve"> körperliche </w:t>
      </w:r>
      <w:r w:rsidR="00473814" w:rsidRPr="00473814">
        <w:rPr>
          <w:b/>
          <w:bCs/>
        </w:rPr>
        <w:t xml:space="preserve">Aktivität </w:t>
      </w:r>
      <w:r w:rsidR="00B508E8">
        <w:rPr>
          <w:b/>
          <w:bCs/>
        </w:rPr>
        <w:t>stärkt</w:t>
      </w:r>
      <w:r w:rsidR="00B508E8" w:rsidRPr="00473814">
        <w:rPr>
          <w:b/>
          <w:bCs/>
        </w:rPr>
        <w:t xml:space="preserve"> </w:t>
      </w:r>
      <w:r w:rsidR="00A62764">
        <w:rPr>
          <w:b/>
          <w:bCs/>
        </w:rPr>
        <w:t xml:space="preserve">den Rücken, die </w:t>
      </w:r>
      <w:r w:rsidR="00473814" w:rsidRPr="00473814">
        <w:rPr>
          <w:b/>
          <w:bCs/>
        </w:rPr>
        <w:t xml:space="preserve">Muskeln und </w:t>
      </w:r>
      <w:r w:rsidR="00A62764">
        <w:rPr>
          <w:b/>
          <w:bCs/>
        </w:rPr>
        <w:t xml:space="preserve">den </w:t>
      </w:r>
      <w:r w:rsidR="00473814" w:rsidRPr="00473814">
        <w:rPr>
          <w:b/>
          <w:bCs/>
        </w:rPr>
        <w:t>Stoffwechsel, fördert die Durchblutung</w:t>
      </w:r>
      <w:r w:rsidR="00A62764">
        <w:rPr>
          <w:b/>
          <w:bCs/>
        </w:rPr>
        <w:t xml:space="preserve"> und</w:t>
      </w:r>
      <w:r w:rsidR="00473814" w:rsidRPr="00473814">
        <w:rPr>
          <w:b/>
          <w:bCs/>
        </w:rPr>
        <w:t xml:space="preserve"> erhält die Mobilität. </w:t>
      </w:r>
      <w:r w:rsidR="0075031C">
        <w:rPr>
          <w:b/>
          <w:bCs/>
        </w:rPr>
        <w:t xml:space="preserve">Aktuelle </w:t>
      </w:r>
      <w:r w:rsidR="00473814" w:rsidRPr="00473814">
        <w:rPr>
          <w:b/>
          <w:bCs/>
        </w:rPr>
        <w:t xml:space="preserve">Studien deuten zudem darauf hin, dass ein aktiver Alltag mit </w:t>
      </w:r>
      <w:r w:rsidR="0075031C">
        <w:rPr>
          <w:b/>
          <w:bCs/>
        </w:rPr>
        <w:t xml:space="preserve">einem </w:t>
      </w:r>
      <w:r w:rsidR="00473814" w:rsidRPr="00473814">
        <w:rPr>
          <w:b/>
          <w:bCs/>
        </w:rPr>
        <w:t xml:space="preserve">geringeren </w:t>
      </w:r>
      <w:r w:rsidR="0075031C">
        <w:rPr>
          <w:b/>
          <w:bCs/>
        </w:rPr>
        <w:t>Risiko für bestimm</w:t>
      </w:r>
      <w:r w:rsidR="00D8773C">
        <w:rPr>
          <w:b/>
          <w:bCs/>
        </w:rPr>
        <w:t>t</w:t>
      </w:r>
      <w:r w:rsidR="0075031C">
        <w:rPr>
          <w:b/>
          <w:bCs/>
        </w:rPr>
        <w:t>e Erkrankungen</w:t>
      </w:r>
      <w:r w:rsidR="00473814" w:rsidRPr="00473814">
        <w:rPr>
          <w:b/>
          <w:bCs/>
        </w:rPr>
        <w:t xml:space="preserve"> und einem langsameren kognitiven Abbau verbunden sein </w:t>
      </w:r>
      <w:proofErr w:type="gramStart"/>
      <w:r w:rsidR="00473814" w:rsidRPr="00473814">
        <w:rPr>
          <w:b/>
          <w:bCs/>
        </w:rPr>
        <w:t>kann.¹</w:t>
      </w:r>
      <w:proofErr w:type="gramEnd"/>
      <w:r w:rsidR="00473814" w:rsidRPr="00473814">
        <w:rPr>
          <w:b/>
          <w:bCs/>
        </w:rPr>
        <w:t xml:space="preserve"> ² ³</w:t>
      </w:r>
    </w:p>
    <w:p w14:paraId="4D770F66" w14:textId="77777777" w:rsidR="00F2497B" w:rsidRPr="003970C5" w:rsidRDefault="00F2497B" w:rsidP="00F2497B">
      <w:pPr>
        <w:rPr>
          <w:rFonts w:ascii="Calibri" w:eastAsia="Calibri" w:hAnsi="Calibri" w:cs="Calibri"/>
          <w:b/>
          <w:bCs/>
          <w:lang w:eastAsia="de-DE"/>
        </w:rPr>
      </w:pPr>
      <w:r w:rsidRPr="00A437F2">
        <w:t>„Bewegung ist keine Wunderpille und ersetzt weder eine Diagnose noch eine notwendige Therapie. Sie ist aber einer der stärksten Hebel, die wir im Alltag selbst bedienen können: Sie hält den Rücken belastbar, unterbricht schädliche Sitzroutinen und kann dazu beitragen, Krankheitsrisiken zu senken“, sagt Detlef Detjen, Geschäftsführer der Aktion Gesunder Rücken (AGR) e. V.</w:t>
      </w:r>
      <w:r>
        <w:t xml:space="preserve"> </w:t>
      </w:r>
      <w:r w:rsidRPr="003970C5">
        <w:rPr>
          <w:rFonts w:ascii="Calibri" w:hAnsi="Calibri" w:cs="Arial Unicode MS"/>
        </w:rPr>
        <w:t>Die AGR gibt Orientierung – mit konkreten Tipps für einen rückenfreundlichen Alltag und dem AGR-Gütesiegel für ergonomische Produkte.</w:t>
      </w:r>
      <w:r w:rsidRPr="003970C5">
        <w:rPr>
          <w:rFonts w:ascii="Calibri" w:eastAsia="Calibri" w:hAnsi="Calibri" w:cs="Calibri"/>
          <w:b/>
          <w:bCs/>
          <w:lang w:eastAsia="de-DE"/>
        </w:rPr>
        <w:t xml:space="preserve"> </w:t>
      </w:r>
    </w:p>
    <w:p w14:paraId="12356090" w14:textId="7B82FE1A" w:rsidR="000153C9" w:rsidRPr="00F900C7" w:rsidRDefault="000153C9" w:rsidP="00F900C7">
      <w:pPr>
        <w:pStyle w:val="berschrift1"/>
        <w:spacing w:before="280" w:after="120" w:line="276" w:lineRule="auto"/>
        <w:rPr>
          <w:rFonts w:ascii="Calibri" w:eastAsiaTheme="minorHAnsi" w:hAnsi="Calibri" w:cs="Arial Unicode MS"/>
          <w:b/>
          <w:bCs/>
          <w:color w:val="1C5C9A"/>
          <w:kern w:val="0"/>
          <w:sz w:val="24"/>
          <w:szCs w:val="24"/>
          <w14:ligatures w14:val="none"/>
        </w:rPr>
      </w:pPr>
      <w:r w:rsidRPr="00F900C7">
        <w:rPr>
          <w:rFonts w:ascii="Calibri" w:eastAsiaTheme="minorHAnsi" w:hAnsi="Calibri" w:cs="Arial Unicode MS"/>
          <w:b/>
          <w:bCs/>
          <w:color w:val="1C5C9A"/>
          <w:kern w:val="0"/>
          <w:sz w:val="24"/>
          <w:szCs w:val="24"/>
          <w14:ligatures w14:val="none"/>
        </w:rPr>
        <w:t>Was Bewegung bei Krebs und Demenz bewirken kann</w:t>
      </w:r>
    </w:p>
    <w:p w14:paraId="5B2F3E2D" w14:textId="77777777" w:rsidR="00651472" w:rsidRPr="00651472" w:rsidRDefault="00651472" w:rsidP="00651472">
      <w:r w:rsidRPr="00651472">
        <w:t xml:space="preserve">Aktuelle Studien zeigen, dass Bewegung auch mit Blick auf Krebs und Demenz eine wichtige Rolle spielen kann. Eine Langzeituntersuchung mit mehr als 90.000 Erwachsenen kommt zu </w:t>
      </w:r>
      <w:r w:rsidRPr="00651472">
        <w:lastRenderedPageBreak/>
        <w:t xml:space="preserve">dem Ergebnis, dass lange, kaum unterbrochene Sitzzeiten mit ungünstigeren gesundheitlichen Entwicklungen im Zusammenhang stehen. Bereits leichte oder moderate Bewegungspausen wirkten sich in der Auswertung positiv </w:t>
      </w:r>
      <w:proofErr w:type="gramStart"/>
      <w:r w:rsidRPr="00651472">
        <w:t>aus.¹</w:t>
      </w:r>
      <w:proofErr w:type="gramEnd"/>
      <w:r w:rsidRPr="00651472">
        <w:t xml:space="preserve"> Die Studie belegt zwar nicht, dass Bewegung vor Krebs schützt. Sie unterstreicht jedoch, wie sinnvoll es ist, langes Sitzen regelmäßig zu unterbrechen.</w:t>
      </w:r>
    </w:p>
    <w:p w14:paraId="3E711D4A" w14:textId="767AD8AD" w:rsidR="00651472" w:rsidRPr="00651472" w:rsidRDefault="00651472" w:rsidP="00651472">
      <w:r w:rsidRPr="00651472">
        <w:t>Auch für die Gehirngesundheit gibt es ermutigende Hinweise: Eine weitere Langzeitstudie zeigt, dass regelmäßiges Gehen bei älteren Menschen mit frühen Alzheimer-</w:t>
      </w:r>
      <w:r w:rsidR="00945F09">
        <w:t xml:space="preserve">Anzeichen </w:t>
      </w:r>
      <w:r w:rsidR="008805B6">
        <w:t xml:space="preserve">zu </w:t>
      </w:r>
      <w:r w:rsidRPr="00651472">
        <w:t xml:space="preserve">einem langsameren geistigen Abbau </w:t>
      </w:r>
      <w:r w:rsidR="008805B6">
        <w:t>führen</w:t>
      </w:r>
      <w:r w:rsidRPr="00651472">
        <w:t xml:space="preserve"> </w:t>
      </w:r>
      <w:proofErr w:type="gramStart"/>
      <w:r w:rsidRPr="00651472">
        <w:t>kann.²</w:t>
      </w:r>
      <w:proofErr w:type="gramEnd"/>
      <w:r w:rsidRPr="00651472">
        <w:t xml:space="preserve"> Der Demenzbericht des Fachjournals </w:t>
      </w:r>
      <w:r w:rsidRPr="00651472">
        <w:rPr>
          <w:i/>
          <w:iCs/>
        </w:rPr>
        <w:t>The Lancet</w:t>
      </w:r>
      <w:r w:rsidRPr="00651472">
        <w:t xml:space="preserve"> nennt körperliche Inaktivität ebenfalls als einen beeinflussbaren </w:t>
      </w:r>
      <w:proofErr w:type="gramStart"/>
      <w:r w:rsidRPr="00651472">
        <w:t>Risikofaktor.³</w:t>
      </w:r>
      <w:proofErr w:type="gramEnd"/>
    </w:p>
    <w:p w14:paraId="147D6AAA" w14:textId="77777777" w:rsidR="00651472" w:rsidRPr="00651472" w:rsidRDefault="00651472" w:rsidP="00651472">
      <w:r w:rsidRPr="00651472">
        <w:t xml:space="preserve">Bewegung kann Krankheiten nicht verhindern, ist aber ein wichtiger Baustein der Gesundheitsvorsorge – und etwas, das fast jeder im Alltag selbst beeinflussen </w:t>
      </w:r>
      <w:proofErr w:type="gramStart"/>
      <w:r w:rsidRPr="00651472">
        <w:t>kann.⁴</w:t>
      </w:r>
      <w:proofErr w:type="gramEnd"/>
    </w:p>
    <w:p w14:paraId="40905A55" w14:textId="77777777" w:rsidR="00651472" w:rsidRPr="00F900C7" w:rsidRDefault="00651472" w:rsidP="00F900C7">
      <w:pPr>
        <w:pStyle w:val="berschrift1"/>
        <w:spacing w:before="280" w:after="120" w:line="276" w:lineRule="auto"/>
        <w:rPr>
          <w:rFonts w:ascii="Calibri" w:eastAsiaTheme="minorHAnsi" w:hAnsi="Calibri" w:cs="Arial Unicode MS"/>
          <w:b/>
          <w:bCs/>
          <w:color w:val="1C5C9A"/>
          <w:kern w:val="0"/>
          <w:sz w:val="24"/>
          <w:szCs w:val="24"/>
          <w14:ligatures w14:val="none"/>
        </w:rPr>
      </w:pPr>
      <w:r w:rsidRPr="00F900C7">
        <w:rPr>
          <w:rFonts w:ascii="Calibri" w:eastAsiaTheme="minorHAnsi" w:hAnsi="Calibri" w:cs="Arial Unicode MS"/>
          <w:b/>
          <w:bCs/>
          <w:color w:val="1C5C9A"/>
          <w:kern w:val="0"/>
          <w:sz w:val="24"/>
          <w:szCs w:val="24"/>
          <w14:ligatures w14:val="none"/>
        </w:rPr>
        <w:t>Ein aktiver Alltag beginnt beim Rücken</w:t>
      </w:r>
    </w:p>
    <w:p w14:paraId="1E8A3721" w14:textId="77777777" w:rsidR="00D8773C" w:rsidRPr="00262F4E" w:rsidRDefault="00D8773C" w:rsidP="00D8773C">
      <w:r w:rsidRPr="00262F4E">
        <w:t>Für regelmäßige Bewegung braucht der Körper Kraft, Beweglichkeit und Vertrauen in die eigene Belastbarkeit. Der Rücken spielt dabei eine zentrale Rolle. Ist die Rumpfmuskulatur wenig trainiert oder bleibt der Körper über viele Stunden in derselben Haltung, können Verspannungen und Beschwerden entstehen.</w:t>
      </w:r>
    </w:p>
    <w:p w14:paraId="37719D65" w14:textId="0F00DAC7" w:rsidR="00D8773C" w:rsidRPr="00262F4E" w:rsidRDefault="00D8773C" w:rsidP="00D8773C">
      <w:r w:rsidRPr="00262F4E">
        <w:t>Abwechslung ist deshalb besonders wichtig</w:t>
      </w:r>
      <w:r>
        <w:t>, denn</w:t>
      </w:r>
      <w:r w:rsidRPr="00262F4E">
        <w:t xml:space="preserve"> Sitzen ist nicht grundsätzlich ungesund. Problematisch wird es vor allem, wenn Menschen </w:t>
      </w:r>
      <w:r>
        <w:t xml:space="preserve">zu </w:t>
      </w:r>
      <w:r w:rsidRPr="00262F4E">
        <w:t xml:space="preserve">lange </w:t>
      </w:r>
      <w:r>
        <w:t xml:space="preserve">sitzen und zudem </w:t>
      </w:r>
      <w:r w:rsidRPr="00262F4E">
        <w:t>unbewegt in einer Position verharren. Der regelmäßige Wechsel zwischen Sitzen, Stehen und Gehen bringt die Muskulatur in Aktion und verändert die Belastung der Wirbelsäule.</w:t>
      </w:r>
      <w:r w:rsidR="00271A6E" w:rsidRPr="00271A6E">
        <w:t xml:space="preserve"> ⁴ ⁵</w:t>
      </w:r>
    </w:p>
    <w:p w14:paraId="1CAFEC35" w14:textId="54CF64CE" w:rsidR="00D8773C" w:rsidRDefault="00D8773C" w:rsidP="00D8773C">
      <w:r w:rsidRPr="00262F4E">
        <w:t xml:space="preserve">Auch Krafttraining gehört zu einem ausgewogenen Bewegungsprogramm. Es stärkt </w:t>
      </w:r>
      <w:r w:rsidR="00307414">
        <w:t xml:space="preserve">neben </w:t>
      </w:r>
      <w:r w:rsidRPr="00262F4E">
        <w:t>de</w:t>
      </w:r>
      <w:r w:rsidR="00307414">
        <w:t>m</w:t>
      </w:r>
      <w:r w:rsidRPr="00262F4E">
        <w:t xml:space="preserve"> Rücken</w:t>
      </w:r>
      <w:r w:rsidR="00307414">
        <w:t xml:space="preserve"> </w:t>
      </w:r>
      <w:r w:rsidRPr="00262F4E">
        <w:t>auch Beine, Gesäß und Rumpf. Das erleichtert alltägliche Bewegungen, verbessert die Stabilität und kann helfen, die Mobilität langfristig zu erhalten.</w:t>
      </w:r>
      <w:r w:rsidR="00271A6E" w:rsidRPr="00271A6E">
        <w:t xml:space="preserve"> ⁴ ⁵</w:t>
      </w:r>
    </w:p>
    <w:p w14:paraId="30137DB6" w14:textId="3D6F2167" w:rsidR="009453C4" w:rsidRDefault="009453C4" w:rsidP="00651472">
      <w:r w:rsidRPr="009453C4">
        <w:t xml:space="preserve">„Entscheidend ist nicht, wie sportlich jemand ist, sondern ob Bewegung dauerhaft einen Platz im Alltag bekommt“, betont Detjen. „Wer regelmäßig aktiv bleibt und seinem Körper unterschiedliche Belastungsreize bietet, schafft gute Voraussetzungen dafür, beweglich, belastbar und </w:t>
      </w:r>
      <w:r>
        <w:t xml:space="preserve">auch im Alter </w:t>
      </w:r>
      <w:r w:rsidRPr="009453C4">
        <w:t xml:space="preserve">möglichst </w:t>
      </w:r>
      <w:r>
        <w:t xml:space="preserve">lange </w:t>
      </w:r>
      <w:r w:rsidRPr="009453C4">
        <w:t>selbstständig zu bleiben.“</w:t>
      </w:r>
    </w:p>
    <w:p w14:paraId="06225BA2" w14:textId="4FB39028" w:rsidR="00651472" w:rsidRPr="00F900C7" w:rsidRDefault="00651472" w:rsidP="00F900C7">
      <w:pPr>
        <w:pStyle w:val="berschrift1"/>
        <w:spacing w:before="280" w:after="120" w:line="276" w:lineRule="auto"/>
        <w:rPr>
          <w:rFonts w:ascii="Calibri" w:eastAsiaTheme="minorHAnsi" w:hAnsi="Calibri" w:cs="Arial Unicode MS"/>
          <w:b/>
          <w:bCs/>
          <w:color w:val="1C5C9A"/>
          <w:kern w:val="0"/>
          <w:sz w:val="24"/>
          <w:szCs w:val="24"/>
          <w14:ligatures w14:val="none"/>
        </w:rPr>
      </w:pPr>
      <w:r w:rsidRPr="00F900C7">
        <w:rPr>
          <w:rFonts w:ascii="Calibri" w:eastAsiaTheme="minorHAnsi" w:hAnsi="Calibri" w:cs="Arial Unicode MS"/>
          <w:b/>
          <w:bCs/>
          <w:color w:val="1C5C9A"/>
          <w:kern w:val="0"/>
          <w:sz w:val="24"/>
          <w:szCs w:val="24"/>
          <w14:ligatures w14:val="none"/>
        </w:rPr>
        <w:t>Fünf einfache Schritte zu mehr Bewegung</w:t>
      </w:r>
    </w:p>
    <w:p w14:paraId="6F2217A3" w14:textId="77777777" w:rsidR="00651472" w:rsidRPr="00651472" w:rsidRDefault="00651472" w:rsidP="00651472">
      <w:pPr>
        <w:numPr>
          <w:ilvl w:val="0"/>
          <w:numId w:val="5"/>
        </w:numPr>
      </w:pPr>
      <w:r w:rsidRPr="00651472">
        <w:rPr>
          <w:b/>
          <w:bCs/>
        </w:rPr>
        <w:t>Sitzzeiten unterbrechen:</w:t>
      </w:r>
      <w:r w:rsidRPr="00651472">
        <w:t xml:space="preserve"> Telefonate im Stehen führen, zwischendurch einige Schritte gehen oder die Arbeitsposition </w:t>
      </w:r>
      <w:proofErr w:type="gramStart"/>
      <w:r w:rsidRPr="00651472">
        <w:t>wechseln.¹</w:t>
      </w:r>
      <w:proofErr w:type="gramEnd"/>
      <w:r w:rsidRPr="00651472">
        <w:t xml:space="preserve"> ⁴</w:t>
      </w:r>
    </w:p>
    <w:p w14:paraId="09F1B47D" w14:textId="77777777" w:rsidR="00651472" w:rsidRPr="00651472" w:rsidRDefault="00651472" w:rsidP="00651472">
      <w:pPr>
        <w:numPr>
          <w:ilvl w:val="0"/>
          <w:numId w:val="5"/>
        </w:numPr>
      </w:pPr>
      <w:r w:rsidRPr="00651472">
        <w:rPr>
          <w:b/>
          <w:bCs/>
        </w:rPr>
        <w:t>Alltagswege aktiv nutzen:</w:t>
      </w:r>
      <w:r w:rsidRPr="00651472">
        <w:t xml:space="preserve"> Kurze Strecken zu Fuß oder mit dem Fahrrad zurücklegen und häufiger die Treppe </w:t>
      </w:r>
      <w:proofErr w:type="gramStart"/>
      <w:r w:rsidRPr="00651472">
        <w:t>nehmen.⁴</w:t>
      </w:r>
      <w:proofErr w:type="gramEnd"/>
    </w:p>
    <w:p w14:paraId="18A5E505" w14:textId="77777777" w:rsidR="00651472" w:rsidRPr="00651472" w:rsidRDefault="00651472" w:rsidP="00651472">
      <w:pPr>
        <w:numPr>
          <w:ilvl w:val="0"/>
          <w:numId w:val="5"/>
        </w:numPr>
      </w:pPr>
      <w:r w:rsidRPr="00651472">
        <w:rPr>
          <w:b/>
          <w:bCs/>
        </w:rPr>
        <w:t>Muskulatur kräftigen:</w:t>
      </w:r>
      <w:r w:rsidRPr="00651472">
        <w:t xml:space="preserve"> Zwei kurze Trainingseinheiten pro Woche können bereits eine gute Grundlage </w:t>
      </w:r>
      <w:proofErr w:type="gramStart"/>
      <w:r w:rsidRPr="00651472">
        <w:t>schaffen.⁴</w:t>
      </w:r>
      <w:proofErr w:type="gramEnd"/>
    </w:p>
    <w:p w14:paraId="2F4FC0D7" w14:textId="77777777" w:rsidR="00651472" w:rsidRPr="00651472" w:rsidRDefault="00651472" w:rsidP="00651472">
      <w:pPr>
        <w:numPr>
          <w:ilvl w:val="0"/>
          <w:numId w:val="5"/>
        </w:numPr>
      </w:pPr>
      <w:r w:rsidRPr="00651472">
        <w:rPr>
          <w:b/>
          <w:bCs/>
        </w:rPr>
        <w:lastRenderedPageBreak/>
        <w:t>Bewegung fest einplanen:</w:t>
      </w:r>
      <w:r w:rsidRPr="00651472">
        <w:t xml:space="preserve"> Spaziergänge und Bewegungspausen wie einen Termin behandeln.</w:t>
      </w:r>
    </w:p>
    <w:p w14:paraId="21A5D1A6" w14:textId="05C502C5" w:rsidR="00651472" w:rsidRPr="00651472" w:rsidRDefault="00651472" w:rsidP="00651472">
      <w:pPr>
        <w:numPr>
          <w:ilvl w:val="0"/>
          <w:numId w:val="5"/>
        </w:numPr>
      </w:pPr>
      <w:r w:rsidRPr="00651472">
        <w:rPr>
          <w:b/>
          <w:bCs/>
        </w:rPr>
        <w:t xml:space="preserve">Langsam </w:t>
      </w:r>
      <w:r w:rsidR="00072047">
        <w:rPr>
          <w:b/>
          <w:bCs/>
        </w:rPr>
        <w:t>anfangen</w:t>
      </w:r>
      <w:r w:rsidRPr="00651472">
        <w:rPr>
          <w:b/>
          <w:bCs/>
        </w:rPr>
        <w:t>:</w:t>
      </w:r>
      <w:r w:rsidRPr="00651472">
        <w:t xml:space="preserve"> Die Belastung schrittweise steigern und eine Bewegungsform wählen, die langfristig zum </w:t>
      </w:r>
      <w:r w:rsidR="00072047">
        <w:t xml:space="preserve">eigenen </w:t>
      </w:r>
      <w:r w:rsidRPr="00651472">
        <w:t>Alltag passt.</w:t>
      </w:r>
    </w:p>
    <w:p w14:paraId="7168831A" w14:textId="51472319" w:rsidR="00651472" w:rsidRPr="00651472" w:rsidRDefault="00B62EFA" w:rsidP="00651472">
      <w:r w:rsidRPr="00262F4E">
        <w:t>Als Orientierung empfiehlt die Weltgesundheitsorganisation</w:t>
      </w:r>
      <w:r>
        <w:t xml:space="preserve"> (WHO)</w:t>
      </w:r>
      <w:r w:rsidRPr="00262F4E">
        <w:t xml:space="preserve"> Erwachsenen mindestens 150 Minuten moderate Bewegung pro Woche. Diese Zeit muss nicht am Stück absolviert werden. Sie lässt sich auch in kleinere Einheiten </w:t>
      </w:r>
      <w:proofErr w:type="gramStart"/>
      <w:r w:rsidRPr="00262F4E">
        <w:t>aufteilen</w:t>
      </w:r>
      <w:r w:rsidR="00651472" w:rsidRPr="00651472">
        <w:t>.⁴</w:t>
      </w:r>
      <w:proofErr w:type="gramEnd"/>
    </w:p>
    <w:p w14:paraId="517A6651" w14:textId="77777777" w:rsidR="00651472" w:rsidRDefault="00651472" w:rsidP="00651472">
      <w:r w:rsidRPr="00651472">
        <w:t>Wer akute oder anhaltende Beschwerden, Vorerkrankungen oder längere Zeit keinen Sport betrieben hat, sollte das passende Bewegungsprogramm mit einer Ärztin, einem Arzt oder einer therapeutischen Fachkraft abstimmen.</w:t>
      </w:r>
    </w:p>
    <w:p w14:paraId="348345EE" w14:textId="77777777" w:rsidR="008C49D6" w:rsidRPr="00F900C7" w:rsidRDefault="008C49D6" w:rsidP="00F900C7">
      <w:pPr>
        <w:pStyle w:val="berschrift1"/>
        <w:spacing w:before="280" w:after="120" w:line="276" w:lineRule="auto"/>
        <w:rPr>
          <w:rFonts w:ascii="Calibri" w:eastAsiaTheme="minorHAnsi" w:hAnsi="Calibri" w:cs="Arial Unicode MS"/>
          <w:b/>
          <w:bCs/>
          <w:color w:val="1C5C9A"/>
          <w:kern w:val="0"/>
          <w:sz w:val="24"/>
          <w:szCs w:val="24"/>
          <w14:ligatures w14:val="none"/>
        </w:rPr>
      </w:pPr>
      <w:r w:rsidRPr="00F900C7">
        <w:rPr>
          <w:rFonts w:ascii="Calibri" w:eastAsiaTheme="minorHAnsi" w:hAnsi="Calibri" w:cs="Arial Unicode MS"/>
          <w:b/>
          <w:bCs/>
          <w:color w:val="1C5C9A"/>
          <w:kern w:val="0"/>
          <w:sz w:val="24"/>
          <w:szCs w:val="24"/>
          <w14:ligatures w14:val="none"/>
        </w:rPr>
        <w:t>Praktische Unterstützung für einen bewegten Alltag</w:t>
      </w:r>
    </w:p>
    <w:p w14:paraId="0C9C5720" w14:textId="64EF24F2" w:rsidR="002F7294" w:rsidRDefault="002F7294" w:rsidP="008C49D6">
      <w:r>
        <w:t xml:space="preserve">Um </w:t>
      </w:r>
      <w:r w:rsidR="008C49D6" w:rsidRPr="008C49D6">
        <w:t xml:space="preserve">direkt aktiv </w:t>
      </w:r>
      <w:r>
        <w:t xml:space="preserve">zu </w:t>
      </w:r>
      <w:r w:rsidR="008C49D6" w:rsidRPr="008C49D6">
        <w:t>werden,</w:t>
      </w:r>
      <w:r>
        <w:t xml:space="preserve"> gibt es </w:t>
      </w:r>
      <w:r w:rsidR="008C49D6" w:rsidRPr="008C49D6">
        <w:t>auf der Website der Aktion Gesunder Rücken (AGR) e. V. einfache Rückenübungen für mehr Kraft und Beweglichkeit</w:t>
      </w:r>
      <w:r>
        <w:t xml:space="preserve">: </w:t>
      </w:r>
      <w:hyperlink r:id="rId11" w:history="1">
        <w:r w:rsidRPr="00753AA5">
          <w:rPr>
            <w:rStyle w:val="Hyperlink"/>
          </w:rPr>
          <w:t>www.agr-ev.de/rueckenuebungen</w:t>
        </w:r>
      </w:hyperlink>
    </w:p>
    <w:p w14:paraId="3B36684F" w14:textId="1759F12F" w:rsidR="00651472" w:rsidRPr="00735CCC" w:rsidRDefault="00651472" w:rsidP="00F900C7">
      <w:pPr>
        <w:pStyle w:val="berschrift1"/>
        <w:spacing w:before="280" w:after="120" w:line="276" w:lineRule="auto"/>
        <w:rPr>
          <w:rFonts w:ascii="Calibri" w:eastAsiaTheme="minorHAnsi" w:hAnsi="Calibri" w:cs="Arial Unicode MS"/>
          <w:b/>
          <w:bCs/>
          <w:color w:val="auto"/>
          <w:kern w:val="0"/>
          <w:sz w:val="24"/>
          <w:szCs w:val="24"/>
          <w14:ligatures w14:val="none"/>
        </w:rPr>
      </w:pPr>
      <w:r w:rsidRPr="00735CCC">
        <w:rPr>
          <w:rFonts w:ascii="Calibri" w:eastAsiaTheme="minorHAnsi" w:hAnsi="Calibri" w:cs="Arial Unicode MS"/>
          <w:b/>
          <w:bCs/>
          <w:color w:val="auto"/>
          <w:kern w:val="0"/>
          <w:sz w:val="24"/>
          <w:szCs w:val="24"/>
          <w14:ligatures w14:val="none"/>
        </w:rPr>
        <w:t xml:space="preserve">Quellen </w:t>
      </w:r>
    </w:p>
    <w:p w14:paraId="296BCBB3" w14:textId="5A687A68" w:rsidR="009453C4" w:rsidRPr="00A437F2" w:rsidRDefault="00BC3500" w:rsidP="00BC3500">
      <w:r w:rsidRPr="00651472">
        <w:rPr>
          <w:b/>
          <w:bCs/>
        </w:rPr>
        <w:t>¹</w:t>
      </w:r>
      <w:r w:rsidRPr="00651472">
        <w:t xml:space="preserve"> </w:t>
      </w:r>
      <w:r w:rsidR="00DF5AEF">
        <w:t xml:space="preserve">PLOS: </w:t>
      </w:r>
      <w:hyperlink r:id="rId12" w:history="1">
        <w:r w:rsidR="009453C4" w:rsidRPr="00F900C7">
          <w:rPr>
            <w:rStyle w:val="Hyperlink"/>
            <w:lang w:val="en-GB"/>
          </w:rPr>
          <w:t xml:space="preserve">Zhou et al.: </w:t>
        </w:r>
        <w:proofErr w:type="spellStart"/>
        <w:r w:rsidR="009453C4" w:rsidRPr="00F900C7">
          <w:rPr>
            <w:rStyle w:val="Hyperlink"/>
            <w:i/>
            <w:iCs/>
            <w:lang w:val="en-GB"/>
          </w:rPr>
          <w:t>Accelerometry</w:t>
        </w:r>
        <w:proofErr w:type="spellEnd"/>
        <w:r w:rsidR="009453C4" w:rsidRPr="00F900C7">
          <w:rPr>
            <w:rStyle w:val="Hyperlink"/>
            <w:i/>
            <w:iCs/>
            <w:lang w:val="en-GB"/>
          </w:rPr>
          <w:t xml:space="preserve">-measured prolonged and interrupted sedentary </w:t>
        </w:r>
        <w:proofErr w:type="spellStart"/>
        <w:r w:rsidR="009453C4" w:rsidRPr="00F900C7">
          <w:rPr>
            <w:rStyle w:val="Hyperlink"/>
            <w:i/>
            <w:iCs/>
            <w:lang w:val="en-GB"/>
          </w:rPr>
          <w:t>behavior</w:t>
        </w:r>
        <w:proofErr w:type="spellEnd"/>
        <w:r w:rsidR="009453C4" w:rsidRPr="00F900C7">
          <w:rPr>
            <w:rStyle w:val="Hyperlink"/>
            <w:i/>
            <w:iCs/>
            <w:lang w:val="en-GB"/>
          </w:rPr>
          <w:t xml:space="preserve"> and cancer incidence and mortality</w:t>
        </w:r>
        <w:r w:rsidR="009453C4" w:rsidRPr="00F900C7">
          <w:rPr>
            <w:rStyle w:val="Hyperlink"/>
            <w:lang w:val="en-GB"/>
          </w:rPr>
          <w:t>, PLOS Medicine, 2026</w:t>
        </w:r>
      </w:hyperlink>
      <w:r w:rsidR="009453C4" w:rsidRPr="005A70CB">
        <w:rPr>
          <w:lang w:val="en-GB"/>
        </w:rPr>
        <w:t xml:space="preserve">. </w:t>
      </w:r>
    </w:p>
    <w:p w14:paraId="27726B1E" w14:textId="2A86803F" w:rsidR="009453C4" w:rsidRPr="00A437F2" w:rsidRDefault="00BC3500" w:rsidP="00BC3500">
      <w:r w:rsidRPr="00651472">
        <w:rPr>
          <w:b/>
          <w:bCs/>
        </w:rPr>
        <w:t>²</w:t>
      </w:r>
      <w:r w:rsidRPr="00651472">
        <w:t xml:space="preserve"> </w:t>
      </w:r>
      <w:r w:rsidR="00DF5AEF">
        <w:t xml:space="preserve">Nature Medicine: </w:t>
      </w:r>
      <w:hyperlink r:id="rId13" w:history="1">
        <w:r w:rsidR="009453C4" w:rsidRPr="00F900C7">
          <w:rPr>
            <w:rStyle w:val="Hyperlink"/>
            <w:lang w:val="en-GB"/>
          </w:rPr>
          <w:t xml:space="preserve">Yau et al.: </w:t>
        </w:r>
        <w:r w:rsidR="009453C4" w:rsidRPr="00F900C7">
          <w:rPr>
            <w:rStyle w:val="Hyperlink"/>
            <w:i/>
            <w:iCs/>
            <w:lang w:val="en-GB"/>
          </w:rPr>
          <w:t>Physical activity as a modifiable risk factor in preclinical Alzheimer’s disease</w:t>
        </w:r>
        <w:r w:rsidR="009453C4" w:rsidRPr="00F900C7">
          <w:rPr>
            <w:rStyle w:val="Hyperlink"/>
            <w:lang w:val="en-GB"/>
          </w:rPr>
          <w:t>, Nature Medicine, 2025.</w:t>
        </w:r>
      </w:hyperlink>
      <w:r w:rsidR="009453C4" w:rsidRPr="005A70CB">
        <w:rPr>
          <w:lang w:val="en-GB"/>
        </w:rPr>
        <w:t xml:space="preserve"> </w:t>
      </w:r>
    </w:p>
    <w:p w14:paraId="6B84369C" w14:textId="35EA51F4" w:rsidR="009453C4" w:rsidRPr="00A437F2" w:rsidRDefault="00BC3500" w:rsidP="00BC3500">
      <w:r w:rsidRPr="00651472">
        <w:rPr>
          <w:b/>
          <w:bCs/>
        </w:rPr>
        <w:t>³</w:t>
      </w:r>
      <w:r w:rsidRPr="00651472">
        <w:t xml:space="preserve"> </w:t>
      </w:r>
      <w:r w:rsidR="00DF5AEF">
        <w:t xml:space="preserve">The Lancet: </w:t>
      </w:r>
      <w:hyperlink r:id="rId14" w:history="1">
        <w:r w:rsidR="009453C4" w:rsidRPr="00F900C7">
          <w:rPr>
            <w:rStyle w:val="Hyperlink"/>
            <w:lang w:val="en-GB"/>
          </w:rPr>
          <w:t xml:space="preserve">Livingston et al.: </w:t>
        </w:r>
        <w:r w:rsidR="009453C4" w:rsidRPr="00F900C7">
          <w:rPr>
            <w:rStyle w:val="Hyperlink"/>
            <w:i/>
            <w:iCs/>
            <w:lang w:val="en-GB"/>
          </w:rPr>
          <w:t>Dementia prevention, intervention, and care: 2024 report of the Lancet standing Commission</w:t>
        </w:r>
        <w:r w:rsidR="009453C4" w:rsidRPr="00F900C7">
          <w:rPr>
            <w:rStyle w:val="Hyperlink"/>
            <w:lang w:val="en-GB"/>
          </w:rPr>
          <w:t>.</w:t>
        </w:r>
      </w:hyperlink>
      <w:r w:rsidR="009453C4" w:rsidRPr="005A70CB">
        <w:rPr>
          <w:lang w:val="en-GB"/>
        </w:rPr>
        <w:t xml:space="preserve"> </w:t>
      </w:r>
    </w:p>
    <w:p w14:paraId="4A300146" w14:textId="13AC212B" w:rsidR="009453C4" w:rsidRPr="00A437F2" w:rsidRDefault="00BC3500" w:rsidP="00BC3500">
      <w:r w:rsidRPr="00651472">
        <w:rPr>
          <w:b/>
          <w:bCs/>
        </w:rPr>
        <w:t>⁴</w:t>
      </w:r>
      <w:r w:rsidRPr="00651472">
        <w:t xml:space="preserve"> </w:t>
      </w:r>
      <w:r w:rsidR="009453C4" w:rsidRPr="00DF5AEF">
        <w:t>Weltgesundheitsorganisation</w:t>
      </w:r>
      <w:r w:rsidRPr="00DF5AEF">
        <w:t xml:space="preserve"> (WHO)</w:t>
      </w:r>
      <w:r w:rsidR="009453C4" w:rsidRPr="00DF5AEF">
        <w:t xml:space="preserve">: </w:t>
      </w:r>
      <w:hyperlink r:id="rId15" w:anchor="tab=tab_1" w:history="1">
        <w:r w:rsidR="009453C4" w:rsidRPr="00DF5AEF">
          <w:rPr>
            <w:rStyle w:val="Hyperlink"/>
          </w:rPr>
          <w:t>Informationen und Empfehlungen zu körperlicher Aktivität.</w:t>
        </w:r>
      </w:hyperlink>
      <w:r w:rsidR="009453C4" w:rsidRPr="00A437F2">
        <w:t xml:space="preserve"> </w:t>
      </w:r>
    </w:p>
    <w:p w14:paraId="2EADA4FC" w14:textId="00EFF504" w:rsidR="009453C4" w:rsidRPr="00A437F2" w:rsidRDefault="00BC3500" w:rsidP="00BC3500">
      <w:r w:rsidRPr="00651472">
        <w:rPr>
          <w:b/>
          <w:bCs/>
        </w:rPr>
        <w:t>⁵</w:t>
      </w:r>
      <w:r w:rsidR="00FC4D2B">
        <w:rPr>
          <w:b/>
          <w:bCs/>
        </w:rPr>
        <w:t xml:space="preserve"> </w:t>
      </w:r>
      <w:r w:rsidR="009453C4" w:rsidRPr="003F4C80">
        <w:t>Weltgesundheitsorganisation</w:t>
      </w:r>
      <w:r w:rsidRPr="003F4C80">
        <w:t xml:space="preserve"> (WHO)</w:t>
      </w:r>
      <w:r w:rsidR="009453C4" w:rsidRPr="003F4C80">
        <w:t xml:space="preserve">: </w:t>
      </w:r>
      <w:hyperlink r:id="rId16" w:history="1">
        <w:r w:rsidR="009453C4" w:rsidRPr="003F4C80">
          <w:rPr>
            <w:rStyle w:val="Hyperlink"/>
          </w:rPr>
          <w:t>Informationen und Leitlinie zu Rückenschmerzen im unteren Rücken.</w:t>
        </w:r>
      </w:hyperlink>
      <w:r w:rsidR="009453C4" w:rsidRPr="00A437F2">
        <w:t xml:space="preserve"> </w:t>
      </w:r>
    </w:p>
    <w:p w14:paraId="5A5EEFAF" w14:textId="309AD032" w:rsidR="0089715B" w:rsidRPr="00F900C7" w:rsidRDefault="001C2941" w:rsidP="0089715B">
      <w:pPr>
        <w:rPr>
          <w:rFonts w:ascii="Calibri" w:eastAsia="Calibri" w:hAnsi="Calibri" w:cs="Calibri"/>
          <w:b/>
          <w:bCs/>
          <w:kern w:val="0"/>
          <w:lang w:eastAsia="de-DE"/>
          <w14:ligatures w14:val="none"/>
        </w:rPr>
      </w:pPr>
      <w:r>
        <w:rPr>
          <w:rFonts w:ascii="Calibri" w:eastAsia="Calibri" w:hAnsi="Calibri" w:cs="Calibri"/>
          <w:b/>
          <w:bCs/>
          <w:kern w:val="0"/>
          <w:lang w:eastAsia="de-DE"/>
          <w14:ligatures w14:val="none"/>
        </w:rPr>
        <w:br/>
        <w:t>P</w:t>
      </w:r>
      <w:r w:rsidR="0089715B" w:rsidRPr="00F900C7">
        <w:rPr>
          <w:rFonts w:ascii="Calibri" w:eastAsia="Calibri" w:hAnsi="Calibri" w:cs="Calibri"/>
          <w:b/>
          <w:bCs/>
          <w:kern w:val="0"/>
          <w:lang w:eastAsia="de-DE"/>
          <w14:ligatures w14:val="none"/>
        </w:rPr>
        <w:t xml:space="preserve">ressekontakt </w:t>
      </w:r>
    </w:p>
    <w:p w14:paraId="5CB4FE58" w14:textId="77777777" w:rsidR="00F900C7" w:rsidRPr="00E761B6" w:rsidRDefault="00F900C7" w:rsidP="00F900C7">
      <w:pPr>
        <w:spacing w:after="40" w:line="240" w:lineRule="auto"/>
        <w:rPr>
          <w:rFonts w:ascii="Calibri" w:eastAsia="Calibri" w:hAnsi="Calibri" w:cs="Calibri"/>
          <w:sz w:val="22"/>
          <w:lang w:eastAsia="de-DE"/>
        </w:rPr>
      </w:pPr>
      <w:r w:rsidRPr="00E761B6">
        <w:rPr>
          <w:rFonts w:ascii="Calibri" w:eastAsia="Calibri" w:hAnsi="Calibri" w:cs="Calibri"/>
          <w:sz w:val="22"/>
          <w:lang w:eastAsia="de-DE"/>
        </w:rPr>
        <w:t>Nina Grünewald</w:t>
      </w:r>
      <w:r w:rsidRPr="00E761B6">
        <w:rPr>
          <w:rFonts w:ascii="Calibri" w:eastAsia="Calibri" w:hAnsi="Calibri" w:cs="Calibri"/>
          <w:sz w:val="22"/>
          <w:lang w:eastAsia="de-DE"/>
        </w:rPr>
        <w:br/>
        <w:t>Aktion Gesunder Rücken e. V.</w:t>
      </w:r>
      <w:r w:rsidRPr="00E761B6">
        <w:rPr>
          <w:rFonts w:ascii="Calibri" w:eastAsia="Calibri" w:hAnsi="Calibri" w:cs="Calibri"/>
          <w:sz w:val="22"/>
          <w:lang w:eastAsia="de-DE"/>
        </w:rPr>
        <w:br/>
        <w:t>Stader Straße 6</w:t>
      </w:r>
      <w:r w:rsidRPr="00E761B6">
        <w:rPr>
          <w:rFonts w:ascii="Calibri" w:eastAsia="Calibri" w:hAnsi="Calibri" w:cs="Calibri"/>
          <w:sz w:val="22"/>
          <w:lang w:eastAsia="de-DE"/>
        </w:rPr>
        <w:br/>
        <w:t>27432 Bremervörde</w:t>
      </w:r>
      <w:r w:rsidRPr="00E761B6">
        <w:rPr>
          <w:rFonts w:ascii="Calibri" w:eastAsia="Calibri" w:hAnsi="Calibri" w:cs="Calibri"/>
          <w:sz w:val="22"/>
          <w:lang w:eastAsia="de-DE"/>
        </w:rPr>
        <w:br/>
        <w:t>Tel.: +49 4761 926358329</w:t>
      </w:r>
      <w:r w:rsidRPr="00E761B6">
        <w:rPr>
          <w:rFonts w:ascii="Calibri" w:eastAsia="Calibri" w:hAnsi="Calibri" w:cs="Calibri"/>
          <w:sz w:val="22"/>
          <w:lang w:eastAsia="de-DE"/>
        </w:rPr>
        <w:br/>
        <w:t>Mobil: +49 151 18546953</w:t>
      </w:r>
      <w:r w:rsidRPr="00E761B6">
        <w:rPr>
          <w:rFonts w:ascii="Calibri" w:eastAsia="Calibri" w:hAnsi="Calibri" w:cs="Calibri"/>
          <w:sz w:val="22"/>
          <w:lang w:eastAsia="de-DE"/>
        </w:rPr>
        <w:br/>
        <w:t xml:space="preserve">E-Mail: </w:t>
      </w:r>
      <w:hyperlink r:id="rId17" w:history="1">
        <w:r w:rsidRPr="001C040D">
          <w:rPr>
            <w:rStyle w:val="Hyperlink"/>
            <w:rFonts w:ascii="Calibri" w:eastAsia="Calibri" w:hAnsi="Calibri" w:cs="Calibri"/>
            <w:sz w:val="22"/>
            <w:lang w:eastAsia="de-DE"/>
          </w:rPr>
          <w:t>nina.gruenewald@agr-ev.de</w:t>
        </w:r>
      </w:hyperlink>
      <w:r>
        <w:rPr>
          <w:rFonts w:ascii="Calibri" w:eastAsia="Calibri" w:hAnsi="Calibri" w:cs="Calibri"/>
          <w:sz w:val="22"/>
          <w:lang w:eastAsia="de-DE"/>
        </w:rPr>
        <w:br/>
      </w:r>
    </w:p>
    <w:p w14:paraId="268E65EA" w14:textId="77777777" w:rsidR="00F900C7" w:rsidRPr="00E761B6" w:rsidRDefault="00F900C7" w:rsidP="00F900C7">
      <w:pPr>
        <w:spacing w:after="40" w:line="240" w:lineRule="auto"/>
        <w:rPr>
          <w:rFonts w:ascii="Calibri" w:eastAsia="Calibri" w:hAnsi="Calibri" w:cs="Calibri"/>
          <w:sz w:val="22"/>
          <w:lang w:eastAsia="de-DE"/>
        </w:rPr>
      </w:pPr>
      <w:r w:rsidRPr="00E761B6">
        <w:rPr>
          <w:rFonts w:ascii="Calibri" w:eastAsia="Calibri" w:hAnsi="Calibri" w:cs="Calibri"/>
          <w:sz w:val="22"/>
          <w:lang w:eastAsia="de-DE"/>
        </w:rPr>
        <w:lastRenderedPageBreak/>
        <w:t>Gerne vermitteln wir Ihnen renommierte Expertinnen und Experten für individuelle Interviews und Statements und stellen Ihnen kostenfrei druckfähiges Bildmaterial zur Verfügung. Kontaktieren Sie uns jederzeit.</w:t>
      </w:r>
    </w:p>
    <w:p w14:paraId="3FE883B8" w14:textId="77777777" w:rsidR="00F900C7" w:rsidRPr="00E761B6" w:rsidRDefault="00F900C7" w:rsidP="00F900C7">
      <w:pPr>
        <w:pStyle w:val="Textkrper"/>
        <w:rPr>
          <w:rFonts w:ascii="Calibri" w:hAnsi="Calibri" w:cs="Calibri"/>
          <w:lang w:val="de-DE"/>
        </w:rPr>
      </w:pPr>
    </w:p>
    <w:p w14:paraId="56120F25" w14:textId="77777777" w:rsidR="00F900C7" w:rsidRPr="00E761B6" w:rsidRDefault="00F900C7" w:rsidP="00F900C7">
      <w:pPr>
        <w:spacing w:line="240" w:lineRule="auto"/>
        <w:rPr>
          <w:rFonts w:ascii="Calibri" w:eastAsia="Calibri" w:hAnsi="Calibri" w:cs="Calibri"/>
          <w:b/>
          <w:bCs/>
          <w:sz w:val="22"/>
          <w:lang w:eastAsia="de-DE"/>
        </w:rPr>
      </w:pPr>
      <w:r w:rsidRPr="00E761B6">
        <w:rPr>
          <w:rFonts w:ascii="Calibri" w:eastAsia="Calibri" w:hAnsi="Calibri" w:cs="Calibri"/>
          <w:b/>
          <w:bCs/>
          <w:sz w:val="22"/>
          <w:lang w:eastAsia="de-DE"/>
        </w:rPr>
        <w:t xml:space="preserve">Die Aktion Gesunder Rücken (AGR) e. V. </w:t>
      </w:r>
      <w:r w:rsidRPr="00E761B6">
        <w:rPr>
          <w:rFonts w:ascii="Calibri" w:eastAsia="Calibri" w:hAnsi="Calibri" w:cs="Calibri"/>
          <w:sz w:val="22"/>
          <w:lang w:eastAsia="de-DE"/>
        </w:rPr>
        <w:t xml:space="preserve">fördert seit ihrer Gründung 1995 die Rückengesundheit. Der unabhängige Verein mit Sitz in Bremervörde (Niedersachsen) zeichnet besonders rückengerechte Produkte in Kooperation mit medizinischen Fachgesellschaften mit dem AGR-Gütesiegel aus. Die AGR arbeitet eng mit unabhängigen Expertinnen und Experten aus Medizin und Forschung zusammen, schult Fachhandel und Therapierende zu Ergonomie und Rückengesundheit und informiert Verbraucherinnen und Verbraucher darüber, wie </w:t>
      </w:r>
      <w:r w:rsidRPr="00520471">
        <w:rPr>
          <w:rFonts w:ascii="Calibri" w:eastAsia="Calibri" w:hAnsi="Calibri" w:cs="Calibri"/>
          <w:sz w:val="22"/>
          <w:lang w:eastAsia="de-DE"/>
        </w:rPr>
        <w:t>sich</w:t>
      </w:r>
      <w:r w:rsidRPr="00E761B6">
        <w:rPr>
          <w:rFonts w:ascii="Calibri" w:eastAsia="Calibri" w:hAnsi="Calibri" w:cs="Calibri"/>
          <w:sz w:val="22"/>
          <w:lang w:eastAsia="de-DE"/>
        </w:rPr>
        <w:t xml:space="preserve"> Rückenschmerzen vorbeugen </w:t>
      </w:r>
      <w:r w:rsidRPr="00520471">
        <w:rPr>
          <w:rFonts w:ascii="Calibri" w:eastAsia="Calibri" w:hAnsi="Calibri" w:cs="Calibri"/>
          <w:sz w:val="22"/>
          <w:lang w:eastAsia="de-DE"/>
        </w:rPr>
        <w:t>lasse</w:t>
      </w:r>
      <w:r w:rsidRPr="00E761B6">
        <w:rPr>
          <w:rFonts w:ascii="Calibri" w:eastAsia="Calibri" w:hAnsi="Calibri" w:cs="Calibri"/>
          <w:sz w:val="22"/>
          <w:lang w:eastAsia="de-DE"/>
        </w:rPr>
        <w:t xml:space="preserve">n. </w:t>
      </w:r>
      <w:r w:rsidRPr="00E761B6">
        <w:rPr>
          <w:rFonts w:ascii="Calibri" w:eastAsia="Calibri" w:hAnsi="Calibri" w:cs="Calibri"/>
          <w:b/>
          <w:bCs/>
          <w:sz w:val="22"/>
          <w:lang w:eastAsia="de-DE"/>
        </w:rPr>
        <w:t>www.agr-ev.de</w:t>
      </w:r>
    </w:p>
    <w:p w14:paraId="4D40F50A" w14:textId="51AE7BC6" w:rsidR="00F900C7" w:rsidRPr="00520471" w:rsidRDefault="00DF5AEF" w:rsidP="00F900C7">
      <w:pPr>
        <w:spacing w:line="240" w:lineRule="auto"/>
        <w:rPr>
          <w:rFonts w:ascii="Calibri" w:hAnsi="Calibri" w:cs="Calibri"/>
        </w:rPr>
      </w:pPr>
      <w:r>
        <w:rPr>
          <w:rFonts w:ascii="Calibri" w:eastAsia="Calibri" w:hAnsi="Calibri" w:cs="Calibri"/>
          <w:b/>
          <w:bCs/>
          <w:sz w:val="22"/>
          <w:lang w:eastAsia="de-DE"/>
        </w:rPr>
        <w:br/>
      </w:r>
      <w:r w:rsidR="00F900C7" w:rsidRPr="00E761B6">
        <w:rPr>
          <w:rFonts w:ascii="Calibri" w:eastAsia="Calibri" w:hAnsi="Calibri" w:cs="Calibri"/>
          <w:b/>
          <w:bCs/>
          <w:sz w:val="22"/>
          <w:lang w:eastAsia="de-DE"/>
        </w:rPr>
        <w:t xml:space="preserve">Das AGR-Gütesiegel „Geprüft &amp; empfohlen“ </w:t>
      </w:r>
      <w:r w:rsidR="00F900C7" w:rsidRPr="00E761B6">
        <w:rPr>
          <w:rFonts w:ascii="Calibri" w:eastAsia="Calibri" w:hAnsi="Calibri" w:cs="Calibri"/>
          <w:sz w:val="22"/>
          <w:lang w:eastAsia="de-DE"/>
        </w:rPr>
        <w:t xml:space="preserve">wurde von der AGR gemeinsam mit den beiden größten deutschen Rückenschulverbänden als Entscheidungshilfe für Verbraucherinnen und Verbraucher entwickelt. Es kennzeichnet Produkte, die von einer unabhängigen Prüfkommission aus Ärztinnen und Ärzten sowie Therapierenden verschiedener Fachgebiete nach strengen Kriterien als besonders rückengerecht bewertet wurden. Das Gütesiegel und der Prüfprozess wurden vom Amt der Europäischen Union für geistiges Eigentum (EUIPO) geprüft und 2022 als EU-Gewährleistungsmarke eingetragen. Weitere Informationen zum AGR-Gütesiegel und eine Übersicht der geprüften Produkte finden Sie unter: </w:t>
      </w:r>
      <w:r w:rsidR="00F900C7" w:rsidRPr="00520471">
        <w:rPr>
          <w:rFonts w:ascii="Calibri" w:eastAsia="Calibri" w:hAnsi="Calibri" w:cs="Calibri"/>
          <w:b/>
          <w:bCs/>
          <w:sz w:val="22"/>
          <w:lang w:eastAsia="de-DE"/>
        </w:rPr>
        <w:t xml:space="preserve">www.agr-ev.de/produkte </w:t>
      </w:r>
    </w:p>
    <w:p w14:paraId="529865F2" w14:textId="77777777" w:rsidR="00A437F2" w:rsidRDefault="00A437F2" w:rsidP="00F900C7">
      <w:pPr>
        <w:spacing w:after="0" w:line="240" w:lineRule="auto"/>
      </w:pPr>
    </w:p>
    <w:sectPr w:rsidR="00A437F2">
      <w:head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CB98" w14:textId="77777777" w:rsidR="00F900C7" w:rsidRDefault="00F900C7" w:rsidP="00F900C7">
      <w:pPr>
        <w:spacing w:after="0" w:line="240" w:lineRule="auto"/>
      </w:pPr>
      <w:r>
        <w:separator/>
      </w:r>
    </w:p>
  </w:endnote>
  <w:endnote w:type="continuationSeparator" w:id="0">
    <w:p w14:paraId="770E438F" w14:textId="77777777" w:rsidR="00F900C7" w:rsidRDefault="00F900C7" w:rsidP="00F9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5C4D0" w14:textId="77777777" w:rsidR="00F900C7" w:rsidRDefault="00F900C7" w:rsidP="00F900C7">
      <w:pPr>
        <w:spacing w:after="0" w:line="240" w:lineRule="auto"/>
      </w:pPr>
      <w:r>
        <w:separator/>
      </w:r>
    </w:p>
  </w:footnote>
  <w:footnote w:type="continuationSeparator" w:id="0">
    <w:p w14:paraId="33665DE5" w14:textId="77777777" w:rsidR="00F900C7" w:rsidRDefault="00F900C7" w:rsidP="00F90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FC6A" w14:textId="4B478930" w:rsidR="00F900C7" w:rsidRDefault="00F900C7">
    <w:pPr>
      <w:pStyle w:val="Kopfzeile"/>
    </w:pPr>
    <w:r>
      <w:rPr>
        <w:noProof/>
      </w:rPr>
      <w:drawing>
        <wp:anchor distT="0" distB="0" distL="114300" distR="114300" simplePos="0" relativeHeight="251659264" behindDoc="0" locked="0" layoutInCell="1" allowOverlap="1" wp14:anchorId="11F10CFB" wp14:editId="0BFC9653">
          <wp:simplePos x="0" y="0"/>
          <wp:positionH relativeFrom="margin">
            <wp:posOffset>5229225</wp:posOffset>
          </wp:positionH>
          <wp:positionV relativeFrom="margin">
            <wp:posOffset>-984250</wp:posOffset>
          </wp:positionV>
          <wp:extent cx="1123950" cy="1123950"/>
          <wp:effectExtent l="0" t="0" r="0" b="0"/>
          <wp:wrapSquare wrapText="bothSides"/>
          <wp:docPr id="2094518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18585" name="Grafik 2094518585"/>
                  <pic:cNvPicPr/>
                </pic:nvPicPr>
                <pic:blipFill>
                  <a:blip r:embed="rId1"/>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p>
  <w:p w14:paraId="706364C0" w14:textId="77777777" w:rsidR="00F900C7" w:rsidRDefault="00F900C7">
    <w:pPr>
      <w:pStyle w:val="Kopfzeile"/>
    </w:pPr>
  </w:p>
  <w:p w14:paraId="656B6EFA" w14:textId="77777777" w:rsidR="00F900C7" w:rsidRDefault="00F900C7">
    <w:pPr>
      <w:pStyle w:val="Kopfzeile"/>
    </w:pPr>
  </w:p>
  <w:p w14:paraId="3FD5C200" w14:textId="2ED20CF3" w:rsidR="00F900C7" w:rsidRDefault="00F900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2D68"/>
    <w:multiLevelType w:val="multilevel"/>
    <w:tmpl w:val="6156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B29B5"/>
    <w:multiLevelType w:val="multilevel"/>
    <w:tmpl w:val="7E1A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A2C9D"/>
    <w:multiLevelType w:val="multilevel"/>
    <w:tmpl w:val="90BA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0304E2"/>
    <w:multiLevelType w:val="multilevel"/>
    <w:tmpl w:val="E216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8C7E0E"/>
    <w:multiLevelType w:val="multilevel"/>
    <w:tmpl w:val="7506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41579">
    <w:abstractNumId w:val="3"/>
  </w:num>
  <w:num w:numId="2" w16cid:durableId="1376809925">
    <w:abstractNumId w:val="2"/>
  </w:num>
  <w:num w:numId="3" w16cid:durableId="980618422">
    <w:abstractNumId w:val="1"/>
  </w:num>
  <w:num w:numId="4" w16cid:durableId="111478449">
    <w:abstractNumId w:val="4"/>
  </w:num>
  <w:num w:numId="5" w16cid:durableId="73972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13aef867-bd1d-4a10-a3f2-c168930a7b61}"/>
  </w:docVars>
  <w:rsids>
    <w:rsidRoot w:val="00A437F2"/>
    <w:rsid w:val="000153C9"/>
    <w:rsid w:val="00030BA6"/>
    <w:rsid w:val="00032E70"/>
    <w:rsid w:val="00072047"/>
    <w:rsid w:val="00080F62"/>
    <w:rsid w:val="001472C1"/>
    <w:rsid w:val="001C2941"/>
    <w:rsid w:val="001D4658"/>
    <w:rsid w:val="00262F4E"/>
    <w:rsid w:val="00271A6E"/>
    <w:rsid w:val="002F7294"/>
    <w:rsid w:val="00307414"/>
    <w:rsid w:val="00356EF6"/>
    <w:rsid w:val="00383B2F"/>
    <w:rsid w:val="00396655"/>
    <w:rsid w:val="003970C5"/>
    <w:rsid w:val="003F4C80"/>
    <w:rsid w:val="003F5A27"/>
    <w:rsid w:val="0041399D"/>
    <w:rsid w:val="00473814"/>
    <w:rsid w:val="00484CD8"/>
    <w:rsid w:val="004F1D2D"/>
    <w:rsid w:val="004F5232"/>
    <w:rsid w:val="005325D4"/>
    <w:rsid w:val="005462DF"/>
    <w:rsid w:val="005A70CB"/>
    <w:rsid w:val="005F1AA9"/>
    <w:rsid w:val="006000CC"/>
    <w:rsid w:val="006015DD"/>
    <w:rsid w:val="006068E9"/>
    <w:rsid w:val="00611245"/>
    <w:rsid w:val="006364D0"/>
    <w:rsid w:val="00637B8C"/>
    <w:rsid w:val="006428DA"/>
    <w:rsid w:val="00651472"/>
    <w:rsid w:val="00697104"/>
    <w:rsid w:val="006F455D"/>
    <w:rsid w:val="007324B8"/>
    <w:rsid w:val="00735CCC"/>
    <w:rsid w:val="0074420B"/>
    <w:rsid w:val="0075031C"/>
    <w:rsid w:val="00751F39"/>
    <w:rsid w:val="00784940"/>
    <w:rsid w:val="0079548B"/>
    <w:rsid w:val="007C7B81"/>
    <w:rsid w:val="007D3584"/>
    <w:rsid w:val="00834B5D"/>
    <w:rsid w:val="008805B6"/>
    <w:rsid w:val="00880783"/>
    <w:rsid w:val="0089715B"/>
    <w:rsid w:val="008A48AA"/>
    <w:rsid w:val="008C49D6"/>
    <w:rsid w:val="008D3D52"/>
    <w:rsid w:val="009453C4"/>
    <w:rsid w:val="00945F09"/>
    <w:rsid w:val="009544DF"/>
    <w:rsid w:val="0095597E"/>
    <w:rsid w:val="00960EAF"/>
    <w:rsid w:val="009865BB"/>
    <w:rsid w:val="009F70D7"/>
    <w:rsid w:val="00A437F2"/>
    <w:rsid w:val="00A62764"/>
    <w:rsid w:val="00A659DA"/>
    <w:rsid w:val="00A72309"/>
    <w:rsid w:val="00AB1BAD"/>
    <w:rsid w:val="00B42B0A"/>
    <w:rsid w:val="00B508E8"/>
    <w:rsid w:val="00B50F1F"/>
    <w:rsid w:val="00B62EFA"/>
    <w:rsid w:val="00B872B5"/>
    <w:rsid w:val="00BC3500"/>
    <w:rsid w:val="00BF11ED"/>
    <w:rsid w:val="00CB6A14"/>
    <w:rsid w:val="00CD5031"/>
    <w:rsid w:val="00CD57E4"/>
    <w:rsid w:val="00D06E1F"/>
    <w:rsid w:val="00D4074A"/>
    <w:rsid w:val="00D42484"/>
    <w:rsid w:val="00D6698C"/>
    <w:rsid w:val="00D8773C"/>
    <w:rsid w:val="00DF1F21"/>
    <w:rsid w:val="00DF5AEF"/>
    <w:rsid w:val="00E665AE"/>
    <w:rsid w:val="00E9142C"/>
    <w:rsid w:val="00E91D4D"/>
    <w:rsid w:val="00EC3461"/>
    <w:rsid w:val="00F2497B"/>
    <w:rsid w:val="00F51A16"/>
    <w:rsid w:val="00F900C7"/>
    <w:rsid w:val="00FC4D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455A"/>
  <w15:chartTrackingRefBased/>
  <w15:docId w15:val="{756F94D4-9230-414F-84F7-EC739B0E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437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437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437F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437F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437F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437F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437F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437F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437F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37F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437F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437F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437F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437F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437F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37F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37F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37F2"/>
    <w:rPr>
      <w:rFonts w:eastAsiaTheme="majorEastAsia" w:cstheme="majorBidi"/>
      <w:color w:val="272727" w:themeColor="text1" w:themeTint="D8"/>
    </w:rPr>
  </w:style>
  <w:style w:type="paragraph" w:styleId="Titel">
    <w:name w:val="Title"/>
    <w:basedOn w:val="Standard"/>
    <w:next w:val="Standard"/>
    <w:link w:val="TitelZchn"/>
    <w:uiPriority w:val="10"/>
    <w:qFormat/>
    <w:rsid w:val="00A43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37F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37F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437F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37F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437F2"/>
    <w:rPr>
      <w:i/>
      <w:iCs/>
      <w:color w:val="404040" w:themeColor="text1" w:themeTint="BF"/>
    </w:rPr>
  </w:style>
  <w:style w:type="paragraph" w:styleId="Listenabsatz">
    <w:name w:val="List Paragraph"/>
    <w:basedOn w:val="Standard"/>
    <w:uiPriority w:val="34"/>
    <w:qFormat/>
    <w:rsid w:val="00A437F2"/>
    <w:pPr>
      <w:ind w:left="720"/>
      <w:contextualSpacing/>
    </w:pPr>
  </w:style>
  <w:style w:type="character" w:styleId="IntensiveHervorhebung">
    <w:name w:val="Intense Emphasis"/>
    <w:basedOn w:val="Absatz-Standardschriftart"/>
    <w:uiPriority w:val="21"/>
    <w:qFormat/>
    <w:rsid w:val="00A437F2"/>
    <w:rPr>
      <w:i/>
      <w:iCs/>
      <w:color w:val="2F5496" w:themeColor="accent1" w:themeShade="BF"/>
    </w:rPr>
  </w:style>
  <w:style w:type="paragraph" w:styleId="IntensivesZitat">
    <w:name w:val="Intense Quote"/>
    <w:basedOn w:val="Standard"/>
    <w:next w:val="Standard"/>
    <w:link w:val="IntensivesZitatZchn"/>
    <w:uiPriority w:val="30"/>
    <w:qFormat/>
    <w:rsid w:val="00A437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437F2"/>
    <w:rPr>
      <w:i/>
      <w:iCs/>
      <w:color w:val="2F5496" w:themeColor="accent1" w:themeShade="BF"/>
    </w:rPr>
  </w:style>
  <w:style w:type="character" w:styleId="IntensiverVerweis">
    <w:name w:val="Intense Reference"/>
    <w:basedOn w:val="Absatz-Standardschriftart"/>
    <w:uiPriority w:val="32"/>
    <w:qFormat/>
    <w:rsid w:val="00A437F2"/>
    <w:rPr>
      <w:b/>
      <w:bCs/>
      <w:smallCaps/>
      <w:color w:val="2F5496" w:themeColor="accent1" w:themeShade="BF"/>
      <w:spacing w:val="5"/>
    </w:rPr>
  </w:style>
  <w:style w:type="character" w:styleId="Hyperlink">
    <w:name w:val="Hyperlink"/>
    <w:basedOn w:val="Absatz-Standardschriftart"/>
    <w:uiPriority w:val="99"/>
    <w:unhideWhenUsed/>
    <w:rsid w:val="00A437F2"/>
    <w:rPr>
      <w:color w:val="0563C1" w:themeColor="hyperlink"/>
      <w:u w:val="single"/>
    </w:rPr>
  </w:style>
  <w:style w:type="character" w:styleId="NichtaufgelsteErwhnung">
    <w:name w:val="Unresolved Mention"/>
    <w:basedOn w:val="Absatz-Standardschriftart"/>
    <w:uiPriority w:val="99"/>
    <w:semiHidden/>
    <w:unhideWhenUsed/>
    <w:rsid w:val="00A437F2"/>
    <w:rPr>
      <w:color w:val="605E5C"/>
      <w:shd w:val="clear" w:color="auto" w:fill="E1DFDD"/>
    </w:rPr>
  </w:style>
  <w:style w:type="character" w:styleId="Kommentarzeichen">
    <w:name w:val="annotation reference"/>
    <w:basedOn w:val="Absatz-Standardschriftart"/>
    <w:uiPriority w:val="99"/>
    <w:semiHidden/>
    <w:unhideWhenUsed/>
    <w:rsid w:val="006364D0"/>
    <w:rPr>
      <w:sz w:val="16"/>
      <w:szCs w:val="16"/>
    </w:rPr>
  </w:style>
  <w:style w:type="paragraph" w:styleId="Kommentartext">
    <w:name w:val="annotation text"/>
    <w:basedOn w:val="Standard"/>
    <w:link w:val="KommentartextZchn"/>
    <w:uiPriority w:val="99"/>
    <w:unhideWhenUsed/>
    <w:rsid w:val="006364D0"/>
    <w:pPr>
      <w:spacing w:line="240" w:lineRule="auto"/>
    </w:pPr>
    <w:rPr>
      <w:sz w:val="20"/>
      <w:szCs w:val="20"/>
    </w:rPr>
  </w:style>
  <w:style w:type="character" w:customStyle="1" w:styleId="KommentartextZchn">
    <w:name w:val="Kommentartext Zchn"/>
    <w:basedOn w:val="Absatz-Standardschriftart"/>
    <w:link w:val="Kommentartext"/>
    <w:uiPriority w:val="99"/>
    <w:rsid w:val="006364D0"/>
    <w:rPr>
      <w:sz w:val="20"/>
      <w:szCs w:val="20"/>
    </w:rPr>
  </w:style>
  <w:style w:type="paragraph" w:styleId="Kommentarthema">
    <w:name w:val="annotation subject"/>
    <w:basedOn w:val="Kommentartext"/>
    <w:next w:val="Kommentartext"/>
    <w:link w:val="KommentarthemaZchn"/>
    <w:uiPriority w:val="99"/>
    <w:semiHidden/>
    <w:unhideWhenUsed/>
    <w:rsid w:val="006364D0"/>
    <w:rPr>
      <w:b/>
      <w:bCs/>
    </w:rPr>
  </w:style>
  <w:style w:type="character" w:customStyle="1" w:styleId="KommentarthemaZchn">
    <w:name w:val="Kommentarthema Zchn"/>
    <w:basedOn w:val="KommentartextZchn"/>
    <w:link w:val="Kommentarthema"/>
    <w:uiPriority w:val="99"/>
    <w:semiHidden/>
    <w:rsid w:val="006364D0"/>
    <w:rPr>
      <w:b/>
      <w:bCs/>
      <w:sz w:val="20"/>
      <w:szCs w:val="20"/>
    </w:rPr>
  </w:style>
  <w:style w:type="paragraph" w:styleId="berarbeitung">
    <w:name w:val="Revision"/>
    <w:hidden/>
    <w:uiPriority w:val="99"/>
    <w:semiHidden/>
    <w:rsid w:val="005A70CB"/>
    <w:pPr>
      <w:spacing w:after="0" w:line="240" w:lineRule="auto"/>
    </w:pPr>
  </w:style>
  <w:style w:type="character" w:styleId="BesuchterLink">
    <w:name w:val="FollowedHyperlink"/>
    <w:basedOn w:val="Absatz-Standardschriftart"/>
    <w:uiPriority w:val="99"/>
    <w:semiHidden/>
    <w:unhideWhenUsed/>
    <w:rsid w:val="002F7294"/>
    <w:rPr>
      <w:color w:val="954F72" w:themeColor="followedHyperlink"/>
      <w:u w:val="single"/>
    </w:rPr>
  </w:style>
  <w:style w:type="paragraph" w:styleId="Kopfzeile">
    <w:name w:val="header"/>
    <w:basedOn w:val="Standard"/>
    <w:link w:val="KopfzeileZchn"/>
    <w:uiPriority w:val="99"/>
    <w:unhideWhenUsed/>
    <w:rsid w:val="00F900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00C7"/>
  </w:style>
  <w:style w:type="paragraph" w:styleId="Fuzeile">
    <w:name w:val="footer"/>
    <w:basedOn w:val="Standard"/>
    <w:link w:val="FuzeileZchn"/>
    <w:uiPriority w:val="99"/>
    <w:unhideWhenUsed/>
    <w:rsid w:val="00F900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00C7"/>
  </w:style>
  <w:style w:type="paragraph" w:styleId="Textkrper">
    <w:name w:val="Body Text"/>
    <w:basedOn w:val="Standard"/>
    <w:link w:val="TextkrperZchn"/>
    <w:uiPriority w:val="99"/>
    <w:unhideWhenUsed/>
    <w:rsid w:val="00F900C7"/>
    <w:pPr>
      <w:spacing w:after="120" w:line="269" w:lineRule="auto"/>
    </w:pPr>
    <w:rPr>
      <w:rFonts w:ascii="Arial" w:eastAsiaTheme="minorEastAsia" w:hAnsi="Arial"/>
      <w:kern w:val="0"/>
      <w:sz w:val="21"/>
      <w:szCs w:val="22"/>
      <w:lang w:val="en-US"/>
      <w14:ligatures w14:val="none"/>
    </w:rPr>
  </w:style>
  <w:style w:type="character" w:customStyle="1" w:styleId="TextkrperZchn">
    <w:name w:val="Textkörper Zchn"/>
    <w:basedOn w:val="Absatz-Standardschriftart"/>
    <w:link w:val="Textkrper"/>
    <w:uiPriority w:val="99"/>
    <w:rsid w:val="00F900C7"/>
    <w:rPr>
      <w:rFonts w:ascii="Arial" w:eastAsiaTheme="minorEastAsia" w:hAnsi="Arial"/>
      <w:kern w:val="0"/>
      <w:sz w:val="21"/>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ture.com/articles/s41591-025-03955-6"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urnals.plos.org/plosmedicine/article?id=10.1371%2Fjournal.pmed.1004767" TargetMode="External"/><Relationship Id="rId17" Type="http://schemas.openxmlformats.org/officeDocument/2006/relationships/hyperlink" Target="mailto:nina.gruenewald@agr-ev.de" TargetMode="External"/><Relationship Id="rId2" Type="http://schemas.openxmlformats.org/officeDocument/2006/relationships/customXml" Target="../customXml/item2.xml"/><Relationship Id="rId16" Type="http://schemas.openxmlformats.org/officeDocument/2006/relationships/hyperlink" Target="https://www.who.int/news/item/07-12-2023-who-releases-guidelines-on-chronic-low-back-pa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gr-ev.de/rueckenuebungen" TargetMode="External"/><Relationship Id="rId5" Type="http://schemas.openxmlformats.org/officeDocument/2006/relationships/styles" Target="styles.xml"/><Relationship Id="rId15" Type="http://schemas.openxmlformats.org/officeDocument/2006/relationships/hyperlink" Target="https://www.who.int/health-topics/physical-activity"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helancet.com/journals/lancet/article/PIIS0140-6736(24)01296-0/abstr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51c6ea-3f04-4ceb-8cbd-8a567111f683" xsi:nil="true"/>
    <lcf76f155ced4ddcb4097134ff3c332f xmlns="3627855e-ef5a-4804-836b-b2b5710c37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56B97504818F245B2D66207F4B84E44" ma:contentTypeVersion="14" ma:contentTypeDescription="Ein neues Dokument erstellen." ma:contentTypeScope="" ma:versionID="60f64a4e2dbd65a891056f4344df8372">
  <xsd:schema xmlns:xsd="http://www.w3.org/2001/XMLSchema" xmlns:xs="http://www.w3.org/2001/XMLSchema" xmlns:p="http://schemas.microsoft.com/office/2006/metadata/properties" xmlns:ns2="3627855e-ef5a-4804-836b-b2b5710c3719" xmlns:ns3="7351c6ea-3f04-4ceb-8cbd-8a567111f683" targetNamespace="http://schemas.microsoft.com/office/2006/metadata/properties" ma:root="true" ma:fieldsID="5783f113706afd2f832d99dc9e796567" ns2:_="" ns3:_="">
    <xsd:import namespace="3627855e-ef5a-4804-836b-b2b5710c3719"/>
    <xsd:import namespace="7351c6ea-3f04-4ceb-8cbd-8a567111f6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7855e-ef5a-4804-836b-b2b5710c3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263ca62-8539-4867-a95b-ffe961156e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1c6ea-3f04-4ceb-8cbd-8a567111f6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71b68-d4e2-408e-8772-b902293db10f}" ma:internalName="TaxCatchAll" ma:showField="CatchAllData" ma:web="7351c6ea-3f04-4ceb-8cbd-8a567111f6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EF254-598E-4867-AFFE-12649B617CB2}">
  <ds:schemaRefs>
    <ds:schemaRef ds:uri="http://schemas.microsoft.com/office/2006/metadata/properties"/>
    <ds:schemaRef ds:uri="http://schemas.microsoft.com/office/infopath/2007/PartnerControls"/>
    <ds:schemaRef ds:uri="7351c6ea-3f04-4ceb-8cbd-8a567111f683"/>
    <ds:schemaRef ds:uri="3627855e-ef5a-4804-836b-b2b5710c3719"/>
  </ds:schemaRefs>
</ds:datastoreItem>
</file>

<file path=customXml/itemProps2.xml><?xml version="1.0" encoding="utf-8"?>
<ds:datastoreItem xmlns:ds="http://schemas.openxmlformats.org/officeDocument/2006/customXml" ds:itemID="{2B44A7BF-C38F-4C5E-A877-4A576D255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7855e-ef5a-4804-836b-b2b5710c3719"/>
    <ds:schemaRef ds:uri="7351c6ea-3f04-4ceb-8cbd-8a567111f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7D159-6C5D-40B9-A9EC-37BF3C3AD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6585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Gruenewald, Nina</dc:creator>
  <cp:keywords/>
  <dc:description/>
  <cp:lastModifiedBy>Gruenewald, Nina</cp:lastModifiedBy>
  <cp:revision>3</cp:revision>
  <dcterms:created xsi:type="dcterms:W3CDTF">2026-08-20T06:51:00Z</dcterms:created>
  <dcterms:modified xsi:type="dcterms:W3CDTF">2026-08-20T06:53:00Z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0x010100756B97504818F245B2D66207F4B84E44</vt:lpwstr>
  </property>
</Properties>
</file>