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C285D0" w14:textId="05549863" w:rsidR="00A22EA9" w:rsidRDefault="0021734D" w:rsidP="00A22EA9">
      <w:pPr>
        <w:ind w:right="27"/>
        <w:rPr>
          <w:rFonts w:ascii="Arial" w:hAnsi="Arial" w:cs="Arial"/>
          <w:b/>
          <w:bCs/>
        </w:rPr>
      </w:pPr>
      <w:r w:rsidRPr="0021734D">
        <w:rPr>
          <w:rFonts w:ascii="Arial" w:hAnsi="Arial" w:cs="Arial"/>
          <w:b/>
          <w:bCs/>
        </w:rPr>
        <w:t>Duravit beim Porsche Tennis Grand Prix 2026</w:t>
      </w:r>
    </w:p>
    <w:p w14:paraId="1423B43A" w14:textId="77777777" w:rsidR="0021734D" w:rsidRPr="00D301EB" w:rsidRDefault="0021734D" w:rsidP="00A22EA9">
      <w:pPr>
        <w:ind w:right="27"/>
        <w:rPr>
          <w:rFonts w:ascii="Arial" w:hAnsi="Arial" w:cs="Arial"/>
          <w:b/>
          <w:bCs/>
        </w:rPr>
      </w:pPr>
    </w:p>
    <w:p w14:paraId="0EFF8E9B" w14:textId="313BE361" w:rsidR="00C5375C" w:rsidRDefault="0021734D" w:rsidP="0021734D">
      <w:pPr>
        <w:ind w:right="27"/>
        <w:rPr>
          <w:rFonts w:ascii="Arial" w:hAnsi="Arial" w:cs="Arial"/>
          <w:b/>
          <w:bCs/>
        </w:rPr>
      </w:pPr>
      <w:r w:rsidRPr="0021734D">
        <w:rPr>
          <w:rFonts w:ascii="Arial" w:hAnsi="Arial" w:cs="Arial"/>
          <w:b/>
          <w:bCs/>
        </w:rPr>
        <w:t>Als offizieller Hauptpartner verbindet</w:t>
      </w:r>
      <w:r>
        <w:rPr>
          <w:rFonts w:ascii="Arial" w:hAnsi="Arial" w:cs="Arial"/>
          <w:b/>
          <w:bCs/>
        </w:rPr>
        <w:t xml:space="preserve"> der Designbadanbieter</w:t>
      </w:r>
      <w:r w:rsidRPr="0021734D">
        <w:rPr>
          <w:rFonts w:ascii="Arial" w:hAnsi="Arial" w:cs="Arial"/>
          <w:b/>
          <w:bCs/>
        </w:rPr>
        <w:t xml:space="preserve"> Markenauftritt, Aktivierung und Positionierung im Premiumumfeld.</w:t>
      </w:r>
    </w:p>
    <w:p w14:paraId="36D234A4" w14:textId="77777777" w:rsidR="0021734D" w:rsidRPr="00D301EB" w:rsidRDefault="0021734D" w:rsidP="0021734D">
      <w:pPr>
        <w:ind w:right="27"/>
        <w:rPr>
          <w:rFonts w:ascii="Arial" w:hAnsi="Arial" w:cs="Arial"/>
          <w:b/>
          <w:bCs/>
        </w:rPr>
      </w:pPr>
    </w:p>
    <w:p w14:paraId="67DDB150" w14:textId="77777777" w:rsidR="005D01D7" w:rsidRDefault="005D01D7" w:rsidP="0080179F">
      <w:pPr>
        <w:pStyle w:val="Listenabsatz"/>
        <w:numPr>
          <w:ilvl w:val="0"/>
          <w:numId w:val="6"/>
        </w:numPr>
        <w:ind w:right="27"/>
        <w:rPr>
          <w:rFonts w:ascii="Arial" w:hAnsi="Arial" w:cs="Arial"/>
          <w:b/>
          <w:bCs/>
        </w:rPr>
      </w:pPr>
      <w:r w:rsidRPr="005D01D7">
        <w:rPr>
          <w:rFonts w:ascii="Arial" w:hAnsi="Arial" w:cs="Arial"/>
          <w:b/>
          <w:bCs/>
        </w:rPr>
        <w:t>Präsenz als Hauptpartner im international sichtbaren Spitzensport</w:t>
      </w:r>
    </w:p>
    <w:p w14:paraId="67B95AAD" w14:textId="7BF101C4" w:rsidR="0080179F" w:rsidRDefault="0080179F" w:rsidP="0080179F">
      <w:pPr>
        <w:pStyle w:val="Listenabsatz"/>
        <w:numPr>
          <w:ilvl w:val="0"/>
          <w:numId w:val="6"/>
        </w:numPr>
        <w:ind w:right="27"/>
        <w:rPr>
          <w:rFonts w:ascii="Arial" w:hAnsi="Arial" w:cs="Arial"/>
          <w:b/>
          <w:bCs/>
        </w:rPr>
      </w:pPr>
      <w:r w:rsidRPr="0080179F">
        <w:rPr>
          <w:rFonts w:ascii="Arial" w:hAnsi="Arial" w:cs="Arial"/>
          <w:b/>
          <w:bCs/>
        </w:rPr>
        <w:t xml:space="preserve">Aktivierung vor Ort durch Markenfläche im Porsche Village, interaktive Formate und </w:t>
      </w:r>
      <w:r>
        <w:rPr>
          <w:rFonts w:ascii="Arial" w:hAnsi="Arial" w:cs="Arial"/>
          <w:b/>
          <w:bCs/>
        </w:rPr>
        <w:t xml:space="preserve">attraktivem </w:t>
      </w:r>
      <w:r w:rsidRPr="0080179F">
        <w:rPr>
          <w:rFonts w:ascii="Arial" w:hAnsi="Arial" w:cs="Arial"/>
          <w:b/>
          <w:bCs/>
        </w:rPr>
        <w:t>Gewinnspiel</w:t>
      </w:r>
    </w:p>
    <w:p w14:paraId="307CC760" w14:textId="5E8D2460" w:rsidR="00C5375C" w:rsidRDefault="0080179F" w:rsidP="0080179F">
      <w:pPr>
        <w:pStyle w:val="Listenabsatz"/>
        <w:numPr>
          <w:ilvl w:val="0"/>
          <w:numId w:val="6"/>
        </w:numPr>
        <w:ind w:right="27"/>
        <w:rPr>
          <w:rFonts w:ascii="Arial" w:hAnsi="Arial" w:cs="Arial"/>
          <w:b/>
          <w:bCs/>
        </w:rPr>
      </w:pPr>
      <w:r w:rsidRPr="0080179F">
        <w:rPr>
          <w:rFonts w:ascii="Arial" w:hAnsi="Arial" w:cs="Arial"/>
          <w:b/>
          <w:bCs/>
        </w:rPr>
        <w:t>VIP-Programm mit Einblicken in Marke und Produktion über das Turnier hinaus</w:t>
      </w:r>
    </w:p>
    <w:p w14:paraId="2D0A0B04" w14:textId="77777777" w:rsidR="0080179F" w:rsidRPr="0080179F" w:rsidRDefault="0080179F" w:rsidP="0080179F">
      <w:pPr>
        <w:pStyle w:val="Listenabsatz"/>
        <w:ind w:left="720" w:right="27"/>
        <w:rPr>
          <w:rFonts w:ascii="Arial" w:hAnsi="Arial" w:cs="Arial"/>
          <w:b/>
          <w:bCs/>
        </w:rPr>
      </w:pPr>
    </w:p>
    <w:p w14:paraId="00BD9681" w14:textId="7A537759" w:rsidR="0021734D" w:rsidRDefault="00D02A36" w:rsidP="00C5375C">
      <w:pPr>
        <w:rPr>
          <w:rFonts w:ascii="Arial" w:hAnsi="Arial" w:cs="Arial"/>
        </w:rPr>
      </w:pPr>
      <w:bookmarkStart w:id="0" w:name="_Hlk151029131"/>
      <w:r w:rsidRPr="00D02A36">
        <w:rPr>
          <w:rFonts w:ascii="Arial" w:hAnsi="Arial" w:cs="Arial"/>
        </w:rPr>
        <w:t xml:space="preserve">Mit dem einmal mehr äußert stark besetzten Teilnehmerinnenfeld rückt der Porsche Tennis Grand Prix auch in diesem Jahr in den Fokus der internationalen Tennisöffentlichkeit. </w:t>
      </w:r>
      <w:r w:rsidR="00B16738" w:rsidRPr="00B16738">
        <w:rPr>
          <w:rFonts w:ascii="Arial" w:hAnsi="Arial" w:cs="Arial"/>
        </w:rPr>
        <w:t xml:space="preserve">Entsprechend groß ist die sportliche und mediale Aufmerksamkeit. Duravit ist als offizieller Hauptpartner vor Ort </w:t>
      </w:r>
      <w:r w:rsidR="005D01D7">
        <w:rPr>
          <w:rFonts w:ascii="Arial" w:hAnsi="Arial" w:cs="Arial"/>
        </w:rPr>
        <w:t>vertreten</w:t>
      </w:r>
      <w:r w:rsidR="00B16738" w:rsidRPr="00B16738">
        <w:rPr>
          <w:rFonts w:ascii="Arial" w:hAnsi="Arial" w:cs="Arial"/>
        </w:rPr>
        <w:t xml:space="preserve"> und </w:t>
      </w:r>
      <w:r w:rsidR="005D01D7">
        <w:rPr>
          <w:rFonts w:ascii="Arial" w:hAnsi="Arial" w:cs="Arial"/>
        </w:rPr>
        <w:t>stärkt</w:t>
      </w:r>
      <w:r w:rsidR="00B16738" w:rsidRPr="00B16738">
        <w:rPr>
          <w:rFonts w:ascii="Arial" w:hAnsi="Arial" w:cs="Arial"/>
        </w:rPr>
        <w:t xml:space="preserve"> seine Markenpräsenz im Umfeld des Spitzensports.</w:t>
      </w:r>
    </w:p>
    <w:p w14:paraId="5C217649" w14:textId="77777777" w:rsidR="00B16738" w:rsidRDefault="00B16738" w:rsidP="00C5375C">
      <w:pPr>
        <w:rPr>
          <w:rFonts w:ascii="Arial" w:hAnsi="Arial" w:cs="Arial"/>
        </w:rPr>
      </w:pPr>
    </w:p>
    <w:p w14:paraId="797007C1" w14:textId="61143B41" w:rsidR="0021734D" w:rsidRPr="00A22EA9" w:rsidRDefault="0021734D" w:rsidP="0021734D">
      <w:pPr>
        <w:numPr>
          <w:ilvl w:val="0"/>
          <w:numId w:val="1"/>
        </w:numPr>
        <w:tabs>
          <w:tab w:val="clear" w:pos="432"/>
        </w:tabs>
        <w:rPr>
          <w:rFonts w:ascii="Arial" w:hAnsi="Arial" w:cs="Arial"/>
          <w:b/>
          <w:bCs/>
        </w:rPr>
      </w:pPr>
      <w:r>
        <w:rPr>
          <w:rFonts w:ascii="Arial" w:hAnsi="Arial" w:cs="Arial"/>
          <w:b/>
          <w:bCs/>
        </w:rPr>
        <w:t>Plattform für Reichw</w:t>
      </w:r>
      <w:r w:rsidR="005D01D7">
        <w:rPr>
          <w:rFonts w:ascii="Arial" w:hAnsi="Arial" w:cs="Arial"/>
          <w:b/>
          <w:bCs/>
        </w:rPr>
        <w:t>ei</w:t>
      </w:r>
      <w:r>
        <w:rPr>
          <w:rFonts w:ascii="Arial" w:hAnsi="Arial" w:cs="Arial"/>
          <w:b/>
          <w:bCs/>
        </w:rPr>
        <w:t>te und Positionierung</w:t>
      </w:r>
    </w:p>
    <w:p w14:paraId="61F4FD60" w14:textId="77777777" w:rsidR="008018C8" w:rsidRDefault="008018C8" w:rsidP="00B16738">
      <w:pPr>
        <w:rPr>
          <w:rFonts w:ascii="Arial" w:hAnsi="Arial" w:cs="Arial"/>
        </w:rPr>
      </w:pPr>
      <w:r w:rsidRPr="008018C8">
        <w:rPr>
          <w:rFonts w:ascii="Arial" w:hAnsi="Arial" w:cs="Arial"/>
        </w:rPr>
        <w:t>Die hohe sportliche Qualität des Turniers und die damit verbundene mediale Aufmerksamkeit machen den Porsche Tennis Grand Prix zu einer relevanten Plattform für Premiummarken. Ein prägender Bestandteil ist der Porsche-Sportwagen für die Siegerin, der jährlich zusätzliche Strahlkraft erzeugt und den Charakter des Events unterstreicht.</w:t>
      </w:r>
    </w:p>
    <w:p w14:paraId="4161AE94" w14:textId="0C52DD00" w:rsidR="0021734D" w:rsidRDefault="00B16738" w:rsidP="00B16738">
      <w:pPr>
        <w:rPr>
          <w:rFonts w:ascii="Arial" w:hAnsi="Arial" w:cs="Arial"/>
        </w:rPr>
      </w:pPr>
      <w:r w:rsidRPr="00B16738">
        <w:rPr>
          <w:rFonts w:ascii="Arial" w:hAnsi="Arial" w:cs="Arial"/>
        </w:rPr>
        <w:t>Für Duravit ergibt sich daraus ein Umfeld, in dem sich Sichtbarkeit und Markenpositionierung verbinden lassen. Das Unternehmen nutzt die Reichweite des Turniers, um seine Marke in einem sportaffinen Publikum zu verankern und seine Wahrnehmung im Premiumsegment weiter zu schärfen.</w:t>
      </w:r>
    </w:p>
    <w:p w14:paraId="1846CFA3" w14:textId="77777777" w:rsidR="00B16738" w:rsidRPr="00A22EA9" w:rsidRDefault="00B16738" w:rsidP="00B16738">
      <w:pPr>
        <w:rPr>
          <w:rFonts w:ascii="Arial" w:hAnsi="Arial" w:cs="Arial"/>
          <w:b/>
          <w:bCs/>
        </w:rPr>
      </w:pPr>
    </w:p>
    <w:p w14:paraId="60F7B342" w14:textId="0560CE57" w:rsidR="00A22EA9" w:rsidRPr="00A22EA9" w:rsidRDefault="00A22EA9" w:rsidP="00A22EA9">
      <w:pPr>
        <w:numPr>
          <w:ilvl w:val="1"/>
          <w:numId w:val="1"/>
        </w:numPr>
        <w:rPr>
          <w:rFonts w:ascii="Arial" w:hAnsi="Arial" w:cs="Arial"/>
          <w:b/>
          <w:bCs/>
        </w:rPr>
      </w:pPr>
      <w:r w:rsidRPr="00A22EA9">
        <w:rPr>
          <w:rFonts w:ascii="Arial" w:hAnsi="Arial" w:cs="Arial"/>
          <w:b/>
          <w:bCs/>
        </w:rPr>
        <w:t>Premiumerlebnis zur emotionalen Markenbindung</w:t>
      </w:r>
    </w:p>
    <w:p w14:paraId="63F791E9" w14:textId="77777777" w:rsidR="00A666FA" w:rsidRPr="00A666FA" w:rsidRDefault="00A666FA" w:rsidP="00A666FA">
      <w:pPr>
        <w:rPr>
          <w:rFonts w:ascii="Arial" w:hAnsi="Arial" w:cs="Arial"/>
        </w:rPr>
      </w:pPr>
      <w:r w:rsidRPr="00A666FA">
        <w:rPr>
          <w:rFonts w:ascii="Arial" w:hAnsi="Arial" w:cs="Arial"/>
        </w:rPr>
        <w:t>Parallel zum Turnier bietet Duravit ein Programm für internationale Gäste an. Dieses umfasst Sitzplätze am Center Court, Zugang zu Hospitality-Bereichen und ausgewählte Begegnungen mit Spielerinnen.</w:t>
      </w:r>
    </w:p>
    <w:p w14:paraId="28E9A060" w14:textId="431C8C99" w:rsidR="0021734D" w:rsidRDefault="00A666FA" w:rsidP="00A666FA">
      <w:pPr>
        <w:rPr>
          <w:rFonts w:ascii="Arial" w:hAnsi="Arial" w:cs="Arial"/>
        </w:rPr>
      </w:pPr>
      <w:r w:rsidRPr="00A666FA">
        <w:rPr>
          <w:rFonts w:ascii="Arial" w:hAnsi="Arial" w:cs="Arial"/>
        </w:rPr>
        <w:t xml:space="preserve">Ergänzt wird das Angebot durch Besuche im Porsche Museum sowie in der Duravit Factory Hornberg und im Showroom. So wird der Aufenthalt über das Turnier hinaus verlängert und durch Einblicke in die Marke und die Produktion </w:t>
      </w:r>
      <w:r w:rsidR="00F11A6A">
        <w:rPr>
          <w:rFonts w:ascii="Arial" w:hAnsi="Arial" w:cs="Arial"/>
        </w:rPr>
        <w:t>des Designbadherstellers</w:t>
      </w:r>
      <w:r w:rsidR="00D02A36">
        <w:rPr>
          <w:rFonts w:ascii="Arial" w:hAnsi="Arial" w:cs="Arial"/>
        </w:rPr>
        <w:t xml:space="preserve"> </w:t>
      </w:r>
      <w:r w:rsidRPr="00A666FA">
        <w:rPr>
          <w:rFonts w:ascii="Arial" w:hAnsi="Arial" w:cs="Arial"/>
        </w:rPr>
        <w:t>ergänzt.</w:t>
      </w:r>
    </w:p>
    <w:p w14:paraId="15974CC7" w14:textId="77777777" w:rsidR="00A666FA" w:rsidRPr="00A22EA9" w:rsidRDefault="00A666FA" w:rsidP="00A666FA">
      <w:pPr>
        <w:rPr>
          <w:rFonts w:ascii="Arial" w:hAnsi="Arial" w:cs="Arial"/>
          <w:b/>
          <w:bCs/>
        </w:rPr>
      </w:pPr>
    </w:p>
    <w:p w14:paraId="7FE4064E" w14:textId="0DF9469B" w:rsidR="00A22EA9" w:rsidRPr="00A22EA9" w:rsidRDefault="003E2EFB" w:rsidP="00A22EA9">
      <w:pPr>
        <w:numPr>
          <w:ilvl w:val="0"/>
          <w:numId w:val="1"/>
        </w:numPr>
        <w:tabs>
          <w:tab w:val="clear" w:pos="432"/>
        </w:tabs>
        <w:rPr>
          <w:rFonts w:ascii="Arial" w:hAnsi="Arial" w:cs="Arial"/>
          <w:b/>
          <w:bCs/>
        </w:rPr>
      </w:pPr>
      <w:r>
        <w:rPr>
          <w:rFonts w:ascii="Arial" w:hAnsi="Arial" w:cs="Arial"/>
          <w:b/>
          <w:bCs/>
        </w:rPr>
        <w:t>Auftritt</w:t>
      </w:r>
      <w:r w:rsidR="00A22EA9" w:rsidRPr="00A22EA9">
        <w:rPr>
          <w:rFonts w:ascii="Arial" w:hAnsi="Arial" w:cs="Arial"/>
          <w:b/>
          <w:bCs/>
        </w:rPr>
        <w:t xml:space="preserve"> im Porsche Village</w:t>
      </w:r>
    </w:p>
    <w:p w14:paraId="69D2DA44" w14:textId="41BB92A2" w:rsidR="00A22EA9" w:rsidRPr="00A22EA9" w:rsidRDefault="00A22EA9" w:rsidP="00A22EA9">
      <w:pPr>
        <w:rPr>
          <w:rFonts w:ascii="Arial" w:hAnsi="Arial" w:cs="Arial"/>
        </w:rPr>
      </w:pPr>
      <w:r w:rsidRPr="00A22EA9">
        <w:rPr>
          <w:rFonts w:ascii="Arial" w:hAnsi="Arial" w:cs="Arial"/>
        </w:rPr>
        <w:lastRenderedPageBreak/>
        <w:t xml:space="preserve">Im Porsche Village präsentiert sich Duravit mit einer umfassenden Marken- und Produktinszenierung, die Besucherinnen und Besuchern ein klares und zeitgemäßes Markenerlebnis bietet. Die </w:t>
      </w:r>
      <w:r w:rsidR="00A666FA">
        <w:rPr>
          <w:rFonts w:ascii="Arial" w:hAnsi="Arial" w:cs="Arial"/>
        </w:rPr>
        <w:t>E</w:t>
      </w:r>
      <w:r w:rsidRPr="00A22EA9">
        <w:rPr>
          <w:rFonts w:ascii="Arial" w:hAnsi="Arial" w:cs="Arial"/>
        </w:rPr>
        <w:t xml:space="preserve">rlebnisfläche kombiniert eine modern gestaltete Markenwelt und interaktive Elemente. </w:t>
      </w:r>
      <w:r w:rsidR="00A666FA" w:rsidRPr="00A666FA">
        <w:rPr>
          <w:rFonts w:ascii="Arial" w:hAnsi="Arial" w:cs="Arial"/>
        </w:rPr>
        <w:t>Eine Fotobox generiert zusätzliche Social-Media-Reichweite, während ein Gewinnspiel und der Duravit Thementag mit</w:t>
      </w:r>
      <w:r w:rsidR="008018C8">
        <w:rPr>
          <w:rFonts w:ascii="Arial" w:hAnsi="Arial" w:cs="Arial"/>
        </w:rPr>
        <w:t xml:space="preserve"> einer sportlichen</w:t>
      </w:r>
      <w:r w:rsidR="00A666FA" w:rsidRPr="00A666FA">
        <w:rPr>
          <w:rFonts w:ascii="Arial" w:hAnsi="Arial" w:cs="Arial"/>
        </w:rPr>
        <w:t xml:space="preserve"> Challenge für verstärkte Interaktion sorgen.</w:t>
      </w:r>
    </w:p>
    <w:bookmarkEnd w:id="0"/>
    <w:p w14:paraId="5A47EADC" w14:textId="77777777" w:rsidR="00C5375C" w:rsidRPr="00A666FA" w:rsidRDefault="00C5375C" w:rsidP="00C5375C">
      <w:pPr>
        <w:ind w:right="27"/>
        <w:rPr>
          <w:rFonts w:ascii="Arial" w:hAnsi="Arial" w:cs="Arial"/>
          <w:b/>
          <w:bCs/>
        </w:rPr>
      </w:pPr>
    </w:p>
    <w:p w14:paraId="1409F256" w14:textId="77777777" w:rsidR="00C5375C" w:rsidRPr="00A666FA"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5BB2EE05" w:rsidR="00C5375C" w:rsidRPr="00B91551" w:rsidRDefault="00CE50DF" w:rsidP="00C5375C">
      <w:pPr>
        <w:ind w:right="27"/>
        <w:rPr>
          <w:rFonts w:ascii="Arial" w:hAnsi="Arial" w:cs="Arial"/>
          <w:i/>
          <w:iCs/>
        </w:rPr>
      </w:pPr>
      <w:r w:rsidRPr="00B91551">
        <w:rPr>
          <w:rFonts w:ascii="Arial" w:hAnsi="Arial" w:cs="Arial"/>
          <w:i/>
          <w:iCs/>
        </w:rPr>
        <w:t>01_Duravit_x_Porsche_Tennis_Grand_Prix</w:t>
      </w:r>
    </w:p>
    <w:p w14:paraId="57278923" w14:textId="3E9A2893" w:rsidR="00C5375C" w:rsidRPr="00CE50DF" w:rsidRDefault="00CE50DF" w:rsidP="00C5375C">
      <w:pPr>
        <w:ind w:right="27"/>
        <w:rPr>
          <w:rFonts w:ascii="Arial" w:hAnsi="Arial" w:cs="Arial"/>
        </w:rPr>
      </w:pPr>
      <w:r w:rsidRPr="00CE50DF">
        <w:rPr>
          <w:rFonts w:ascii="Arial" w:hAnsi="Arial" w:cs="Arial"/>
        </w:rPr>
        <w:t xml:space="preserve">Duravit ist als offizieller Hauptpartner </w:t>
      </w:r>
      <w:r>
        <w:rPr>
          <w:rFonts w:ascii="Arial" w:hAnsi="Arial" w:cs="Arial"/>
        </w:rPr>
        <w:t>beim Porsche Tennis Grand Prix</w:t>
      </w:r>
      <w:r w:rsidRPr="00CE50DF">
        <w:rPr>
          <w:rFonts w:ascii="Arial" w:hAnsi="Arial" w:cs="Arial"/>
        </w:rPr>
        <w:t xml:space="preserve"> vertreten und stärkt seine Markenpräsenz im Umfeld des Spitzensports. </w:t>
      </w:r>
      <w:r w:rsidR="00C5375C" w:rsidRPr="00CE50DF">
        <w:rPr>
          <w:rFonts w:ascii="Arial" w:hAnsi="Arial" w:cs="Arial"/>
        </w:rPr>
        <w:t>(Bildquelle: Duravit AG)</w:t>
      </w:r>
    </w:p>
    <w:p w14:paraId="22C4E473" w14:textId="77777777" w:rsidR="00C5375C" w:rsidRPr="00CE50DF" w:rsidRDefault="00C5375C" w:rsidP="00C5375C">
      <w:pPr>
        <w:ind w:right="27"/>
        <w:rPr>
          <w:rFonts w:ascii="Arial" w:hAnsi="Arial" w:cs="Arial"/>
        </w:rPr>
      </w:pPr>
    </w:p>
    <w:p w14:paraId="767CD65B" w14:textId="3D8D54D8" w:rsidR="00C5375C" w:rsidRPr="00B91551" w:rsidRDefault="00CE50DF" w:rsidP="00C5375C">
      <w:pPr>
        <w:ind w:right="27"/>
        <w:rPr>
          <w:rFonts w:ascii="Arial" w:hAnsi="Arial" w:cs="Arial"/>
          <w:i/>
          <w:iCs/>
        </w:rPr>
      </w:pPr>
      <w:r w:rsidRPr="00B91551">
        <w:rPr>
          <w:rFonts w:ascii="Arial" w:hAnsi="Arial" w:cs="Arial"/>
          <w:i/>
          <w:iCs/>
        </w:rPr>
        <w:t>02_Duravit_x_Porsche_Tennis_Grand_Prix</w:t>
      </w:r>
    </w:p>
    <w:p w14:paraId="2E38654F" w14:textId="0E954A01" w:rsidR="00C5375C" w:rsidRPr="00CE50DF" w:rsidRDefault="00CE50DF" w:rsidP="00C5375C">
      <w:pPr>
        <w:ind w:right="27"/>
        <w:rPr>
          <w:rFonts w:ascii="Arial" w:hAnsi="Arial" w:cs="Arial"/>
        </w:rPr>
      </w:pPr>
      <w:r w:rsidRPr="00CE50DF">
        <w:rPr>
          <w:rFonts w:ascii="Arial" w:hAnsi="Arial" w:cs="Arial"/>
        </w:rPr>
        <w:t xml:space="preserve">Vom 11.-19. April 2026 findet der Porsche Tennis Grand Prix in Stuttgart statt. </w:t>
      </w:r>
      <w:r w:rsidR="00C5375C" w:rsidRPr="00CE50DF">
        <w:rPr>
          <w:rFonts w:ascii="Arial" w:hAnsi="Arial" w:cs="Arial"/>
        </w:rPr>
        <w:t xml:space="preserve">(Bildquelle: </w:t>
      </w:r>
      <w:r>
        <w:rPr>
          <w:rFonts w:ascii="Arial" w:hAnsi="Arial" w:cs="Arial"/>
        </w:rPr>
        <w:t>Porsche AG</w:t>
      </w:r>
      <w:r w:rsidR="00C5375C" w:rsidRPr="00CE50DF">
        <w:rPr>
          <w:rFonts w:ascii="Arial" w:hAnsi="Arial" w:cs="Arial"/>
        </w:rPr>
        <w:t>)</w:t>
      </w:r>
    </w:p>
    <w:p w14:paraId="4493521A" w14:textId="77777777" w:rsidR="00C5375C" w:rsidRPr="00CE50DF" w:rsidRDefault="00C5375C" w:rsidP="00C5375C">
      <w:pPr>
        <w:ind w:right="27"/>
        <w:rPr>
          <w:rFonts w:ascii="Arial" w:hAnsi="Arial" w:cs="Arial"/>
        </w:rPr>
      </w:pPr>
    </w:p>
    <w:p w14:paraId="62C19772" w14:textId="211268F0" w:rsidR="00C5375C" w:rsidRPr="00B91551" w:rsidRDefault="00CE50DF" w:rsidP="00C5375C">
      <w:pPr>
        <w:ind w:right="27"/>
        <w:rPr>
          <w:rFonts w:ascii="Arial" w:hAnsi="Arial" w:cs="Arial"/>
          <w:i/>
          <w:iCs/>
        </w:rPr>
      </w:pPr>
      <w:r w:rsidRPr="00B91551">
        <w:rPr>
          <w:rFonts w:ascii="Arial" w:hAnsi="Arial" w:cs="Arial"/>
          <w:i/>
          <w:iCs/>
        </w:rPr>
        <w:t>03_Duravit_x_Porsche_Tennis_Grand_Prix</w:t>
      </w:r>
    </w:p>
    <w:p w14:paraId="37DBCEC0" w14:textId="6A02FA9B" w:rsidR="00C5375C" w:rsidRPr="00D301EB" w:rsidRDefault="00D02A36" w:rsidP="00C5375C">
      <w:pPr>
        <w:ind w:right="27"/>
        <w:rPr>
          <w:rFonts w:ascii="Arial" w:hAnsi="Arial" w:cs="Arial"/>
        </w:rPr>
      </w:pPr>
      <w:r w:rsidRPr="00D02A36">
        <w:rPr>
          <w:rFonts w:ascii="Arial" w:hAnsi="Arial" w:cs="Arial"/>
        </w:rPr>
        <w:t xml:space="preserve">Mit dem einmal mehr </w:t>
      </w:r>
      <w:r w:rsidR="00300DFA">
        <w:rPr>
          <w:rFonts w:ascii="Arial" w:hAnsi="Arial" w:cs="Arial"/>
        </w:rPr>
        <w:t>äußerst</w:t>
      </w:r>
      <w:r w:rsidRPr="00D02A36">
        <w:rPr>
          <w:rFonts w:ascii="Arial" w:hAnsi="Arial" w:cs="Arial"/>
        </w:rPr>
        <w:t xml:space="preserve"> stark besetzten Teilnehmerinnenfeld rückt der Porsche Tennis Grand Prix auch in diesem Jahr in den Fokus der internationalen Tennisöffentlichkeit. </w:t>
      </w:r>
      <w:r w:rsidR="00CE50DF" w:rsidRPr="00CE50DF">
        <w:rPr>
          <w:rFonts w:ascii="Arial" w:hAnsi="Arial" w:cs="Arial"/>
        </w:rPr>
        <w:t xml:space="preserve">Entsprechend groß ist die sportliche und mediale Aufmerksamkeit. </w:t>
      </w:r>
      <w:r w:rsidR="00C5375C" w:rsidRPr="00D301EB">
        <w:rPr>
          <w:rFonts w:ascii="Arial" w:hAnsi="Arial" w:cs="Arial"/>
        </w:rPr>
        <w:t xml:space="preserve">(Bildquelle: </w:t>
      </w:r>
      <w:r w:rsidR="00CE50DF">
        <w:rPr>
          <w:rFonts w:ascii="Arial" w:hAnsi="Arial" w:cs="Arial"/>
        </w:rPr>
        <w:t>Porsche AG/</w:t>
      </w:r>
      <w:r w:rsidR="00B91551">
        <w:rPr>
          <w:rFonts w:ascii="Arial" w:hAnsi="Arial" w:cs="Arial"/>
        </w:rPr>
        <w:t>Philipp Reinhard</w:t>
      </w:r>
      <w:r w:rsidR="00C5375C" w:rsidRPr="00D301EB">
        <w:rPr>
          <w:rFonts w:ascii="Arial" w:hAnsi="Arial" w:cs="Arial"/>
        </w:rPr>
        <w:t>)</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2ABAE147" w14:textId="0C67891B" w:rsidR="00615CAB" w:rsidRDefault="00C5375C" w:rsidP="00C5375C">
      <w:pPr>
        <w:spacing w:line="240" w:lineRule="auto"/>
        <w:ind w:right="310"/>
      </w:pPr>
      <w:r w:rsidRPr="005B00D8">
        <w:rPr>
          <w:rFonts w:ascii="Arial" w:hAnsi="Arial" w:cs="Arial"/>
          <w:b/>
          <w:bCs/>
          <w:color w:val="221E1F"/>
          <w:sz w:val="18"/>
          <w:szCs w:val="18"/>
        </w:rPr>
        <w:t xml:space="preserve">Bild- und Textmaterial steht unter dem folgenden Link zum Download bereit: </w:t>
      </w:r>
      <w:hyperlink r:id="rId10" w:history="1">
        <w:r w:rsidR="00EB143E" w:rsidRPr="00EB143E">
          <w:rPr>
            <w:rStyle w:val="Hyperlink"/>
            <w:rFonts w:ascii="Arial" w:hAnsi="Arial" w:cs="Arial"/>
            <w:b/>
            <w:bCs/>
            <w:sz w:val="18"/>
            <w:szCs w:val="18"/>
          </w:rPr>
          <w:t>https://dura-cloud.duravit.de/index.php/s/oxLTQM6D9RQwFt2</w:t>
        </w:r>
      </w:hyperlink>
    </w:p>
    <w:p w14:paraId="4D02AF03" w14:textId="77777777" w:rsidR="00EB143E" w:rsidRDefault="00EB143E" w:rsidP="00C5375C">
      <w:pPr>
        <w:spacing w:line="240" w:lineRule="auto"/>
        <w:ind w:right="310"/>
        <w:rPr>
          <w:rFonts w:ascii="Arial" w:hAnsi="Arial" w:cs="Arial"/>
          <w:b/>
          <w:bCs/>
          <w:color w:val="221E1F"/>
          <w:sz w:val="18"/>
          <w:szCs w:val="18"/>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4F26" w14:textId="77777777" w:rsidR="00B05602" w:rsidRDefault="00B05602">
      <w:pPr>
        <w:spacing w:line="240" w:lineRule="auto"/>
      </w:pPr>
      <w:r>
        <w:separator/>
      </w:r>
    </w:p>
  </w:endnote>
  <w:endnote w:type="continuationSeparator" w:id="0">
    <w:p w14:paraId="41E88BDE" w14:textId="77777777" w:rsidR="00B05602" w:rsidRDefault="00B05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ACD0" w14:textId="77777777" w:rsidR="00B05602" w:rsidRDefault="00B05602">
      <w:pPr>
        <w:spacing w:line="240" w:lineRule="auto"/>
      </w:pPr>
      <w:r>
        <w:separator/>
      </w:r>
    </w:p>
  </w:footnote>
  <w:footnote w:type="continuationSeparator" w:id="0">
    <w:p w14:paraId="7C39E3FB" w14:textId="77777777" w:rsidR="00B05602" w:rsidRDefault="00B05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C3042"/>
    <w:multiLevelType w:val="hybridMultilevel"/>
    <w:tmpl w:val="7D721664"/>
    <w:lvl w:ilvl="0" w:tplc="F868311C">
      <w:numFmt w:val="bullet"/>
      <w:lvlText w:val="•"/>
      <w:lvlJc w:val="left"/>
      <w:pPr>
        <w:ind w:left="1070" w:hanging="71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15D47"/>
    <w:multiLevelType w:val="multilevel"/>
    <w:tmpl w:val="4AF4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92C1B"/>
    <w:multiLevelType w:val="multilevel"/>
    <w:tmpl w:val="9FE2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131DD"/>
    <w:multiLevelType w:val="hybridMultilevel"/>
    <w:tmpl w:val="38DE1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FD75A6"/>
    <w:multiLevelType w:val="multilevel"/>
    <w:tmpl w:val="6AF4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81522"/>
    <w:multiLevelType w:val="multilevel"/>
    <w:tmpl w:val="D47AE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10"/>
  </w:num>
  <w:num w:numId="4" w16cid:durableId="321784565">
    <w:abstractNumId w:val="7"/>
  </w:num>
  <w:num w:numId="5" w16cid:durableId="444736143">
    <w:abstractNumId w:val="11"/>
  </w:num>
  <w:num w:numId="6" w16cid:durableId="891966706">
    <w:abstractNumId w:val="2"/>
  </w:num>
  <w:num w:numId="7" w16cid:durableId="1272661511">
    <w:abstractNumId w:val="6"/>
  </w:num>
  <w:num w:numId="8" w16cid:durableId="1679497814">
    <w:abstractNumId w:val="3"/>
  </w:num>
  <w:num w:numId="9" w16cid:durableId="438260559">
    <w:abstractNumId w:val="9"/>
  </w:num>
  <w:num w:numId="10" w16cid:durableId="1537499046">
    <w:abstractNumId w:val="4"/>
  </w:num>
  <w:num w:numId="11" w16cid:durableId="792283397">
    <w:abstractNumId w:val="8"/>
  </w:num>
  <w:num w:numId="12" w16cid:durableId="1521823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364C"/>
    <w:rsid w:val="000250EF"/>
    <w:rsid w:val="000701EC"/>
    <w:rsid w:val="000A5D7B"/>
    <w:rsid w:val="000B6DE2"/>
    <w:rsid w:val="000E304F"/>
    <w:rsid w:val="001047DB"/>
    <w:rsid w:val="001132CF"/>
    <w:rsid w:val="00120622"/>
    <w:rsid w:val="00124B8D"/>
    <w:rsid w:val="001474B9"/>
    <w:rsid w:val="00154419"/>
    <w:rsid w:val="001775F2"/>
    <w:rsid w:val="00180F70"/>
    <w:rsid w:val="001A521B"/>
    <w:rsid w:val="001A589E"/>
    <w:rsid w:val="001B6B36"/>
    <w:rsid w:val="001C092C"/>
    <w:rsid w:val="001F5209"/>
    <w:rsid w:val="002153F9"/>
    <w:rsid w:val="0021734D"/>
    <w:rsid w:val="0027372E"/>
    <w:rsid w:val="00292B2D"/>
    <w:rsid w:val="002A1AAD"/>
    <w:rsid w:val="002C5BC8"/>
    <w:rsid w:val="002C7A5F"/>
    <w:rsid w:val="002D4E93"/>
    <w:rsid w:val="002E5151"/>
    <w:rsid w:val="002E5D94"/>
    <w:rsid w:val="00300DFA"/>
    <w:rsid w:val="00340F47"/>
    <w:rsid w:val="00381A66"/>
    <w:rsid w:val="00384AFF"/>
    <w:rsid w:val="003A36B9"/>
    <w:rsid w:val="003D34C4"/>
    <w:rsid w:val="003D377F"/>
    <w:rsid w:val="003E2EFB"/>
    <w:rsid w:val="003E3CFF"/>
    <w:rsid w:val="00401A43"/>
    <w:rsid w:val="00412E3E"/>
    <w:rsid w:val="00441284"/>
    <w:rsid w:val="00467FF1"/>
    <w:rsid w:val="00481403"/>
    <w:rsid w:val="0049145C"/>
    <w:rsid w:val="00494726"/>
    <w:rsid w:val="004B5435"/>
    <w:rsid w:val="004D07C5"/>
    <w:rsid w:val="00512E4B"/>
    <w:rsid w:val="00514FCF"/>
    <w:rsid w:val="005223B8"/>
    <w:rsid w:val="00526788"/>
    <w:rsid w:val="005B00D8"/>
    <w:rsid w:val="005B40F1"/>
    <w:rsid w:val="005C7517"/>
    <w:rsid w:val="005D01D7"/>
    <w:rsid w:val="005D6DF3"/>
    <w:rsid w:val="00600D9F"/>
    <w:rsid w:val="006044D6"/>
    <w:rsid w:val="00615CAB"/>
    <w:rsid w:val="00625244"/>
    <w:rsid w:val="006306B6"/>
    <w:rsid w:val="00656A2D"/>
    <w:rsid w:val="00660BDF"/>
    <w:rsid w:val="00665E95"/>
    <w:rsid w:val="00686E09"/>
    <w:rsid w:val="00693958"/>
    <w:rsid w:val="006B02DB"/>
    <w:rsid w:val="006B6974"/>
    <w:rsid w:val="006B7D6A"/>
    <w:rsid w:val="006F479A"/>
    <w:rsid w:val="00750185"/>
    <w:rsid w:val="00752565"/>
    <w:rsid w:val="007806DE"/>
    <w:rsid w:val="00781D63"/>
    <w:rsid w:val="00790BBA"/>
    <w:rsid w:val="007C6A1A"/>
    <w:rsid w:val="007D78C0"/>
    <w:rsid w:val="007F4679"/>
    <w:rsid w:val="0080179F"/>
    <w:rsid w:val="008018C8"/>
    <w:rsid w:val="00855838"/>
    <w:rsid w:val="00880A7B"/>
    <w:rsid w:val="008A0B93"/>
    <w:rsid w:val="008B0059"/>
    <w:rsid w:val="008C4CF4"/>
    <w:rsid w:val="008C57E1"/>
    <w:rsid w:val="008D18AA"/>
    <w:rsid w:val="008E4C73"/>
    <w:rsid w:val="0092192A"/>
    <w:rsid w:val="009548DD"/>
    <w:rsid w:val="00960090"/>
    <w:rsid w:val="009858CA"/>
    <w:rsid w:val="00991EC4"/>
    <w:rsid w:val="009975F3"/>
    <w:rsid w:val="009A2D59"/>
    <w:rsid w:val="00A22EA9"/>
    <w:rsid w:val="00A424F7"/>
    <w:rsid w:val="00A666FA"/>
    <w:rsid w:val="00A70FF8"/>
    <w:rsid w:val="00A805F6"/>
    <w:rsid w:val="00AA0C7C"/>
    <w:rsid w:val="00AB0799"/>
    <w:rsid w:val="00AB26B2"/>
    <w:rsid w:val="00AC397A"/>
    <w:rsid w:val="00AC46DF"/>
    <w:rsid w:val="00AD357D"/>
    <w:rsid w:val="00AE024B"/>
    <w:rsid w:val="00AE515C"/>
    <w:rsid w:val="00AE6818"/>
    <w:rsid w:val="00AF4D78"/>
    <w:rsid w:val="00B05602"/>
    <w:rsid w:val="00B15419"/>
    <w:rsid w:val="00B16738"/>
    <w:rsid w:val="00B36E7B"/>
    <w:rsid w:val="00B47A0C"/>
    <w:rsid w:val="00B72AA7"/>
    <w:rsid w:val="00B81081"/>
    <w:rsid w:val="00B90106"/>
    <w:rsid w:val="00B91551"/>
    <w:rsid w:val="00B9160A"/>
    <w:rsid w:val="00BA6506"/>
    <w:rsid w:val="00BB625C"/>
    <w:rsid w:val="00BE0461"/>
    <w:rsid w:val="00BE6482"/>
    <w:rsid w:val="00BF05A9"/>
    <w:rsid w:val="00BF5406"/>
    <w:rsid w:val="00BF55BC"/>
    <w:rsid w:val="00C15A51"/>
    <w:rsid w:val="00C52D7F"/>
    <w:rsid w:val="00C5375C"/>
    <w:rsid w:val="00C55246"/>
    <w:rsid w:val="00C6121B"/>
    <w:rsid w:val="00C92A74"/>
    <w:rsid w:val="00C934A9"/>
    <w:rsid w:val="00C93525"/>
    <w:rsid w:val="00CA1410"/>
    <w:rsid w:val="00CC3ED2"/>
    <w:rsid w:val="00CE50DF"/>
    <w:rsid w:val="00D02A36"/>
    <w:rsid w:val="00D1384F"/>
    <w:rsid w:val="00D43201"/>
    <w:rsid w:val="00D46DEF"/>
    <w:rsid w:val="00D940E0"/>
    <w:rsid w:val="00DD6E2C"/>
    <w:rsid w:val="00E310CD"/>
    <w:rsid w:val="00E34770"/>
    <w:rsid w:val="00E5178C"/>
    <w:rsid w:val="00E55811"/>
    <w:rsid w:val="00E63105"/>
    <w:rsid w:val="00E81419"/>
    <w:rsid w:val="00EA3AA1"/>
    <w:rsid w:val="00EB143E"/>
    <w:rsid w:val="00EC0D07"/>
    <w:rsid w:val="00EC3D6B"/>
    <w:rsid w:val="00EC6F38"/>
    <w:rsid w:val="00ED0AEB"/>
    <w:rsid w:val="00ED469D"/>
    <w:rsid w:val="00ED5CE4"/>
    <w:rsid w:val="00EE2A25"/>
    <w:rsid w:val="00F11A6A"/>
    <w:rsid w:val="00F274C3"/>
    <w:rsid w:val="00F42861"/>
    <w:rsid w:val="00F83C99"/>
    <w:rsid w:val="00F94A35"/>
    <w:rsid w:val="00FA1F53"/>
    <w:rsid w:val="00FB38EB"/>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oxLTQM6D9RQwFt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3556</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4112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8</cp:revision>
  <cp:lastPrinted>2024-03-19T08:12:00Z</cp:lastPrinted>
  <dcterms:created xsi:type="dcterms:W3CDTF">2026-03-30T16:09:00Z</dcterms:created>
  <dcterms:modified xsi:type="dcterms:W3CDTF">2026-04-08T08:01:00Z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