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07A28F" w14:textId="29AB4945" w:rsidR="008C1F7A" w:rsidRPr="008C1F7A" w:rsidRDefault="002E4CD0" w:rsidP="008C1F7A">
      <w:pPr>
        <w:spacing w:line="360" w:lineRule="auto"/>
        <w:jc w:val="both"/>
        <w:rPr>
          <w:rFonts w:ascii="Plain" w:eastAsia="Calibri" w:hAnsi="Plain" w:cs="Arial"/>
          <w:b/>
          <w:bCs/>
          <w:sz w:val="24"/>
          <w:szCs w:val="24"/>
        </w:rPr>
      </w:pPr>
      <w:r>
        <w:rPr>
          <w:noProof/>
          <w:lang w:eastAsia="de-DE"/>
        </w:rPr>
        <w:drawing>
          <wp:anchor distT="0" distB="0" distL="114300" distR="114300" simplePos="0" relativeHeight="251658240" behindDoc="0" locked="0" layoutInCell="1" allowOverlap="1" wp14:anchorId="0EB2D17F" wp14:editId="2D25F996">
            <wp:simplePos x="0" y="0"/>
            <wp:positionH relativeFrom="column">
              <wp:posOffset>3195955</wp:posOffset>
            </wp:positionH>
            <wp:positionV relativeFrom="paragraph">
              <wp:posOffset>8255</wp:posOffset>
            </wp:positionV>
            <wp:extent cx="2413000" cy="615950"/>
            <wp:effectExtent l="0" t="0" r="6350" b="0"/>
            <wp:wrapSquare wrapText="bothSides"/>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413000" cy="615950"/>
                    </a:xfrm>
                    <a:prstGeom prst="rect">
                      <a:avLst/>
                    </a:prstGeom>
                    <a:noFill/>
                    <a:ln>
                      <a:noFill/>
                    </a:ln>
                  </pic:spPr>
                </pic:pic>
              </a:graphicData>
            </a:graphic>
          </wp:anchor>
        </w:drawing>
      </w:r>
    </w:p>
    <w:p w14:paraId="24F40EE9" w14:textId="285A4239" w:rsidR="008C1F7A" w:rsidRPr="008C1F7A" w:rsidRDefault="008C1F7A" w:rsidP="008C1F7A">
      <w:pPr>
        <w:spacing w:line="360" w:lineRule="auto"/>
        <w:jc w:val="both"/>
        <w:rPr>
          <w:rFonts w:ascii="Plain" w:eastAsia="Calibri" w:hAnsi="Plain" w:cs="Arial"/>
          <w:b/>
          <w:bCs/>
          <w:sz w:val="24"/>
          <w:szCs w:val="24"/>
        </w:rPr>
      </w:pPr>
    </w:p>
    <w:p w14:paraId="450ADB4E" w14:textId="77777777" w:rsidR="002E4CD0" w:rsidRDefault="008C1F7A" w:rsidP="002E4CD0">
      <w:pPr>
        <w:spacing w:line="360" w:lineRule="auto"/>
        <w:jc w:val="both"/>
        <w:rPr>
          <w:rFonts w:ascii="Plain Thin" w:eastAsia="Calibri" w:hAnsi="Plain Thin" w:cs="Arial"/>
          <w:bCs/>
          <w:sz w:val="24"/>
          <w:szCs w:val="24"/>
        </w:rPr>
      </w:pPr>
      <w:r w:rsidRPr="008C1F7A">
        <w:rPr>
          <w:rFonts w:ascii="Plain Thin" w:eastAsia="Calibri" w:hAnsi="Plain Thin" w:cs="Arial"/>
          <w:bCs/>
          <w:sz w:val="24"/>
          <w:szCs w:val="24"/>
        </w:rPr>
        <w:t>PRESSEINFORMATION</w:t>
      </w:r>
    </w:p>
    <w:p w14:paraId="4ABC9C22" w14:textId="1EFC02F9" w:rsidR="002E4CD0" w:rsidRPr="002E4CD0" w:rsidRDefault="002E4CD0" w:rsidP="002E4CD0">
      <w:pPr>
        <w:spacing w:line="360" w:lineRule="auto"/>
        <w:jc w:val="both"/>
        <w:rPr>
          <w:rFonts w:ascii="Plain Thin" w:eastAsia="Calibri" w:hAnsi="Plain Thin" w:cs="Arial"/>
          <w:bCs/>
          <w:sz w:val="24"/>
          <w:szCs w:val="24"/>
        </w:rPr>
      </w:pPr>
      <w:r w:rsidRPr="002E4CD0">
        <w:rPr>
          <w:rFonts w:ascii="Plain Thin" w:eastAsia="Calibri" w:hAnsi="Plain Thin" w:cs="Arial"/>
          <w:b/>
          <w:bCs/>
          <w:sz w:val="40"/>
          <w:szCs w:val="40"/>
        </w:rPr>
        <w:t>Wenn das Schweigen zu Putins Angriffskrieg den Arbeitsplatz kosten kann</w:t>
      </w:r>
    </w:p>
    <w:p w14:paraId="142E5078" w14:textId="77777777" w:rsidR="002E4CD0" w:rsidRPr="002E4CD0" w:rsidRDefault="002E4CD0" w:rsidP="002E4CD0">
      <w:pPr>
        <w:spacing w:line="256" w:lineRule="auto"/>
        <w:rPr>
          <w:rFonts w:ascii="Plain Thin" w:eastAsia="Calibri" w:hAnsi="Plain Thin" w:cs="Arial"/>
          <w:b/>
          <w:bCs/>
          <w:sz w:val="28"/>
          <w:szCs w:val="28"/>
        </w:rPr>
      </w:pPr>
      <w:r w:rsidRPr="002E4CD0">
        <w:rPr>
          <w:rFonts w:ascii="Plain Thin" w:eastAsia="Calibri" w:hAnsi="Plain Thin" w:cs="Arial"/>
          <w:b/>
          <w:bCs/>
          <w:sz w:val="28"/>
          <w:szCs w:val="28"/>
        </w:rPr>
        <w:t>Was uns der Fall Gergijew arbeitsrechtlich sagt</w:t>
      </w:r>
    </w:p>
    <w:p w14:paraId="35A045AB" w14:textId="77777777" w:rsidR="002E4CD0" w:rsidRPr="00A870CA" w:rsidRDefault="002E4CD0" w:rsidP="00A870CA">
      <w:pPr>
        <w:spacing w:line="256" w:lineRule="auto"/>
        <w:rPr>
          <w:rFonts w:ascii="Plain Thin" w:eastAsia="Calibri" w:hAnsi="Plain Thin" w:cs="Arial"/>
          <w:b/>
          <w:bCs/>
          <w:sz w:val="28"/>
          <w:szCs w:val="28"/>
        </w:rPr>
      </w:pPr>
    </w:p>
    <w:p w14:paraId="4158DB90" w14:textId="02303613" w:rsidR="00A870CA" w:rsidRDefault="005768D7" w:rsidP="00A870CA">
      <w:pPr>
        <w:spacing w:line="256" w:lineRule="auto"/>
        <w:rPr>
          <w:rFonts w:ascii="Plain Thin" w:eastAsia="Calibri" w:hAnsi="Plain Thin" w:cs="Arial"/>
          <w:b/>
          <w:bCs/>
          <w:i/>
          <w:iCs/>
        </w:rPr>
      </w:pPr>
      <w:r>
        <w:rPr>
          <w:rFonts w:ascii="Plain Thin" w:eastAsia="Calibri" w:hAnsi="Plain Thin" w:cs="Arial"/>
          <w:b/>
          <w:bCs/>
        </w:rPr>
        <w:t xml:space="preserve">Berlin/Essen. </w:t>
      </w:r>
      <w:r w:rsidR="00C45AB5">
        <w:rPr>
          <w:rFonts w:ascii="Plain Thin" w:eastAsia="Calibri" w:hAnsi="Plain Thin" w:cs="Arial"/>
          <w:b/>
          <w:bCs/>
        </w:rPr>
        <w:t>14</w:t>
      </w:r>
      <w:r>
        <w:rPr>
          <w:rFonts w:ascii="Plain Thin" w:eastAsia="Calibri" w:hAnsi="Plain Thin" w:cs="Arial"/>
          <w:b/>
          <w:bCs/>
        </w:rPr>
        <w:t>.0</w:t>
      </w:r>
      <w:r w:rsidR="002E4CD0">
        <w:rPr>
          <w:rFonts w:ascii="Plain Thin" w:eastAsia="Calibri" w:hAnsi="Plain Thin" w:cs="Arial"/>
          <w:b/>
          <w:bCs/>
        </w:rPr>
        <w:t>3</w:t>
      </w:r>
      <w:r>
        <w:rPr>
          <w:rFonts w:ascii="Plain Thin" w:eastAsia="Calibri" w:hAnsi="Plain Thin" w:cs="Arial"/>
          <w:b/>
          <w:bCs/>
        </w:rPr>
        <w:t xml:space="preserve">.2022. </w:t>
      </w:r>
      <w:r w:rsidR="002E4CD0" w:rsidRPr="002E4CD0">
        <w:rPr>
          <w:rFonts w:ascii="Plain Thin" w:eastAsia="Calibri" w:hAnsi="Plain Thin" w:cs="Arial"/>
          <w:b/>
          <w:bCs/>
        </w:rPr>
        <w:t>Die Stadt München hat den Chefdirigenten</w:t>
      </w:r>
      <w:r w:rsidR="002E4CD0">
        <w:rPr>
          <w:rFonts w:ascii="Plain Thin" w:eastAsia="Calibri" w:hAnsi="Plain Thin" w:cs="Arial"/>
          <w:b/>
          <w:bCs/>
        </w:rPr>
        <w:t xml:space="preserve"> der Münchener Philharmoniker </w:t>
      </w:r>
      <w:r w:rsidR="002E4CD0" w:rsidRPr="002E4CD0">
        <w:rPr>
          <w:rFonts w:ascii="Plain Thin" w:eastAsia="Calibri" w:hAnsi="Plain Thin" w:cs="Arial"/>
          <w:b/>
          <w:bCs/>
        </w:rPr>
        <w:t xml:space="preserve">Dirigent </w:t>
      </w:r>
      <w:r w:rsidR="00857AC5">
        <w:rPr>
          <w:rFonts w:ascii="Plain Thin" w:eastAsia="Calibri" w:hAnsi="Plain Thin" w:cs="Arial"/>
          <w:b/>
          <w:bCs/>
        </w:rPr>
        <w:t>Waleri</w:t>
      </w:r>
      <w:r w:rsidR="002E4CD0" w:rsidRPr="002E4CD0">
        <w:rPr>
          <w:rFonts w:ascii="Plain Thin" w:eastAsia="Calibri" w:hAnsi="Plain Thin" w:cs="Arial"/>
          <w:b/>
          <w:bCs/>
        </w:rPr>
        <w:t xml:space="preserve"> Gergi</w:t>
      </w:r>
      <w:r w:rsidR="004B2094">
        <w:rPr>
          <w:rFonts w:ascii="Plain Thin" w:eastAsia="Calibri" w:hAnsi="Plain Thin" w:cs="Arial"/>
          <w:b/>
          <w:bCs/>
        </w:rPr>
        <w:t>j</w:t>
      </w:r>
      <w:r w:rsidR="002E4CD0" w:rsidRPr="002E4CD0">
        <w:rPr>
          <w:rFonts w:ascii="Plain Thin" w:eastAsia="Calibri" w:hAnsi="Plain Thin" w:cs="Arial"/>
          <w:b/>
          <w:bCs/>
        </w:rPr>
        <w:t>e</w:t>
      </w:r>
      <w:r w:rsidR="004B2094">
        <w:rPr>
          <w:rFonts w:ascii="Plain Thin" w:eastAsia="Calibri" w:hAnsi="Plain Thin" w:cs="Arial"/>
          <w:b/>
          <w:bCs/>
        </w:rPr>
        <w:t>w</w:t>
      </w:r>
      <w:r w:rsidR="002E4CD0" w:rsidRPr="002E4CD0">
        <w:rPr>
          <w:rFonts w:ascii="Plain Thin" w:eastAsia="Calibri" w:hAnsi="Plain Thin" w:cs="Arial"/>
          <w:b/>
          <w:bCs/>
        </w:rPr>
        <w:t xml:space="preserve"> seines Postens enthoben, </w:t>
      </w:r>
      <w:r w:rsidR="002E4CD0">
        <w:rPr>
          <w:rFonts w:ascii="Plain Thin" w:eastAsia="Calibri" w:hAnsi="Plain Thin" w:cs="Arial"/>
          <w:b/>
          <w:bCs/>
        </w:rPr>
        <w:t>nachdem</w:t>
      </w:r>
      <w:r w:rsidR="002E4CD0" w:rsidRPr="002E4CD0">
        <w:rPr>
          <w:rFonts w:ascii="Plain Thin" w:eastAsia="Calibri" w:hAnsi="Plain Thin" w:cs="Arial"/>
          <w:b/>
          <w:bCs/>
        </w:rPr>
        <w:t xml:space="preserve"> dieser</w:t>
      </w:r>
      <w:r w:rsidR="002E4CD0">
        <w:rPr>
          <w:rFonts w:ascii="Plain Thin" w:eastAsia="Calibri" w:hAnsi="Plain Thin" w:cs="Arial"/>
          <w:b/>
          <w:bCs/>
        </w:rPr>
        <w:t>,</w:t>
      </w:r>
      <w:r w:rsidR="002E4CD0" w:rsidRPr="002E4CD0">
        <w:rPr>
          <w:rFonts w:ascii="Plain Thin" w:eastAsia="Calibri" w:hAnsi="Plain Thin" w:cs="Arial"/>
          <w:b/>
          <w:bCs/>
        </w:rPr>
        <w:t xml:space="preserve"> </w:t>
      </w:r>
      <w:r w:rsidR="002E4CD0">
        <w:rPr>
          <w:rFonts w:ascii="Plain Thin" w:eastAsia="Calibri" w:hAnsi="Plain Thin" w:cs="Arial"/>
          <w:b/>
          <w:bCs/>
        </w:rPr>
        <w:t>wegen seiner</w:t>
      </w:r>
      <w:r w:rsidR="002E4CD0" w:rsidRPr="002E4CD0">
        <w:rPr>
          <w:rFonts w:ascii="Plain Thin" w:eastAsia="Calibri" w:hAnsi="Plain Thin" w:cs="Arial"/>
          <w:b/>
          <w:bCs/>
        </w:rPr>
        <w:t xml:space="preserve"> Nähe zum russischen Präsidenten Wladimir Putin</w:t>
      </w:r>
      <w:r w:rsidR="002E4CD0">
        <w:rPr>
          <w:rFonts w:ascii="Plain Thin" w:eastAsia="Calibri" w:hAnsi="Plain Thin" w:cs="Arial"/>
          <w:b/>
          <w:bCs/>
        </w:rPr>
        <w:t xml:space="preserve"> von Oberbürgermeister </w:t>
      </w:r>
      <w:r w:rsidR="002E4CD0" w:rsidRPr="002E4CD0">
        <w:rPr>
          <w:rFonts w:ascii="Plain Thin" w:eastAsia="Calibri" w:hAnsi="Plain Thin" w:cs="Arial"/>
          <w:b/>
          <w:bCs/>
        </w:rPr>
        <w:t>Dieter Reiter (SPD)</w:t>
      </w:r>
      <w:r w:rsidR="004B2094">
        <w:rPr>
          <w:rFonts w:ascii="Plain Thin" w:eastAsia="Calibri" w:hAnsi="Plain Thin" w:cs="Arial"/>
          <w:b/>
          <w:bCs/>
        </w:rPr>
        <w:t xml:space="preserve"> zur Distanzierung vom russischen Angriffskrieg gegen die Ukraine aufgefordert,</w:t>
      </w:r>
      <w:r w:rsidR="002E4CD0" w:rsidRPr="002E4CD0">
        <w:rPr>
          <w:rFonts w:ascii="Plain Thin" w:eastAsia="Calibri" w:hAnsi="Plain Thin" w:cs="Arial"/>
          <w:b/>
          <w:bCs/>
        </w:rPr>
        <w:t xml:space="preserve"> </w:t>
      </w:r>
      <w:r w:rsidR="002E4CD0">
        <w:rPr>
          <w:rFonts w:ascii="Plain Thin" w:eastAsia="Calibri" w:hAnsi="Plain Thin" w:cs="Arial"/>
          <w:b/>
          <w:bCs/>
        </w:rPr>
        <w:t>ein</w:t>
      </w:r>
      <w:r w:rsidR="004B2094">
        <w:rPr>
          <w:rFonts w:ascii="Plain Thin" w:eastAsia="Calibri" w:hAnsi="Plain Thin" w:cs="Arial"/>
          <w:b/>
          <w:bCs/>
        </w:rPr>
        <w:t xml:space="preserve"> Ultimatum für ein entsprechendes Bekenntnis verstreichen ließ. Wie der Fall aus arbeitsrechtlicher Sicht zu bewerten ist, beleuchtet der ETL Arbeitsrechtexperte Dr. Uwe P. Schlegel </w:t>
      </w:r>
      <w:r w:rsidR="007D4DF9">
        <w:rPr>
          <w:rFonts w:ascii="Plain Thin" w:eastAsia="Calibri" w:hAnsi="Plain Thin" w:cs="Arial"/>
          <w:b/>
          <w:bCs/>
        </w:rPr>
        <w:t xml:space="preserve">von den ETL Rechtsanwälten Köln </w:t>
      </w:r>
      <w:r w:rsidR="004B2094">
        <w:rPr>
          <w:rFonts w:ascii="Plain Thin" w:eastAsia="Calibri" w:hAnsi="Plain Thin" w:cs="Arial"/>
          <w:b/>
          <w:bCs/>
        </w:rPr>
        <w:t>in einem aktuellen Kommentar zur Causa Gergijew.</w:t>
      </w:r>
      <w:r w:rsidR="007D4DF9">
        <w:rPr>
          <w:rFonts w:ascii="Plain Thin" w:eastAsia="Calibri" w:hAnsi="Plain Thin" w:cs="Arial"/>
          <w:b/>
          <w:bCs/>
        </w:rPr>
        <w:t xml:space="preserve"> „F</w:t>
      </w:r>
      <w:r w:rsidR="007D4DF9" w:rsidRPr="004B2094">
        <w:rPr>
          <w:rFonts w:ascii="Plain Thin" w:eastAsia="Calibri" w:hAnsi="Plain Thin" w:cs="Arial"/>
          <w:b/>
          <w:bCs/>
        </w:rPr>
        <w:t>ür eine fristlose Kündigung, sind hohe Hürden zu überwinden</w:t>
      </w:r>
      <w:r w:rsidR="007D4DF9">
        <w:rPr>
          <w:rFonts w:ascii="Plain Thin" w:eastAsia="Calibri" w:hAnsi="Plain Thin" w:cs="Arial"/>
          <w:b/>
          <w:bCs/>
        </w:rPr>
        <w:t>“, betont Dr. Schlegel, die im Falle des russischen Star-Dirigenten „schwer zu erkennen“ seien.</w:t>
      </w:r>
    </w:p>
    <w:p w14:paraId="7D289235" w14:textId="77777777" w:rsidR="00A870CA" w:rsidRDefault="00A870CA" w:rsidP="00A870CA">
      <w:pPr>
        <w:spacing w:line="256" w:lineRule="auto"/>
        <w:rPr>
          <w:rFonts w:ascii="Plain Thin" w:eastAsia="Calibri" w:hAnsi="Plain Thin" w:cs="Arial"/>
          <w:b/>
          <w:bCs/>
          <w:i/>
          <w:iCs/>
        </w:rPr>
      </w:pPr>
    </w:p>
    <w:p w14:paraId="405ABFA2" w14:textId="77777777" w:rsidR="004B2094" w:rsidRPr="004B2094" w:rsidRDefault="004B2094" w:rsidP="004B2094">
      <w:pPr>
        <w:spacing w:line="256" w:lineRule="auto"/>
        <w:rPr>
          <w:rFonts w:ascii="Plain Thin" w:eastAsia="Calibri" w:hAnsi="Plain Thin" w:cs="Arial"/>
        </w:rPr>
      </w:pPr>
      <w:bookmarkStart w:id="0" w:name="_GoBack"/>
      <w:r w:rsidRPr="004B2094">
        <w:rPr>
          <w:rFonts w:ascii="Plain Thin" w:eastAsia="Calibri" w:hAnsi="Plain Thin" w:cs="Arial"/>
        </w:rPr>
        <w:t>Was hat der Chefdirigent der Münchner Philharmoniker Gergijew eigentlich falsch gemacht? Beim ersten Nachdenken möchte man meinen, dass er nichts gemacht, nichts gesagt hat und wahrscheinlich genau deshalb durch seinen Arbeitgeber die Kündigung erhalten hat. Ist das denn rechtens?</w:t>
      </w:r>
    </w:p>
    <w:p w14:paraId="74766EB5" w14:textId="77777777" w:rsidR="004B2094" w:rsidRPr="004B2094" w:rsidRDefault="004B2094" w:rsidP="004B2094">
      <w:pPr>
        <w:spacing w:line="256" w:lineRule="auto"/>
        <w:rPr>
          <w:rFonts w:ascii="Plain Thin" w:eastAsia="Calibri" w:hAnsi="Plain Thin" w:cs="Arial"/>
          <w:b/>
          <w:bCs/>
        </w:rPr>
      </w:pPr>
      <w:r w:rsidRPr="004B2094">
        <w:rPr>
          <w:rFonts w:ascii="Plain Thin" w:eastAsia="Calibri" w:hAnsi="Plain Thin" w:cs="Arial"/>
          <w:b/>
          <w:bCs/>
        </w:rPr>
        <w:t>Wer nichts macht, macht auch nichts falsch – oder vielleicht doch?</w:t>
      </w:r>
    </w:p>
    <w:p w14:paraId="7E82132E" w14:textId="0323B183" w:rsidR="004B2094" w:rsidRPr="004B2094" w:rsidRDefault="004B2094" w:rsidP="004B2094">
      <w:pPr>
        <w:spacing w:line="256" w:lineRule="auto"/>
        <w:rPr>
          <w:rFonts w:ascii="Plain Thin" w:eastAsia="Calibri" w:hAnsi="Plain Thin" w:cs="Arial"/>
        </w:rPr>
      </w:pPr>
      <w:r w:rsidRPr="004B2094">
        <w:rPr>
          <w:rFonts w:ascii="Plain Thin" w:eastAsia="Calibri" w:hAnsi="Plain Thin" w:cs="Arial"/>
        </w:rPr>
        <w:t>Üblicherweise kostet es den Arbeitnehmer den Arbeitsplatz, wenn er etwas macht, was er nicht darf. Ständiges Zuspätkommen zum Beispiel. Wenn aber ein Arbeitnehmer einfach nichts macht, nämlich dadurch, dass er zu den aktuellen Ereignissen in der Ukraine schweigt, kann er ja eigentlich nichts falsch gemacht haben – oder etwa doch?</w:t>
      </w:r>
    </w:p>
    <w:p w14:paraId="5F26CE9C" w14:textId="77777777" w:rsidR="004B2094" w:rsidRPr="004B2094" w:rsidRDefault="004B2094" w:rsidP="004B2094">
      <w:pPr>
        <w:spacing w:line="256" w:lineRule="auto"/>
        <w:rPr>
          <w:rFonts w:ascii="Plain Thin" w:eastAsia="Calibri" w:hAnsi="Plain Thin" w:cs="Arial"/>
          <w:b/>
          <w:bCs/>
        </w:rPr>
      </w:pPr>
      <w:r w:rsidRPr="004B2094">
        <w:rPr>
          <w:rFonts w:ascii="Plain Thin" w:eastAsia="Calibri" w:hAnsi="Plain Thin" w:cs="Arial"/>
          <w:b/>
          <w:bCs/>
        </w:rPr>
        <w:t>Manchmal ist ein Schweigen vielleicht doch arbeitsrechtlich relevant</w:t>
      </w:r>
    </w:p>
    <w:p w14:paraId="6ED11D19" w14:textId="51C17D1D" w:rsidR="004B2094" w:rsidRPr="004B2094" w:rsidRDefault="004B2094" w:rsidP="004B2094">
      <w:pPr>
        <w:spacing w:line="256" w:lineRule="auto"/>
        <w:rPr>
          <w:rFonts w:ascii="Plain Thin" w:eastAsia="Calibri" w:hAnsi="Plain Thin" w:cs="Arial"/>
        </w:rPr>
      </w:pPr>
      <w:r w:rsidRPr="004B2094">
        <w:rPr>
          <w:rFonts w:ascii="Plain Thin" w:eastAsia="Calibri" w:hAnsi="Plain Thin" w:cs="Arial"/>
        </w:rPr>
        <w:t xml:space="preserve">Mit dem Fall Gergijew erkunden wir bislang juristisch nicht bekanntes Terrain, wir betreten juristisches Neuland. Nachgedacht werden kann aber natürlich über vieles. Für eine ordentliche, d.h. fristgemäße Kündigung eines Arbeitnehmers nach dem Kündigungsschutzgesetz, erst recht für eine fristlose Kündigung, sind hohe Hürden zu überwinden. Für die ordentliche Kündigung braucht es einen betriebs-, personen- oder </w:t>
      </w:r>
      <w:r w:rsidRPr="004B2094">
        <w:rPr>
          <w:rFonts w:ascii="Plain Thin" w:eastAsia="Calibri" w:hAnsi="Plain Thin" w:cs="Arial"/>
        </w:rPr>
        <w:lastRenderedPageBreak/>
        <w:t>verhaltensbedingten Grund. Die sind im Fall des Herrn Gergijew schwer zu erkennen. Das Orchester braucht ja weiter einen Dirigenten und der Mann kann unverändert dirigieren. Auch dürfte in der unterlassenen Distanzierung von Putin keine Pflichtverletzung zu sehen sein, die eine verhaltensbedingte Kündigung rechtfertigen könnte. Es gibt zwar in gewissem Rahmen eine Loyalitätspflicht dem Arbeitgeber gegenüber. Wenn man daraus aber eine Pflicht ableiten will, dass Herr Gergi</w:t>
      </w:r>
      <w:r w:rsidR="007D4DF9">
        <w:rPr>
          <w:rFonts w:ascii="Plain Thin" w:eastAsia="Calibri" w:hAnsi="Plain Thin" w:cs="Arial"/>
        </w:rPr>
        <w:t>j</w:t>
      </w:r>
      <w:r w:rsidRPr="004B2094">
        <w:rPr>
          <w:rFonts w:ascii="Plain Thin" w:eastAsia="Calibri" w:hAnsi="Plain Thin" w:cs="Arial"/>
        </w:rPr>
        <w:t>e</w:t>
      </w:r>
      <w:r w:rsidR="007D4DF9">
        <w:rPr>
          <w:rFonts w:ascii="Plain Thin" w:eastAsia="Calibri" w:hAnsi="Plain Thin" w:cs="Arial"/>
        </w:rPr>
        <w:t>w</w:t>
      </w:r>
      <w:r w:rsidRPr="004B2094">
        <w:rPr>
          <w:rFonts w:ascii="Plain Thin" w:eastAsia="Calibri" w:hAnsi="Plain Thin" w:cs="Arial"/>
        </w:rPr>
        <w:t xml:space="preserve"> die von ihm verlangte Stellungnahme abgeben muss, bewegt man sich arbeitsrechtlich auf ganz dünnem Eis. Eine betriebsbedingte Druckkündigung ist aus vielleicht die einzig denkbare Konstellation einer fristgemäßen Kündigung des Arbeitsverhältnisses. Und das nur, wenn der vermutlich befristete Arbeitsvertrag mit Herrn Gergi</w:t>
      </w:r>
      <w:r w:rsidR="007D4DF9">
        <w:rPr>
          <w:rFonts w:ascii="Plain Thin" w:eastAsia="Calibri" w:hAnsi="Plain Thin" w:cs="Arial"/>
        </w:rPr>
        <w:t>j</w:t>
      </w:r>
      <w:r w:rsidRPr="004B2094">
        <w:rPr>
          <w:rFonts w:ascii="Plain Thin" w:eastAsia="Calibri" w:hAnsi="Plain Thin" w:cs="Arial"/>
        </w:rPr>
        <w:t>e</w:t>
      </w:r>
      <w:r w:rsidR="007D4DF9">
        <w:rPr>
          <w:rFonts w:ascii="Plain Thin" w:eastAsia="Calibri" w:hAnsi="Plain Thin" w:cs="Arial"/>
        </w:rPr>
        <w:t>w</w:t>
      </w:r>
      <w:r w:rsidRPr="004B2094">
        <w:rPr>
          <w:rFonts w:ascii="Plain Thin" w:eastAsia="Calibri" w:hAnsi="Plain Thin" w:cs="Arial"/>
        </w:rPr>
        <w:t xml:space="preserve"> eine ordentliche Kündigung überhaupt zulässt. Ansonsten müssen sowohl die ordentliche wie auch die außerordentliche und fristlose Kündigung scheitern.</w:t>
      </w:r>
    </w:p>
    <w:p w14:paraId="585B5694" w14:textId="4055BB61" w:rsidR="00A870CA" w:rsidRDefault="00A870CA" w:rsidP="007047FD">
      <w:pPr>
        <w:spacing w:line="256" w:lineRule="auto"/>
        <w:rPr>
          <w:rFonts w:ascii="Plain Thin" w:eastAsia="Calibri" w:hAnsi="Plain Thin" w:cs="Arial"/>
        </w:rPr>
      </w:pPr>
    </w:p>
    <w:p w14:paraId="1B9BC1E1" w14:textId="77777777" w:rsidR="008F501B" w:rsidRDefault="008F501B" w:rsidP="008F501B">
      <w:pPr>
        <w:spacing w:after="100" w:afterAutospacing="1" w:line="264" w:lineRule="auto"/>
        <w:contextualSpacing/>
        <w:jc w:val="both"/>
        <w:rPr>
          <w:rFonts w:ascii="Plain Light" w:hAnsi="Plain Light"/>
          <w:b/>
          <w:bCs/>
          <w:i/>
          <w:iCs/>
        </w:rPr>
      </w:pPr>
      <w:r>
        <w:rPr>
          <w:rFonts w:ascii="Plain Light" w:hAnsi="Plain Light"/>
          <w:b/>
          <w:bCs/>
          <w:i/>
          <w:iCs/>
        </w:rPr>
        <w:t xml:space="preserve">Diese Presseinformation ist frei zitierbar. Interviewwünsche und Rückfragen richten Sie gerne direkt an </w:t>
      </w:r>
      <w:hyperlink r:id="rId5" w:history="1">
        <w:r>
          <w:rPr>
            <w:rStyle w:val="Hyperlink"/>
            <w:rFonts w:ascii="Plain Light" w:hAnsi="Plain Light"/>
            <w:b/>
            <w:bCs/>
            <w:i/>
            <w:iCs/>
          </w:rPr>
          <w:t>ETL Rechtsexperte Dr. Uwe P. Schlegel</w:t>
        </w:r>
      </w:hyperlink>
      <w:r>
        <w:rPr>
          <w:rFonts w:ascii="Plain Light" w:hAnsi="Plain Light"/>
          <w:b/>
          <w:bCs/>
          <w:i/>
          <w:iCs/>
        </w:rPr>
        <w:t xml:space="preserve">; </w:t>
      </w:r>
      <w:hyperlink r:id="rId6" w:history="1">
        <w:r>
          <w:rPr>
            <w:rStyle w:val="Hyperlink"/>
            <w:rFonts w:ascii="Plain Light" w:hAnsi="Plain Light"/>
            <w:b/>
            <w:bCs/>
            <w:i/>
            <w:iCs/>
          </w:rPr>
          <w:t>koeln@etl-rechtsanwaelte.de</w:t>
        </w:r>
      </w:hyperlink>
      <w:r>
        <w:rPr>
          <w:rFonts w:ascii="Plain Light" w:hAnsi="Plain Light"/>
          <w:b/>
          <w:bCs/>
          <w:i/>
          <w:iCs/>
        </w:rPr>
        <w:t>; Tel.: 0221/8804060.</w:t>
      </w:r>
    </w:p>
    <w:p w14:paraId="34024B09" w14:textId="77777777" w:rsidR="008F501B" w:rsidRPr="004F3127" w:rsidRDefault="008F501B" w:rsidP="007047FD">
      <w:pPr>
        <w:spacing w:line="256" w:lineRule="auto"/>
        <w:rPr>
          <w:rFonts w:ascii="Plain Thin" w:eastAsia="Calibri" w:hAnsi="Plain Thin" w:cs="Arial"/>
        </w:rPr>
      </w:pPr>
    </w:p>
    <w:bookmarkEnd w:id="0"/>
    <w:p w14:paraId="317CE8E5" w14:textId="77777777" w:rsidR="00A870CA" w:rsidRDefault="00A870CA" w:rsidP="004F3127">
      <w:pPr>
        <w:jc w:val="both"/>
        <w:rPr>
          <w:rFonts w:ascii="Plain Thin" w:eastAsia="Calibri" w:hAnsi="Plain Thin" w:cs="Arial"/>
          <w:b/>
          <w:bCs/>
        </w:rPr>
      </w:pPr>
    </w:p>
    <w:p w14:paraId="775E929B" w14:textId="77777777" w:rsidR="007D4DF9" w:rsidRPr="007D4DF9" w:rsidRDefault="007D4DF9" w:rsidP="007D4DF9">
      <w:pPr>
        <w:rPr>
          <w:rFonts w:ascii="Plain" w:eastAsia="Calibri" w:hAnsi="Plain" w:cs="Times New Roman"/>
          <w:b/>
        </w:rPr>
      </w:pPr>
      <w:r w:rsidRPr="007D4DF9">
        <w:rPr>
          <w:rFonts w:ascii="Plain" w:eastAsia="Calibri" w:hAnsi="Plain" w:cs="Times New Roman"/>
          <w:b/>
        </w:rPr>
        <w:t>Über die ETL-Gruppe</w:t>
      </w:r>
    </w:p>
    <w:p w14:paraId="022B37A1" w14:textId="77777777" w:rsidR="007D4DF9" w:rsidRPr="007D4DF9" w:rsidRDefault="007D4DF9" w:rsidP="007D4DF9">
      <w:pPr>
        <w:rPr>
          <w:rFonts w:ascii="Plain Thin" w:eastAsia="Calibri" w:hAnsi="Plain Thin" w:cs="Times New Roman"/>
          <w:sz w:val="16"/>
          <w:szCs w:val="16"/>
        </w:rPr>
      </w:pPr>
      <w:r w:rsidRPr="007D4DF9">
        <w:rPr>
          <w:rFonts w:ascii="Plain Thin" w:eastAsia="Calibri" w:hAnsi="Plain Thin" w:cs="Times New Roman"/>
          <w:sz w:val="16"/>
          <w:szCs w:val="16"/>
        </w:rPr>
        <w:t>Die ETL-Gruppe ist in Deutschland mit über 870 Kanzleien vertreten und darüber hinaus in 50 Ländern weltweit mit 250 Kanzleien präsent. ETL ist Marktführer im Bereich Steuerberatung und gehört zu den Top 5 der Wirtschaftsprüfungs- und Steuerberatungsgesellschaften in Deutschland. Die Unternehmensgruppe erwirtschaftet mit ihren Geschäftsbereichen Steuerberatung, Wirtschaftsprüfung, Rechtsberatung, Unternehmensberatung und IT bundesweit einen Gruppenumsatz von über 979 Mio. Euro. Insgesamt betreuen über 10.000 Mitarbeiter – darunter mehr als 1.500 Steuerberater, Rechtsanwälte, Wirtschaftsprüfer und Unternehmensberater – überall in Deutschland mehr als 210.000 Mandanten.</w:t>
      </w:r>
    </w:p>
    <w:p w14:paraId="4DC0839A" w14:textId="77777777" w:rsidR="007D4DF9" w:rsidRPr="004F3127" w:rsidRDefault="007D4DF9" w:rsidP="004F3127">
      <w:pPr>
        <w:rPr>
          <w:rFonts w:ascii="Arial" w:eastAsia="Calibri" w:hAnsi="Arial" w:cs="Arial"/>
          <w:sz w:val="20"/>
          <w:szCs w:val="20"/>
        </w:rPr>
      </w:pPr>
    </w:p>
    <w:p w14:paraId="51025BFD" w14:textId="77777777" w:rsidR="004F3127" w:rsidRPr="004F3127" w:rsidRDefault="004F3127" w:rsidP="004F3127">
      <w:pPr>
        <w:spacing w:before="360" w:after="0" w:line="240" w:lineRule="auto"/>
        <w:contextualSpacing/>
        <w:jc w:val="both"/>
        <w:rPr>
          <w:rFonts w:ascii="Plain Thin" w:eastAsia="Calibri" w:hAnsi="Plain Thin" w:cs="Times New Roman"/>
          <w:b/>
          <w:sz w:val="16"/>
          <w:szCs w:val="16"/>
        </w:rPr>
      </w:pPr>
      <w:r w:rsidRPr="004F3127">
        <w:rPr>
          <w:rFonts w:ascii="Plain Thin" w:eastAsia="Calibri" w:hAnsi="Plain Thin" w:cs="Times New Roman"/>
          <w:b/>
          <w:sz w:val="16"/>
          <w:szCs w:val="16"/>
        </w:rPr>
        <w:t>Pressekontakt</w:t>
      </w:r>
    </w:p>
    <w:p w14:paraId="628FDB37" w14:textId="77777777" w:rsidR="004F3127" w:rsidRPr="004F3127" w:rsidRDefault="004F3127" w:rsidP="004F3127">
      <w:pPr>
        <w:spacing w:after="0" w:line="240" w:lineRule="auto"/>
        <w:contextualSpacing/>
        <w:jc w:val="both"/>
        <w:rPr>
          <w:rFonts w:ascii="Plain Thin" w:eastAsia="Calibri" w:hAnsi="Plain Thin" w:cs="Calibri Light"/>
          <w:sz w:val="16"/>
          <w:szCs w:val="16"/>
        </w:rPr>
      </w:pPr>
      <w:r w:rsidRPr="004F3127">
        <w:rPr>
          <w:rFonts w:ascii="Plain Thin" w:eastAsia="Calibri" w:hAnsi="Plain Thin" w:cs="Calibri Light"/>
          <w:sz w:val="16"/>
          <w:szCs w:val="16"/>
        </w:rPr>
        <w:t>Danyal Alaybeyoglu, Tel.: 030 22 64 02 30, E-Mail: danyal.alaybeyoglu@etl.de, ETL, Mauerstraße 86-88, 10117 Berlin, www.etl.de</w:t>
      </w:r>
    </w:p>
    <w:p w14:paraId="43D9B2CF" w14:textId="77777777" w:rsidR="004F3127" w:rsidRPr="004F3127" w:rsidRDefault="004F3127" w:rsidP="004F3127">
      <w:pPr>
        <w:rPr>
          <w:rFonts w:ascii="Arial" w:eastAsia="Calibri" w:hAnsi="Arial" w:cs="Arial"/>
          <w:sz w:val="20"/>
          <w:szCs w:val="20"/>
        </w:rPr>
      </w:pPr>
    </w:p>
    <w:p w14:paraId="5C37695C" w14:textId="77777777" w:rsidR="00FE6F3E" w:rsidRDefault="00FE6F3E"/>
    <w:sectPr w:rsidR="00FE6F3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lain">
    <w:panose1 w:val="020B0503020202020204"/>
    <w:charset w:val="00"/>
    <w:family w:val="swiss"/>
    <w:notTrueType/>
    <w:pitch w:val="variable"/>
    <w:sig w:usb0="8000002F" w:usb1="00002000" w:usb2="00000000" w:usb3="00000000" w:csb0="00000093" w:csb1="00000000"/>
  </w:font>
  <w:font w:name="Arial">
    <w:panose1 w:val="020B0604020202020204"/>
    <w:charset w:val="00"/>
    <w:family w:val="swiss"/>
    <w:pitch w:val="variable"/>
    <w:sig w:usb0="E0002EFF" w:usb1="C000785B" w:usb2="00000009" w:usb3="00000000" w:csb0="000001FF" w:csb1="00000000"/>
  </w:font>
  <w:font w:name="Plain Thin">
    <w:altName w:val="Calibri"/>
    <w:panose1 w:val="020B0403020202020204"/>
    <w:charset w:val="00"/>
    <w:family w:val="swiss"/>
    <w:notTrueType/>
    <w:pitch w:val="variable"/>
    <w:sig w:usb0="8000002F" w:usb1="00002000" w:usb2="00000000" w:usb3="00000000" w:csb0="00000093" w:csb1="00000000"/>
  </w:font>
  <w:font w:name="Plain Light">
    <w:panose1 w:val="020B0403020202020204"/>
    <w:charset w:val="00"/>
    <w:family w:val="swiss"/>
    <w:notTrueType/>
    <w:pitch w:val="variable"/>
    <w:sig w:usb0="8000002F" w:usb1="00002000"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1F7A"/>
    <w:rsid w:val="002E4CD0"/>
    <w:rsid w:val="004B2094"/>
    <w:rsid w:val="004F3127"/>
    <w:rsid w:val="005768D7"/>
    <w:rsid w:val="006F0AAC"/>
    <w:rsid w:val="007047FD"/>
    <w:rsid w:val="007D4DF9"/>
    <w:rsid w:val="007E7439"/>
    <w:rsid w:val="00830845"/>
    <w:rsid w:val="00857AC5"/>
    <w:rsid w:val="00892EEA"/>
    <w:rsid w:val="008C1F7A"/>
    <w:rsid w:val="008F501B"/>
    <w:rsid w:val="00A870CA"/>
    <w:rsid w:val="00BC1842"/>
    <w:rsid w:val="00BE1BF4"/>
    <w:rsid w:val="00C45AB5"/>
    <w:rsid w:val="00CE1DBC"/>
    <w:rsid w:val="00F83D32"/>
    <w:rsid w:val="00FE6F3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9DA848"/>
  <w15:chartTrackingRefBased/>
  <w15:docId w15:val="{397E069D-9779-471B-BC05-814C56D143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4F3127"/>
    <w:rPr>
      <w:color w:val="0563C1" w:themeColor="hyperlink"/>
      <w:u w:val="single"/>
    </w:rPr>
  </w:style>
  <w:style w:type="character" w:customStyle="1" w:styleId="UnresolvedMention">
    <w:name w:val="Unresolved Mention"/>
    <w:basedOn w:val="Absatz-Standardschriftart"/>
    <w:uiPriority w:val="99"/>
    <w:semiHidden/>
    <w:unhideWhenUsed/>
    <w:rsid w:val="004F3127"/>
    <w:rPr>
      <w:color w:val="605E5C"/>
      <w:shd w:val="clear" w:color="auto" w:fill="E1DFDD"/>
    </w:rPr>
  </w:style>
  <w:style w:type="character" w:styleId="BesuchterLink">
    <w:name w:val="FollowedHyperlink"/>
    <w:basedOn w:val="Absatz-Standardschriftart"/>
    <w:uiPriority w:val="99"/>
    <w:semiHidden/>
    <w:unhideWhenUsed/>
    <w:rsid w:val="00A870C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44535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koeln@etl-rechtsanwaelte.de" TargetMode="External"/><Relationship Id="rId5" Type="http://schemas.openxmlformats.org/officeDocument/2006/relationships/hyperlink" Target="https://www.etl-rechtsanwaelte.de/anwaelte/koeln/uwe-p.-schlegel-AmLmZwN-ZGR0AmH3" TargetMode="External"/><Relationship Id="rId4"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577</Words>
  <Characters>3639</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6</cp:revision>
  <dcterms:created xsi:type="dcterms:W3CDTF">2022-03-09T12:16:00Z</dcterms:created>
  <dcterms:modified xsi:type="dcterms:W3CDTF">2022-03-14T07:45:00Z</dcterms:modified>
</cp:coreProperties>
</file>