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79C5" w14:textId="329FC8FE" w:rsidR="005973C4" w:rsidRPr="005973C4" w:rsidRDefault="00A258E4" w:rsidP="005973C4">
      <w:pPr>
        <w:pStyle w:val="berschrift3"/>
        <w:spacing w:before="240" w:after="160"/>
        <w:ind w:right="-284"/>
        <w:rPr>
          <w:sz w:val="20"/>
          <w:szCs w:val="20"/>
          <w:lang w:val="de-DE"/>
        </w:rPr>
      </w:pPr>
      <w:r w:rsidRPr="00A258E4">
        <w:rPr>
          <w:sz w:val="20"/>
          <w:szCs w:val="20"/>
          <w:lang w:val="de-DE"/>
        </w:rPr>
        <w:t xml:space="preserve">Deceuninck </w:t>
      </w:r>
      <w:r w:rsidR="00981600">
        <w:rPr>
          <w:sz w:val="20"/>
          <w:szCs w:val="20"/>
          <w:lang w:val="de-DE"/>
        </w:rPr>
        <w:t xml:space="preserve">mit </w:t>
      </w:r>
      <w:r w:rsidR="005973C4" w:rsidRPr="005973C4">
        <w:rPr>
          <w:sz w:val="20"/>
          <w:szCs w:val="20"/>
          <w:lang w:val="de-DE"/>
        </w:rPr>
        <w:t>Neue</w:t>
      </w:r>
      <w:r w:rsidR="00981600">
        <w:rPr>
          <w:sz w:val="20"/>
          <w:szCs w:val="20"/>
          <w:lang w:val="de-DE"/>
        </w:rPr>
        <w:t>r</w:t>
      </w:r>
      <w:r w:rsidR="005973C4" w:rsidRPr="005973C4">
        <w:rPr>
          <w:sz w:val="20"/>
          <w:szCs w:val="20"/>
          <w:lang w:val="de-DE"/>
        </w:rPr>
        <w:t xml:space="preserve"> Lösung für </w:t>
      </w:r>
      <w:r w:rsidR="00981600">
        <w:rPr>
          <w:sz w:val="20"/>
          <w:szCs w:val="20"/>
          <w:lang w:val="de-DE"/>
        </w:rPr>
        <w:t>ThermoFibra Türen</w:t>
      </w:r>
    </w:p>
    <w:p w14:paraId="7BB6BED8" w14:textId="367389AB" w:rsidR="005973C4" w:rsidRDefault="005973C4" w:rsidP="004F6946">
      <w:pPr>
        <w:pStyle w:val="berschrift3"/>
        <w:spacing w:before="240" w:after="1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kooperation mit </w:t>
      </w:r>
      <w:r w:rsidR="00455FE2">
        <w:rPr>
          <w:sz w:val="28"/>
          <w:szCs w:val="28"/>
          <w:lang w:val="de-DE"/>
        </w:rPr>
        <w:t>Panel</w:t>
      </w:r>
      <w:r>
        <w:rPr>
          <w:sz w:val="28"/>
          <w:szCs w:val="28"/>
          <w:lang w:val="de-DE"/>
        </w:rPr>
        <w:t xml:space="preserve">Hersteller Frager </w:t>
      </w:r>
    </w:p>
    <w:p w14:paraId="677434D4" w14:textId="57875639" w:rsidR="005973C4" w:rsidRDefault="006063ED" w:rsidP="00405399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b/>
          <w:bCs/>
          <w:sz w:val="20"/>
          <w:szCs w:val="20"/>
        </w:rPr>
      </w:pPr>
      <w:r w:rsidRPr="00EB4B4B">
        <w:rPr>
          <w:rFonts w:ascii="Arial" w:hAnsi="Arial" w:cs="Arial"/>
          <w:b/>
          <w:bCs/>
          <w:sz w:val="20"/>
          <w:szCs w:val="20"/>
        </w:rPr>
        <w:t xml:space="preserve">Bogen, im </w:t>
      </w:r>
      <w:r w:rsidR="005973C4">
        <w:rPr>
          <w:rFonts w:ascii="Arial" w:hAnsi="Arial" w:cs="Arial"/>
          <w:b/>
          <w:bCs/>
          <w:sz w:val="20"/>
          <w:szCs w:val="20"/>
        </w:rPr>
        <w:t>April</w:t>
      </w:r>
      <w:r w:rsidR="00331206" w:rsidRPr="00EB4B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4B4B">
        <w:rPr>
          <w:rFonts w:ascii="Arial" w:hAnsi="Arial" w:cs="Arial"/>
          <w:b/>
          <w:bCs/>
          <w:sz w:val="20"/>
          <w:szCs w:val="20"/>
        </w:rPr>
        <w:t>202</w:t>
      </w:r>
      <w:r w:rsidR="00A258E4">
        <w:rPr>
          <w:rFonts w:ascii="Arial" w:hAnsi="Arial" w:cs="Arial"/>
          <w:b/>
          <w:bCs/>
          <w:sz w:val="20"/>
          <w:szCs w:val="20"/>
        </w:rPr>
        <w:t>6</w:t>
      </w:r>
      <w:r w:rsidRPr="00EB4B4B">
        <w:rPr>
          <w:rFonts w:ascii="Arial" w:hAnsi="Arial" w:cs="Arial"/>
          <w:b/>
          <w:bCs/>
          <w:sz w:val="20"/>
          <w:szCs w:val="20"/>
        </w:rPr>
        <w:t xml:space="preserve"> –</w:t>
      </w:r>
      <w:r w:rsidR="006724A3">
        <w:rPr>
          <w:rFonts w:ascii="Arial" w:hAnsi="Arial" w:cs="Arial"/>
          <w:b/>
          <w:bCs/>
          <w:sz w:val="20"/>
          <w:szCs w:val="20"/>
        </w:rPr>
        <w:t xml:space="preserve"> </w:t>
      </w:r>
      <w:r w:rsidR="005973C4">
        <w:rPr>
          <w:rFonts w:ascii="Arial" w:hAnsi="Arial" w:cs="Arial"/>
          <w:b/>
          <w:bCs/>
          <w:sz w:val="20"/>
          <w:szCs w:val="20"/>
        </w:rPr>
        <w:t xml:space="preserve">Deceuninck </w:t>
      </w:r>
      <w:r w:rsidR="005973C4" w:rsidRPr="005973C4">
        <w:rPr>
          <w:rFonts w:ascii="Arial" w:hAnsi="Arial" w:cs="Arial"/>
          <w:b/>
          <w:bCs/>
          <w:sz w:val="20"/>
          <w:szCs w:val="20"/>
        </w:rPr>
        <w:t xml:space="preserve">bietet in exklusiver Kooperation mit dem belgischen Panelhersteller Frager in Deutschland nun eine Lösung für flügelüberdeckende </w:t>
      </w:r>
      <w:r w:rsidR="00B057BE">
        <w:rPr>
          <w:rFonts w:ascii="Arial" w:hAnsi="Arial" w:cs="Arial"/>
          <w:b/>
          <w:bCs/>
          <w:sz w:val="20"/>
          <w:szCs w:val="20"/>
        </w:rPr>
        <w:t>Füllungen für Haustüren</w:t>
      </w:r>
      <w:r w:rsidR="001A6C5F">
        <w:rPr>
          <w:rFonts w:ascii="Arial" w:hAnsi="Arial" w:cs="Arial"/>
          <w:b/>
          <w:bCs/>
          <w:sz w:val="20"/>
          <w:szCs w:val="20"/>
        </w:rPr>
        <w:t xml:space="preserve"> mit ThermoFibra-Technologie </w:t>
      </w:r>
      <w:r w:rsidR="005973C4" w:rsidRPr="005973C4">
        <w:rPr>
          <w:rFonts w:ascii="Arial" w:hAnsi="Arial" w:cs="Arial"/>
          <w:b/>
          <w:bCs/>
          <w:sz w:val="20"/>
          <w:szCs w:val="20"/>
        </w:rPr>
        <w:t>an.</w:t>
      </w:r>
      <w:r w:rsidR="005973C4">
        <w:rPr>
          <w:rFonts w:ascii="Arial" w:hAnsi="Arial" w:cs="Arial"/>
          <w:b/>
          <w:bCs/>
          <w:sz w:val="20"/>
          <w:szCs w:val="20"/>
        </w:rPr>
        <w:t xml:space="preserve"> Die erstmals auf der Fensterbau Frontale 2026 </w:t>
      </w:r>
      <w:r w:rsidR="00455FE2">
        <w:rPr>
          <w:rFonts w:ascii="Arial" w:hAnsi="Arial" w:cs="Arial"/>
          <w:b/>
          <w:bCs/>
          <w:sz w:val="20"/>
          <w:szCs w:val="20"/>
        </w:rPr>
        <w:t xml:space="preserve">in Deutschland </w:t>
      </w:r>
      <w:r w:rsidR="005973C4">
        <w:rPr>
          <w:rFonts w:ascii="Arial" w:hAnsi="Arial" w:cs="Arial"/>
          <w:b/>
          <w:bCs/>
          <w:sz w:val="20"/>
          <w:szCs w:val="20"/>
        </w:rPr>
        <w:t xml:space="preserve">vorgestellte Innovation </w:t>
      </w:r>
      <w:r w:rsidR="00E16033">
        <w:rPr>
          <w:rFonts w:ascii="Arial" w:hAnsi="Arial" w:cs="Arial"/>
          <w:b/>
          <w:bCs/>
          <w:sz w:val="20"/>
          <w:szCs w:val="20"/>
        </w:rPr>
        <w:t xml:space="preserve">erweitert das Produktportfolio </w:t>
      </w:r>
      <w:r w:rsidR="001A6C5F">
        <w:rPr>
          <w:rFonts w:ascii="Arial" w:hAnsi="Arial" w:cs="Arial"/>
          <w:b/>
          <w:bCs/>
          <w:sz w:val="20"/>
          <w:szCs w:val="20"/>
        </w:rPr>
        <w:t xml:space="preserve">mit </w:t>
      </w:r>
      <w:r w:rsidR="00E16033">
        <w:rPr>
          <w:rFonts w:ascii="Arial" w:hAnsi="Arial" w:cs="Arial"/>
          <w:b/>
          <w:bCs/>
          <w:sz w:val="20"/>
          <w:szCs w:val="20"/>
        </w:rPr>
        <w:t xml:space="preserve">Glasfasertechnologie. </w:t>
      </w:r>
    </w:p>
    <w:p w14:paraId="04B95F3F" w14:textId="1CA530B5" w:rsidR="00B057BE" w:rsidRDefault="00B057BE" w:rsidP="00405399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Patentierte Fixierung mit Magneten</w:t>
      </w:r>
    </w:p>
    <w:p w14:paraId="30B7B7E9" w14:textId="1A01CD29" w:rsidR="00E16033" w:rsidRPr="004F33D3" w:rsidRDefault="00981600" w:rsidP="00405399">
      <w:pPr>
        <w:autoSpaceDE w:val="0"/>
        <w:autoSpaceDN w:val="0"/>
        <w:adjustRightInd w:val="0"/>
        <w:spacing w:after="160" w:line="288" w:lineRule="auto"/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Die exklusive Kooperation mit dem Panelhersteller Frager ermöglicht es Deceuninck, für Deutschland das </w:t>
      </w:r>
      <w:r w:rsidR="00E1603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patentierte </w:t>
      </w:r>
      <w:proofErr w:type="spellStart"/>
      <w:r w:rsidR="00E16033" w:rsidRPr="004F33D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Magnetude</w:t>
      </w:r>
      <w:proofErr w:type="spellEnd"/>
      <w:r w:rsidR="00E16033" w:rsidRPr="004F33D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®-Konzept</w:t>
      </w:r>
      <w:r w:rsidR="00E1603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anzubieten: Dabei </w:t>
      </w:r>
      <w:r w:rsidR="00E1603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wird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die Türfüllung </w:t>
      </w:r>
      <w:r w:rsidR="00E1603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mit Magneten fixiert und so der </w:t>
      </w:r>
      <w:proofErr w:type="spellStart"/>
      <w:r w:rsidR="00E1603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Bimetalleffekt</w:t>
      </w:r>
      <w:proofErr w:type="spellEnd"/>
      <w:r w:rsidR="00E1603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und seine Folgen weitestgehend eliminiert. </w:t>
      </w:r>
    </w:p>
    <w:p w14:paraId="2818CB95" w14:textId="77777777" w:rsidR="00405399" w:rsidRDefault="00E16033" w:rsidP="00405399">
      <w:pPr>
        <w:spacing w:after="160" w:line="288" w:lineRule="auto"/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Fensterhersteller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können </w:t>
      </w: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das flügelüberdeckende Panel direkt bei Frager bestellen.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Der </w:t>
      </w:r>
      <w:r w:rsidRPr="004F33D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Haustürflügel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wird </w:t>
      </w:r>
      <w:r w:rsidRPr="004F33D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serienmäßig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ohne Verkleben des Panels produziert, sodass keine Wartezeiten entstehen. Dieses kann bei Bedarf </w:t>
      </w:r>
      <w:r w:rsidRPr="004F33D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direkt auf der Baustelle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angebracht werden, um Beschädigungen während der Bauphase zu vermeiden.</w:t>
      </w:r>
    </w:p>
    <w:p w14:paraId="6B76B1AF" w14:textId="2FD3B2C6" w:rsidR="00E16033" w:rsidRDefault="00E16033" w:rsidP="00405399">
      <w:pPr>
        <w:spacing w:after="160" w:line="288" w:lineRule="auto"/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er Kooperationspartner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Frager bietet </w:t>
      </w: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eine große Auswahl an Gestaltungsmöglichkeiten in Bezug auf Formen, Oberflächen, Farben und Glasintegrationen an: Die Kollektion umfasst mehr als 500 Modelle, auch maßgeschneiderte Designs sind möglich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und</w:t>
      </w: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ie Farb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auswahl</w:t>
      </w: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pass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Pr="0052272D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zum Deceuninck Farbsortiment</w:t>
      </w:r>
      <w:r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5A24078" w14:textId="7C4AB0E2" w:rsidR="006724A3" w:rsidRPr="00551113" w:rsidRDefault="006724A3" w:rsidP="00405399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b/>
          <w:bCs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551113">
        <w:rPr>
          <w:rFonts w:ascii="Arial" w:hAnsi="Arial" w:cs="Arial"/>
          <w:b/>
          <w:bCs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ThermoFibra Haustüren</w:t>
      </w:r>
    </w:p>
    <w:p w14:paraId="7292B72B" w14:textId="77777777" w:rsidR="00BA12A3" w:rsidRDefault="006724A3" w:rsidP="00405399">
      <w:pPr>
        <w:spacing w:after="160" w:line="288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Der neue Haustürflügel Elegant ThermoFibra Infinity</w:t>
      </w:r>
      <w:r w:rsidR="00455FE2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den Deceuninck auf der Fensterbau Frontale bereits mit der Magnitude</w:t>
      </w:r>
      <w:r w:rsidR="00455FE2" w:rsidRPr="004F33D3">
        <w:rPr>
          <w:rFonts w:ascii="Arial" w:eastAsiaTheme="majorEastAsia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®</w:t>
      </w:r>
      <w:r w:rsidR="00455FE2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-Technologie vorstellte, </w:t>
      </w:r>
      <w:r w:rsidR="00AB3BE7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verfügt mit flächenversetzte</w:t>
      </w:r>
      <w:r w:rsid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="00AB3BE7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Design über eine </w:t>
      </w:r>
      <w:r w:rsidR="00AB3BE7" w:rsidRPr="004B7DF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minimalistische</w:t>
      </w:r>
      <w:r w:rsidR="00AB3BE7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Ästhetik und überzeugt </w:t>
      </w:r>
      <w:r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mit einem </w:t>
      </w:r>
      <w:r w:rsidR="008616A2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sehr geringen</w:t>
      </w:r>
      <w:r w:rsidR="008616A2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Überschlag von nur 7 mm. Flexible </w:t>
      </w:r>
      <w:proofErr w:type="spellStart"/>
      <w:r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Beschlagsmöglichkeiten</w:t>
      </w:r>
      <w:proofErr w:type="spellEnd"/>
      <w:r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für Hybrid-Euro-Nut-Systeme (16 mm oder 24 mm) sowie ein </w:t>
      </w:r>
      <w:proofErr w:type="spellStart"/>
      <w:r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Dornmaß</w:t>
      </w:r>
      <w:proofErr w:type="spellEnd"/>
      <w:r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von 45 bzw. 50 mm sind perfekt auf die Bedürfnisse des deutschen Marktes abgestimmt.</w:t>
      </w:r>
      <w:r w:rsidR="00BF3FE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62F918A" w14:textId="56FFFD3D" w:rsidR="00B057BE" w:rsidRDefault="00BF3FE0" w:rsidP="00405399">
      <w:pPr>
        <w:spacing w:after="160" w:line="288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Elegant ThermoFibra Infinity erreicht Wärmedämmwerte bis zu einem </w:t>
      </w:r>
      <w:proofErr w:type="spellStart"/>
      <w:r w:rsidR="006724A3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="006724A3" w:rsidRPr="00AB3BE7">
        <w:rPr>
          <w:rFonts w:ascii="Arial" w:hAnsi="Arial" w:cs="Arial"/>
          <w:color w:val="6F6F6F"/>
          <w:sz w:val="20"/>
          <w:szCs w:val="20"/>
          <w:vertAlign w:val="subscript"/>
          <w14:textOutline w14:w="0" w14:cap="flat" w14:cmpd="sng" w14:algn="ctr">
            <w14:noFill/>
            <w14:prstDash w14:val="solid"/>
            <w14:bevel/>
          </w14:textOutline>
        </w:rPr>
        <w:t>f</w:t>
      </w:r>
      <w:proofErr w:type="spellEnd"/>
      <w:r w:rsidR="006724A3" w:rsidRPr="00AB3BE7">
        <w:rPr>
          <w:rFonts w:ascii="Arial" w:hAnsi="Arial" w:cs="Arial"/>
          <w:color w:val="6F6F6F"/>
          <w:sz w:val="20"/>
          <w:szCs w:val="20"/>
          <w:vertAlign w:val="subscript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6724A3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Wert von 0,92 W/m</w:t>
      </w:r>
      <w:r w:rsidR="006724A3" w:rsidRPr="009D63AC">
        <w:rPr>
          <w:rFonts w:ascii="Arial" w:hAnsi="Arial" w:cs="Arial"/>
          <w:color w:val="6F6F6F"/>
          <w:sz w:val="20"/>
          <w:szCs w:val="2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6724A3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 bzw. 1,4 W/m</w:t>
      </w:r>
      <w:r w:rsidR="006724A3" w:rsidRPr="009D63AC">
        <w:rPr>
          <w:rFonts w:ascii="Arial" w:hAnsi="Arial" w:cs="Arial"/>
          <w:color w:val="6F6F6F"/>
          <w:sz w:val="20"/>
          <w:szCs w:val="2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6724A3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 zur Schwelle</w:t>
      </w:r>
      <w:r w:rsidR="00AE0EC4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Darüber hinaus </w:t>
      </w:r>
      <w:r w:rsidR="00BA12A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sind Flügelhöhen bis zu 2,50 m und Flügelbreiten bis zu 1,15 m möglich, auch in Farbe, und </w:t>
      </w:r>
      <w:r w:rsidR="006724A3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Türfüllungen </w:t>
      </w:r>
      <w:r w:rsidR="00BA12A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können </w:t>
      </w:r>
      <w:r w:rsidR="006724A3" w:rsidRPr="00AB3BE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mit einer Stärke von bis zu 67 mm problemlos eingesetzt werden.</w:t>
      </w:r>
    </w:p>
    <w:p w14:paraId="176F7335" w14:textId="70FA44E6" w:rsidR="00237130" w:rsidRDefault="00237130" w:rsidP="00237130">
      <w:pPr>
        <w:spacing w:after="160" w:line="288" w:lineRule="auto"/>
        <w:rPr>
          <w:rFonts w:ascii="Arial" w:hAnsi="Arial" w:cs="Arial"/>
          <w:color w:val="6F6F6F"/>
          <w:sz w:val="20"/>
          <w:szCs w:val="20"/>
          <w:highlight w:val="yello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Gerade für Fensterhersteller bietet d</w:t>
      </w:r>
      <w:r w:rsidRPr="00A0585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er Verzicht auf Stahl entscheidende Vorteile: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Neben einer verkürzten Produktionszeit wird auch die Lagerhaltung dank reduzierter Materialvielfalt vereinfacht. Ohne Stahl sind die Flügel mit ThermoFibra bis zu 48 % leichter, so wird das gesamte Handling vereinfacht und auch der Transport effizienter bei gleichzeitig hervorragenden Wärmedämmwerten. </w:t>
      </w:r>
      <w:r>
        <w:rPr>
          <w:rFonts w:ascii="Arial" w:hAnsi="Arial" w:cs="Arial"/>
          <w:color w:val="6F6F6F"/>
          <w:sz w:val="20"/>
          <w:szCs w:val="20"/>
          <w:highlight w:val="yellow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112E211" w14:textId="77777777" w:rsidR="00B057BE" w:rsidRDefault="00B057BE" w:rsidP="00237130">
      <w:pPr>
        <w:spacing w:after="160" w:line="288" w:lineRule="auto"/>
        <w:rPr>
          <w:rFonts w:ascii="Arial" w:hAnsi="Arial" w:cs="Arial"/>
          <w:color w:val="6F6F6F"/>
          <w:sz w:val="20"/>
          <w:szCs w:val="20"/>
          <w:highlight w:val="yellow"/>
          <w14:textOutline w14:w="0" w14:cap="flat" w14:cmpd="sng" w14:algn="ctr">
            <w14:noFill/>
            <w14:prstDash w14:val="solid"/>
            <w14:bevel/>
          </w14:textOutline>
        </w:rPr>
      </w:pPr>
    </w:p>
    <w:p w14:paraId="3A51B507" w14:textId="77777777" w:rsidR="00B057BE" w:rsidRPr="009C6F7B" w:rsidRDefault="00B057BE" w:rsidP="00237130">
      <w:pPr>
        <w:spacing w:after="160" w:line="288" w:lineRule="auto"/>
        <w:rPr>
          <w:rFonts w:ascii="Arial" w:hAnsi="Arial" w:cs="Arial"/>
          <w:color w:val="6F6F6F"/>
          <w:sz w:val="20"/>
          <w:szCs w:val="20"/>
          <w:highlight w:val="yellow"/>
          <w14:textOutline w14:w="0" w14:cap="flat" w14:cmpd="sng" w14:algn="ctr">
            <w14:noFill/>
            <w14:prstDash w14:val="solid"/>
            <w14:bevel/>
          </w14:textOutline>
        </w:rPr>
      </w:pPr>
    </w:p>
    <w:p w14:paraId="40F61FEE" w14:textId="4034C328" w:rsidR="004B53E5" w:rsidRPr="00A560F3" w:rsidRDefault="006063ED" w:rsidP="00331206">
      <w:pPr>
        <w:spacing w:after="0" w:line="240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560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lastRenderedPageBreak/>
        <w:t>Pressekontakt:</w:t>
      </w:r>
    </w:p>
    <w:p w14:paraId="3D33C820" w14:textId="77777777" w:rsidR="004B53E5" w:rsidRPr="00A560F3" w:rsidRDefault="006063ED" w:rsidP="00331206">
      <w:pPr>
        <w:widowControl w:val="0"/>
        <w:spacing w:after="0" w:line="240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560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Sandra Meißner</w:t>
      </w:r>
    </w:p>
    <w:p w14:paraId="0691453A" w14:textId="77777777" w:rsidR="004B53E5" w:rsidRPr="00A560F3" w:rsidRDefault="006063ED" w:rsidP="00331206">
      <w:pPr>
        <w:spacing w:after="0" w:line="240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560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Marketingleitung</w:t>
      </w:r>
    </w:p>
    <w:p w14:paraId="0E196E22" w14:textId="77777777" w:rsidR="004B53E5" w:rsidRPr="00D170AA" w:rsidRDefault="004B53E5">
      <w:pPr>
        <w:spacing w:after="0" w:line="240" w:lineRule="auto"/>
        <w:rPr>
          <w:rFonts w:ascii="Arial" w:hAnsi="Arial" w:cs="Arial"/>
        </w:rPr>
      </w:pPr>
    </w:p>
    <w:tbl>
      <w:tblPr>
        <w:tblStyle w:val="NormaleTabelle1"/>
        <w:tblW w:w="8951" w:type="dxa"/>
        <w:tblInd w:w="-85" w:type="dxa"/>
        <w:tblLook w:val="04A0" w:firstRow="1" w:lastRow="0" w:firstColumn="1" w:lastColumn="0" w:noHBand="0" w:noVBand="1"/>
      </w:tblPr>
      <w:tblGrid>
        <w:gridCol w:w="4560"/>
        <w:gridCol w:w="4391"/>
      </w:tblGrid>
      <w:tr w:rsidR="007918E3" w:rsidRPr="00D170AA" w14:paraId="71D7718B" w14:textId="77777777" w:rsidTr="002934F7">
        <w:trPr>
          <w:trHeight w:val="127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DB65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Deceuninck Germany GmbH</w:t>
            </w:r>
          </w:p>
          <w:p w14:paraId="1B898AA2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Bayerwaldstr. 18</w:t>
            </w:r>
          </w:p>
          <w:p w14:paraId="069833A2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94327 Bogen</w:t>
            </w:r>
          </w:p>
          <w:p w14:paraId="18018BF8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Tel.: 09422-821-105</w:t>
            </w:r>
          </w:p>
          <w:p w14:paraId="0E6372D4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www.deceuninck.de</w:t>
            </w:r>
          </w:p>
          <w:p w14:paraId="1838D84E" w14:textId="77777777" w:rsidR="007918E3" w:rsidRPr="001A6C5F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E-Mail: sandra.meissner@deceuninck.com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7CEDF08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Presseagentur</w:t>
            </w:r>
          </w:p>
          <w:p w14:paraId="364F26A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Sage &amp; Schreibe Public Relations GmbH</w:t>
            </w:r>
          </w:p>
          <w:p w14:paraId="158B7C7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Christoph Jutz</w:t>
            </w:r>
          </w:p>
          <w:p w14:paraId="23337F62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089 / 23 88898 - 10</w:t>
            </w:r>
          </w:p>
          <w:p w14:paraId="09AAA061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39A3B7D3" w14:textId="77777777" w:rsidR="008E0536" w:rsidRDefault="008E0536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</w:p>
    <w:p w14:paraId="03A6B6B9" w14:textId="77777777" w:rsidR="007C1474" w:rsidRDefault="007C14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>
        <w:rPr>
          <w:rFonts w:ascii="Trebuchet MS" w:hAnsi="Trebuchet MS"/>
          <w:color w:val="005CA9"/>
          <w:spacing w:val="16"/>
          <w:sz w:val="24"/>
          <w:szCs w:val="24"/>
          <w:u w:color="005CA9"/>
        </w:rPr>
        <w:br w:type="page"/>
      </w:r>
    </w:p>
    <w:p w14:paraId="58A57ADC" w14:textId="39336497" w:rsidR="004B53E5" w:rsidRDefault="006063ED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 w:rsidRPr="00EB4B4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lastRenderedPageBreak/>
        <w:t>BILD</w:t>
      </w:r>
      <w:r w:rsidR="002F66D7">
        <w:rPr>
          <w:rFonts w:ascii="Trebuchet MS" w:hAnsi="Trebuchet MS"/>
          <w:color w:val="005CA9"/>
          <w:spacing w:val="16"/>
          <w:sz w:val="24"/>
          <w:szCs w:val="24"/>
          <w:u w:color="005CA9"/>
        </w:rPr>
        <w:t>M</w:t>
      </w:r>
      <w:r w:rsidRPr="00EB4B4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t>OTIV</w:t>
      </w:r>
      <w:r w:rsidR="00A82FF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t>E</w:t>
      </w:r>
    </w:p>
    <w:p w14:paraId="478B3823" w14:textId="77777777" w:rsidR="00D17464" w:rsidRPr="00EB4B4B" w:rsidRDefault="00D17464">
      <w:pPr>
        <w:spacing w:after="0" w:line="240" w:lineRule="auto"/>
        <w:rPr>
          <w:rFonts w:ascii="Trebuchet MS" w:eastAsia="Trebuchet MS" w:hAnsi="Trebuchet MS" w:cs="Trebuchet MS"/>
          <w:color w:val="005CA9"/>
          <w:spacing w:val="16"/>
          <w:sz w:val="24"/>
          <w:szCs w:val="24"/>
          <w:u w:color="005CA9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4536"/>
      </w:tblGrid>
      <w:tr w:rsidR="001015A0" w14:paraId="47CE1B43" w14:textId="77777777" w:rsidTr="007B54D9">
        <w:tc>
          <w:tcPr>
            <w:tcW w:w="4302" w:type="dxa"/>
            <w:tcBorders>
              <w:top w:val="nil"/>
              <w:bottom w:val="nil"/>
            </w:tcBorders>
          </w:tcPr>
          <w:p w14:paraId="37FCF344" w14:textId="4D0673A1" w:rsidR="004B7DF0" w:rsidRDefault="004B7DF0" w:rsidP="007B54D9">
            <w:pPr>
              <w:autoSpaceDE w:val="0"/>
              <w:autoSpaceDN w:val="0"/>
              <w:adjustRightInd w:val="0"/>
              <w:spacing w:after="160" w:line="288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Bild </w:t>
            </w:r>
            <w:r w:rsidR="00E8314C"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1E1AB7E2" w14:textId="2CDCC1C7" w:rsidR="00405399" w:rsidRDefault="00405399" w:rsidP="00DD00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F33D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 Kooperation mit dem belgischen 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Panel</w:t>
            </w:r>
            <w:r w:rsidRPr="004F33D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hersteller Frager 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bietet Deceuninck </w:t>
            </w:r>
            <w:r w:rsidR="001A6C5F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eine Lösung für 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flügelüberdeckende Füllungen an, die magnetisch fixiert werden. </w:t>
            </w:r>
          </w:p>
          <w:p w14:paraId="5DD62BFF" w14:textId="7D749DCB" w:rsidR="005973C4" w:rsidRPr="009A4DC4" w:rsidRDefault="005973C4" w:rsidP="00405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47F041F" w14:textId="2E84A98D" w:rsidR="004B7DF0" w:rsidRDefault="001015A0" w:rsidP="00E8314C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5270AD" wp14:editId="4A94CE81">
                  <wp:extent cx="2340000" cy="3119188"/>
                  <wp:effectExtent l="0" t="0" r="3175" b="5080"/>
                  <wp:docPr id="90085396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3119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14C" w14:paraId="08207544" w14:textId="77777777" w:rsidTr="00E8314C">
        <w:trPr>
          <w:trHeight w:val="6516"/>
        </w:trPr>
        <w:tc>
          <w:tcPr>
            <w:tcW w:w="4302" w:type="dxa"/>
            <w:tcBorders>
              <w:top w:val="nil"/>
              <w:bottom w:val="nil"/>
            </w:tcBorders>
          </w:tcPr>
          <w:p w14:paraId="7031D7FF" w14:textId="78922BAF" w:rsidR="00E8314C" w:rsidRPr="009A4DC4" w:rsidRDefault="00E8314C" w:rsidP="00796B54">
            <w:pPr>
              <w:autoSpaceDE w:val="0"/>
              <w:autoSpaceDN w:val="0"/>
              <w:adjustRightInd w:val="0"/>
              <w:spacing w:after="160" w:line="288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4DC4"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Bild </w:t>
            </w:r>
            <w:r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9A4DC4"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  <w:p w14:paraId="43383C1C" w14:textId="07A3A96B" w:rsidR="00405399" w:rsidRPr="00405399" w:rsidRDefault="00E8314C" w:rsidP="00405399">
            <w:pPr>
              <w:spacing w:after="0" w:line="240" w:lineRule="auto"/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  <w:r w:rsidR="00405399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patentierte </w:t>
            </w:r>
            <w:proofErr w:type="spellStart"/>
            <w:r w:rsidR="00405399" w:rsidRPr="004F33D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Magnetude</w:t>
            </w:r>
            <w:proofErr w:type="spellEnd"/>
            <w:r w:rsidR="00405399" w:rsidRPr="004F33D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®-Konzept</w:t>
            </w:r>
            <w:r w:rsidR="00405399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für flügelüberdeckende Füllungen: Dabei wird die Türfüllung mit Magneten fixiert</w:t>
            </w:r>
            <w:r w:rsidR="001A6C5F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560F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A6C5F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Der </w:t>
            </w:r>
            <w:r w:rsidR="001A6C5F" w:rsidRPr="004F33D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Haustürflügel </w:t>
            </w:r>
            <w:r w:rsidR="001A6C5F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wird </w:t>
            </w:r>
            <w:r w:rsidR="001A6C5F" w:rsidRPr="004F33D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serienmäßig </w:t>
            </w:r>
            <w:r w:rsidR="001A6C5F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ohne Verkleben des Panels produziert, sodass keine Wartezeiten entstehen</w:t>
            </w:r>
            <w:r w:rsidR="00A560F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66DC5B" w14:textId="77777777" w:rsidR="00E8314C" w:rsidRDefault="00E8314C" w:rsidP="00E8314C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603F5BE3" wp14:editId="38A7053A">
                  <wp:extent cx="2340000" cy="4065144"/>
                  <wp:effectExtent l="0" t="0" r="3175" b="0"/>
                  <wp:docPr id="51981880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18804" name="Grafik 51981880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406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14C" w14:paraId="35F4956D" w14:textId="77777777" w:rsidTr="00E15646">
        <w:tc>
          <w:tcPr>
            <w:tcW w:w="4302" w:type="dxa"/>
            <w:tcBorders>
              <w:top w:val="nil"/>
              <w:bottom w:val="nil"/>
            </w:tcBorders>
          </w:tcPr>
          <w:p w14:paraId="14CA3401" w14:textId="2435C892" w:rsidR="00E8314C" w:rsidRPr="009A4DC4" w:rsidRDefault="00E8314C" w:rsidP="00E15646">
            <w:pPr>
              <w:autoSpaceDE w:val="0"/>
              <w:autoSpaceDN w:val="0"/>
              <w:adjustRightInd w:val="0"/>
              <w:spacing w:after="160" w:line="288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A4DC4"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Bild </w:t>
            </w:r>
            <w:r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9A4DC4"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  <w:p w14:paraId="2C39D43E" w14:textId="499DCA05" w:rsidR="00E8314C" w:rsidRPr="005A0124" w:rsidRDefault="001A6C5F" w:rsidP="001A6C5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Das Panel kann bei Bedarf </w:t>
            </w:r>
            <w:r w:rsidRPr="004F33D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direkt auf der Baustelle 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angebracht werden, um Beschädigungen während der Bauphase zu vermeiden.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1902C1C" w14:textId="77777777" w:rsidR="00E8314C" w:rsidRDefault="00E8314C" w:rsidP="00E15646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0315578F" wp14:editId="64CCBE12">
                  <wp:extent cx="2412000" cy="2317832"/>
                  <wp:effectExtent l="0" t="0" r="7620" b="6350"/>
                  <wp:docPr id="1800163610" name="Grafik 1" descr="Ein Bild, das Schwarzweiß, Wand, Im Haus, monochrom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163610" name="Grafik 1" descr="Ein Bild, das Schwarzweiß, Wand, Im Haus, monochrom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0" cy="2317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902FD" w14:textId="77777777" w:rsidR="00E8314C" w:rsidRDefault="00E8314C" w:rsidP="00E15646">
            <w:pPr>
              <w:spacing w:after="0" w:line="240" w:lineRule="auto"/>
              <w:jc w:val="right"/>
            </w:pPr>
          </w:p>
        </w:tc>
      </w:tr>
      <w:tr w:rsidR="001015A0" w14:paraId="6A829D82" w14:textId="77777777" w:rsidTr="004B7DF0">
        <w:tc>
          <w:tcPr>
            <w:tcW w:w="4302" w:type="dxa"/>
            <w:tcBorders>
              <w:top w:val="nil"/>
              <w:bottom w:val="nil"/>
            </w:tcBorders>
          </w:tcPr>
          <w:p w14:paraId="46AA87B1" w14:textId="763B63CA" w:rsidR="00D17464" w:rsidRPr="009A4DC4" w:rsidRDefault="00D17464" w:rsidP="009A4DC4">
            <w:pPr>
              <w:autoSpaceDE w:val="0"/>
              <w:autoSpaceDN w:val="0"/>
              <w:adjustRightInd w:val="0"/>
              <w:spacing w:after="160" w:line="288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17464">
              <w:rPr>
                <w:rFonts w:ascii="Arial" w:hAnsi="Arial" w:cs="Arial"/>
                <w:b/>
                <w:bCs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Bildquellen:</w:t>
            </w:r>
            <w:r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D4A5E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Deceuninck Germany Gmb</w:t>
            </w:r>
            <w:r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72466A6" w14:textId="77777777" w:rsidR="00D17464" w:rsidRPr="00304276" w:rsidRDefault="00D17464" w:rsidP="005A0124">
            <w:pPr>
              <w:jc w:val="right"/>
              <w:rPr>
                <w:noProof/>
              </w:rPr>
            </w:pPr>
          </w:p>
        </w:tc>
      </w:tr>
    </w:tbl>
    <w:p w14:paraId="678230FB" w14:textId="77777777" w:rsidR="004B53E5" w:rsidRDefault="006063ED">
      <w:pPr>
        <w:tabs>
          <w:tab w:val="left" w:pos="2670"/>
        </w:tabs>
      </w:pPr>
      <w:r w:rsidRPr="00EB4B4B">
        <w:tab/>
      </w:r>
    </w:p>
    <w:sectPr w:rsidR="004B53E5" w:rsidSect="00331206">
      <w:headerReference w:type="default" r:id="rId13"/>
      <w:footerReference w:type="default" r:id="rId14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5045" w14:textId="77777777" w:rsidR="007810D2" w:rsidRPr="00EB4B4B" w:rsidRDefault="007810D2">
      <w:pPr>
        <w:spacing w:after="0" w:line="240" w:lineRule="auto"/>
      </w:pPr>
      <w:r w:rsidRPr="00EB4B4B">
        <w:separator/>
      </w:r>
    </w:p>
  </w:endnote>
  <w:endnote w:type="continuationSeparator" w:id="0">
    <w:p w14:paraId="2F04BF45" w14:textId="77777777" w:rsidR="007810D2" w:rsidRPr="00EB4B4B" w:rsidRDefault="007810D2">
      <w:pPr>
        <w:spacing w:after="0" w:line="240" w:lineRule="auto"/>
      </w:pPr>
      <w:r w:rsidRPr="00EB4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7E78" w14:textId="77777777" w:rsidR="00A351EC" w:rsidRPr="00EB4B4B" w:rsidRDefault="00A351EC">
    <w:pPr>
      <w:pStyle w:val="Fuzeile"/>
      <w:tabs>
        <w:tab w:val="clear" w:pos="9214"/>
        <w:tab w:val="right" w:pos="8818"/>
      </w:tabs>
      <w:rPr>
        <w:lang w:val="de-DE"/>
      </w:rPr>
    </w:pPr>
    <w:r w:rsidRPr="00EB4B4B">
      <w:rPr>
        <w:lang w:val="de-DE"/>
      </w:rPr>
      <w:t xml:space="preserve">Deceuninck Germany </w:t>
    </w:r>
    <w:proofErr w:type="gramStart"/>
    <w:r w:rsidRPr="00EB4B4B">
      <w:rPr>
        <w:lang w:val="de-DE"/>
      </w:rPr>
      <w:t>GmbH  ▪</w:t>
    </w:r>
    <w:proofErr w:type="gramEnd"/>
    <w:r w:rsidRPr="00EB4B4B">
      <w:rPr>
        <w:lang w:val="de-DE"/>
      </w:rPr>
      <w:t xml:space="preserve">  Bayerwaldstraße </w:t>
    </w:r>
    <w:proofErr w:type="gramStart"/>
    <w:r w:rsidRPr="00EB4B4B">
      <w:rPr>
        <w:lang w:val="de-DE"/>
      </w:rPr>
      <w:t>18  ▪</w:t>
    </w:r>
    <w:proofErr w:type="gramEnd"/>
    <w:r w:rsidRPr="00EB4B4B">
      <w:rPr>
        <w:lang w:val="de-DE"/>
      </w:rPr>
      <w:t xml:space="preserve">  D-94327 Bogen</w:t>
    </w:r>
  </w:p>
  <w:p w14:paraId="29A4C23F" w14:textId="7D5F8269" w:rsidR="00A351EC" w:rsidRPr="00EB4B4B" w:rsidRDefault="00A351EC">
    <w:pPr>
      <w:pStyle w:val="Fuzeile"/>
      <w:tabs>
        <w:tab w:val="clear" w:pos="9214"/>
        <w:tab w:val="left" w:pos="7824"/>
        <w:tab w:val="right" w:pos="8818"/>
      </w:tabs>
      <w:rPr>
        <w:lang w:val="de-DE"/>
      </w:rPr>
    </w:pPr>
    <w:r w:rsidRPr="00EB4B4B">
      <w:rPr>
        <w:b/>
        <w:bCs/>
        <w:lang w:val="de-DE"/>
      </w:rPr>
      <w:t xml:space="preserve">T +49 9422 821 </w:t>
    </w:r>
    <w:proofErr w:type="gramStart"/>
    <w:r w:rsidRPr="00EB4B4B">
      <w:rPr>
        <w:b/>
        <w:bCs/>
        <w:lang w:val="de-DE"/>
      </w:rPr>
      <w:t>0  ▪</w:t>
    </w:r>
    <w:proofErr w:type="gramEnd"/>
    <w:r w:rsidRPr="00EB4B4B">
      <w:rPr>
        <w:b/>
        <w:bCs/>
        <w:lang w:val="de-DE"/>
      </w:rPr>
      <w:t xml:space="preserve">  </w:t>
    </w:r>
    <w:proofErr w:type="gramStart"/>
    <w:r w:rsidRPr="00EB4B4B">
      <w:rPr>
        <w:b/>
        <w:bCs/>
        <w:lang w:val="de-DE"/>
      </w:rPr>
      <w:t>info@deceuninck.de  ▪</w:t>
    </w:r>
    <w:proofErr w:type="gramEnd"/>
    <w:r w:rsidRPr="00EB4B4B">
      <w:rPr>
        <w:b/>
        <w:bCs/>
        <w:lang w:val="de-DE"/>
      </w:rPr>
      <w:t xml:space="preserve">  www.deceuninck.de</w:t>
    </w:r>
    <w:r w:rsidRPr="00EB4B4B">
      <w:rPr>
        <w:lang w:val="de-DE"/>
      </w:rPr>
      <w:tab/>
    </w:r>
    <w:r w:rsidRPr="00EB4B4B">
      <w:rPr>
        <w:lang w:val="de-DE"/>
      </w:rPr>
      <w:tab/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PAGE </w:instrText>
    </w:r>
    <w:r w:rsidRPr="00EB4B4B">
      <w:rPr>
        <w:lang w:val="de-DE"/>
      </w:rPr>
      <w:fldChar w:fldCharType="separate"/>
    </w:r>
    <w:r w:rsidRPr="00EB4B4B">
      <w:rPr>
        <w:lang w:val="de-DE"/>
      </w:rPr>
      <w:t>1</w:t>
    </w:r>
    <w:r w:rsidRPr="00EB4B4B">
      <w:rPr>
        <w:lang w:val="de-DE"/>
      </w:rPr>
      <w:fldChar w:fldCharType="end"/>
    </w:r>
    <w:r w:rsidRPr="00EB4B4B">
      <w:rPr>
        <w:lang w:val="de-DE"/>
      </w:rPr>
      <w:t>/</w:t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NUMPAGES </w:instrText>
    </w:r>
    <w:r w:rsidRPr="00EB4B4B">
      <w:rPr>
        <w:lang w:val="de-DE"/>
      </w:rPr>
      <w:fldChar w:fldCharType="separate"/>
    </w:r>
    <w:r w:rsidRPr="00EB4B4B">
      <w:rPr>
        <w:lang w:val="de-DE"/>
      </w:rPr>
      <w:t>2</w:t>
    </w:r>
    <w:r w:rsidRPr="00EB4B4B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13BE" w14:textId="77777777" w:rsidR="007810D2" w:rsidRPr="00EB4B4B" w:rsidRDefault="007810D2">
      <w:pPr>
        <w:spacing w:after="0" w:line="240" w:lineRule="auto"/>
      </w:pPr>
      <w:r w:rsidRPr="00EB4B4B">
        <w:separator/>
      </w:r>
    </w:p>
  </w:footnote>
  <w:footnote w:type="continuationSeparator" w:id="0">
    <w:p w14:paraId="3A5F5715" w14:textId="77777777" w:rsidR="007810D2" w:rsidRPr="00EB4B4B" w:rsidRDefault="007810D2">
      <w:pPr>
        <w:spacing w:after="0" w:line="240" w:lineRule="auto"/>
      </w:pPr>
      <w:r w:rsidRPr="00EB4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4AD" w14:textId="77777777" w:rsidR="00A351EC" w:rsidRPr="00EB4B4B" w:rsidRDefault="00A351EC">
    <w:r w:rsidRPr="00EB4B4B">
      <w:rPr>
        <w:noProof/>
      </w:rPr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B4B4B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77777777" w:rsidR="00A351EC" w:rsidRPr="00EB4B4B" w:rsidRDefault="00A351EC">
                          <w:pPr>
                            <w:pStyle w:val="berschrift1"/>
                            <w:rPr>
                              <w:lang w:val="de-DE"/>
                            </w:rPr>
                          </w:pPr>
                          <w:r w:rsidRPr="00EB4B4B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  <w:lang w:val="de-DE"/>
                            </w:rPr>
                            <w:t>PRESSEMITTEILUNG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77777777" w:rsidR="00A351EC" w:rsidRPr="00EB4B4B" w:rsidRDefault="00A351EC">
                    <w:pPr>
                      <w:pStyle w:val="berschrift1"/>
                      <w:rPr>
                        <w:lang w:val="de-DE"/>
                      </w:rPr>
                    </w:pPr>
                    <w:r w:rsidRPr="00EB4B4B">
                      <w:rPr>
                        <w:b w:val="0"/>
                        <w:bCs w:val="0"/>
                        <w:spacing w:val="0"/>
                        <w:sz w:val="32"/>
                        <w:szCs w:val="32"/>
                        <w:lang w:val="de-DE"/>
                      </w:rPr>
                      <w:t>PRESSEMITTEILUNG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B4B4B">
      <w:rPr>
        <w:noProof/>
      </w:rPr>
      <w:drawing>
        <wp:anchor distT="152400" distB="152400" distL="152400" distR="152400" simplePos="0" relativeHeight="251658242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A72"/>
    <w:multiLevelType w:val="multilevel"/>
    <w:tmpl w:val="C290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66A24"/>
    <w:multiLevelType w:val="hybridMultilevel"/>
    <w:tmpl w:val="F9C0F6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B2EEF"/>
    <w:multiLevelType w:val="hybridMultilevel"/>
    <w:tmpl w:val="7A520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154B3"/>
    <w:multiLevelType w:val="hybridMultilevel"/>
    <w:tmpl w:val="54581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25D9"/>
    <w:multiLevelType w:val="hybridMultilevel"/>
    <w:tmpl w:val="80F84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972D2"/>
    <w:multiLevelType w:val="hybridMultilevel"/>
    <w:tmpl w:val="644412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705F3"/>
    <w:multiLevelType w:val="hybridMultilevel"/>
    <w:tmpl w:val="D9344C24"/>
    <w:lvl w:ilvl="0" w:tplc="677C97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2882"/>
    <w:multiLevelType w:val="hybridMultilevel"/>
    <w:tmpl w:val="8604C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C4BD2"/>
    <w:multiLevelType w:val="hybridMultilevel"/>
    <w:tmpl w:val="F3D497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20621"/>
    <w:multiLevelType w:val="hybridMultilevel"/>
    <w:tmpl w:val="C0701662"/>
    <w:lvl w:ilvl="0" w:tplc="24A2A6D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0B2C"/>
    <w:multiLevelType w:val="hybridMultilevel"/>
    <w:tmpl w:val="FFFFFFFF"/>
    <w:lvl w:ilvl="0" w:tplc="2E94672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2D29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8B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46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2B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40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9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F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22EE"/>
    <w:multiLevelType w:val="hybridMultilevel"/>
    <w:tmpl w:val="55E6D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27AE0"/>
    <w:multiLevelType w:val="hybridMultilevel"/>
    <w:tmpl w:val="129E88AC"/>
    <w:lvl w:ilvl="0" w:tplc="C3C4E7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66571"/>
    <w:multiLevelType w:val="hybridMultilevel"/>
    <w:tmpl w:val="F326C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8470B"/>
    <w:multiLevelType w:val="multilevel"/>
    <w:tmpl w:val="4CB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16FD8"/>
    <w:multiLevelType w:val="hybridMultilevel"/>
    <w:tmpl w:val="3C60A396"/>
    <w:lvl w:ilvl="0" w:tplc="FCE0AAB4">
      <w:start w:val="17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56C8D"/>
    <w:multiLevelType w:val="hybridMultilevel"/>
    <w:tmpl w:val="40E29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99579">
    <w:abstractNumId w:val="0"/>
  </w:num>
  <w:num w:numId="2" w16cid:durableId="1364788306">
    <w:abstractNumId w:val="16"/>
  </w:num>
  <w:num w:numId="3" w16cid:durableId="234631492">
    <w:abstractNumId w:val="9"/>
  </w:num>
  <w:num w:numId="4" w16cid:durableId="1279262766">
    <w:abstractNumId w:val="7"/>
  </w:num>
  <w:num w:numId="5" w16cid:durableId="471289541">
    <w:abstractNumId w:val="18"/>
  </w:num>
  <w:num w:numId="6" w16cid:durableId="1834564582">
    <w:abstractNumId w:val="19"/>
  </w:num>
  <w:num w:numId="7" w16cid:durableId="970474236">
    <w:abstractNumId w:val="2"/>
  </w:num>
  <w:num w:numId="8" w16cid:durableId="102387184">
    <w:abstractNumId w:val="6"/>
  </w:num>
  <w:num w:numId="9" w16cid:durableId="1620183909">
    <w:abstractNumId w:val="12"/>
  </w:num>
  <w:num w:numId="10" w16cid:durableId="476412878">
    <w:abstractNumId w:val="10"/>
  </w:num>
  <w:num w:numId="11" w16cid:durableId="206795951">
    <w:abstractNumId w:val="8"/>
  </w:num>
  <w:num w:numId="12" w16cid:durableId="674647759">
    <w:abstractNumId w:val="4"/>
  </w:num>
  <w:num w:numId="13" w16cid:durableId="510948871">
    <w:abstractNumId w:val="5"/>
  </w:num>
  <w:num w:numId="14" w16cid:durableId="706762993">
    <w:abstractNumId w:val="15"/>
  </w:num>
  <w:num w:numId="15" w16cid:durableId="358314102">
    <w:abstractNumId w:val="3"/>
  </w:num>
  <w:num w:numId="16" w16cid:durableId="285241986">
    <w:abstractNumId w:val="1"/>
  </w:num>
  <w:num w:numId="17" w16cid:durableId="2113620475">
    <w:abstractNumId w:val="14"/>
  </w:num>
  <w:num w:numId="18" w16cid:durableId="819927227">
    <w:abstractNumId w:val="17"/>
  </w:num>
  <w:num w:numId="19" w16cid:durableId="137187646">
    <w:abstractNumId w:val="13"/>
  </w:num>
  <w:num w:numId="20" w16cid:durableId="628434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10C8C"/>
    <w:rsid w:val="0001456A"/>
    <w:rsid w:val="00023A52"/>
    <w:rsid w:val="00024CCF"/>
    <w:rsid w:val="00024D7D"/>
    <w:rsid w:val="00027091"/>
    <w:rsid w:val="000308FD"/>
    <w:rsid w:val="00030903"/>
    <w:rsid w:val="00032B91"/>
    <w:rsid w:val="000406D8"/>
    <w:rsid w:val="00041B40"/>
    <w:rsid w:val="000503F8"/>
    <w:rsid w:val="0005109E"/>
    <w:rsid w:val="00052606"/>
    <w:rsid w:val="00060D4D"/>
    <w:rsid w:val="000744A2"/>
    <w:rsid w:val="000748E6"/>
    <w:rsid w:val="00080CE4"/>
    <w:rsid w:val="00081AC7"/>
    <w:rsid w:val="00081D42"/>
    <w:rsid w:val="000860B1"/>
    <w:rsid w:val="00092E00"/>
    <w:rsid w:val="000A7411"/>
    <w:rsid w:val="000C1C24"/>
    <w:rsid w:val="000C3A06"/>
    <w:rsid w:val="000C5588"/>
    <w:rsid w:val="000C6E28"/>
    <w:rsid w:val="000C7D4D"/>
    <w:rsid w:val="000D05C7"/>
    <w:rsid w:val="000D4A5E"/>
    <w:rsid w:val="000D5891"/>
    <w:rsid w:val="000D71DD"/>
    <w:rsid w:val="000D7693"/>
    <w:rsid w:val="000E306F"/>
    <w:rsid w:val="001015A0"/>
    <w:rsid w:val="00127745"/>
    <w:rsid w:val="00127D6B"/>
    <w:rsid w:val="001303C3"/>
    <w:rsid w:val="00143F19"/>
    <w:rsid w:val="00153FF6"/>
    <w:rsid w:val="0016718F"/>
    <w:rsid w:val="0016797D"/>
    <w:rsid w:val="00167E56"/>
    <w:rsid w:val="001941AE"/>
    <w:rsid w:val="001944FE"/>
    <w:rsid w:val="00194D0A"/>
    <w:rsid w:val="00194E5F"/>
    <w:rsid w:val="001A6A3D"/>
    <w:rsid w:val="001A6C5F"/>
    <w:rsid w:val="001B30BD"/>
    <w:rsid w:val="001B5EF4"/>
    <w:rsid w:val="001C60C5"/>
    <w:rsid w:val="001C7DDC"/>
    <w:rsid w:val="001D3B15"/>
    <w:rsid w:val="001E0071"/>
    <w:rsid w:val="001E3457"/>
    <w:rsid w:val="001E6A1D"/>
    <w:rsid w:val="00203DB4"/>
    <w:rsid w:val="0022274B"/>
    <w:rsid w:val="00235068"/>
    <w:rsid w:val="00236F6C"/>
    <w:rsid w:val="00237130"/>
    <w:rsid w:val="00240179"/>
    <w:rsid w:val="00243834"/>
    <w:rsid w:val="00243FF7"/>
    <w:rsid w:val="00251E7C"/>
    <w:rsid w:val="002526CE"/>
    <w:rsid w:val="00252B2D"/>
    <w:rsid w:val="00257918"/>
    <w:rsid w:val="002810F4"/>
    <w:rsid w:val="00282A39"/>
    <w:rsid w:val="00285609"/>
    <w:rsid w:val="00287A53"/>
    <w:rsid w:val="00291FCA"/>
    <w:rsid w:val="00293DA4"/>
    <w:rsid w:val="002C026E"/>
    <w:rsid w:val="002C1111"/>
    <w:rsid w:val="002C2C08"/>
    <w:rsid w:val="002D167D"/>
    <w:rsid w:val="002D2920"/>
    <w:rsid w:val="002D2F6E"/>
    <w:rsid w:val="002D7C58"/>
    <w:rsid w:val="002E1652"/>
    <w:rsid w:val="002E16CF"/>
    <w:rsid w:val="002E204B"/>
    <w:rsid w:val="002E20A0"/>
    <w:rsid w:val="002E41F3"/>
    <w:rsid w:val="002E6A59"/>
    <w:rsid w:val="002F059D"/>
    <w:rsid w:val="002F132E"/>
    <w:rsid w:val="002F5B6F"/>
    <w:rsid w:val="002F66D7"/>
    <w:rsid w:val="00307DCF"/>
    <w:rsid w:val="00331206"/>
    <w:rsid w:val="00333227"/>
    <w:rsid w:val="00334B6E"/>
    <w:rsid w:val="0034468C"/>
    <w:rsid w:val="003533A0"/>
    <w:rsid w:val="003548D4"/>
    <w:rsid w:val="00360660"/>
    <w:rsid w:val="00386D84"/>
    <w:rsid w:val="003900D5"/>
    <w:rsid w:val="003908FD"/>
    <w:rsid w:val="00395D3F"/>
    <w:rsid w:val="003A79C6"/>
    <w:rsid w:val="003B2435"/>
    <w:rsid w:val="003B417F"/>
    <w:rsid w:val="003C0BE4"/>
    <w:rsid w:val="003C1EEE"/>
    <w:rsid w:val="003C2429"/>
    <w:rsid w:val="003C2621"/>
    <w:rsid w:val="003C4242"/>
    <w:rsid w:val="003C52AF"/>
    <w:rsid w:val="003D322A"/>
    <w:rsid w:val="003D3D42"/>
    <w:rsid w:val="003D3D8B"/>
    <w:rsid w:val="003F0AA1"/>
    <w:rsid w:val="003F3494"/>
    <w:rsid w:val="003F513C"/>
    <w:rsid w:val="003F7C32"/>
    <w:rsid w:val="00402F39"/>
    <w:rsid w:val="00405399"/>
    <w:rsid w:val="00412257"/>
    <w:rsid w:val="00414326"/>
    <w:rsid w:val="00416933"/>
    <w:rsid w:val="004255A4"/>
    <w:rsid w:val="00430B84"/>
    <w:rsid w:val="00433CBA"/>
    <w:rsid w:val="004378DC"/>
    <w:rsid w:val="0045250E"/>
    <w:rsid w:val="00455FE2"/>
    <w:rsid w:val="00462038"/>
    <w:rsid w:val="00467F49"/>
    <w:rsid w:val="00474854"/>
    <w:rsid w:val="004779A2"/>
    <w:rsid w:val="00485BEE"/>
    <w:rsid w:val="00487E9D"/>
    <w:rsid w:val="004A2A6F"/>
    <w:rsid w:val="004A3CCD"/>
    <w:rsid w:val="004A6F67"/>
    <w:rsid w:val="004B4593"/>
    <w:rsid w:val="004B4B54"/>
    <w:rsid w:val="004B53E5"/>
    <w:rsid w:val="004B7DF0"/>
    <w:rsid w:val="004D0BD9"/>
    <w:rsid w:val="004D3456"/>
    <w:rsid w:val="004F2DCB"/>
    <w:rsid w:val="004F33D3"/>
    <w:rsid w:val="004F6946"/>
    <w:rsid w:val="00500A2B"/>
    <w:rsid w:val="00502353"/>
    <w:rsid w:val="00507DBD"/>
    <w:rsid w:val="0051574B"/>
    <w:rsid w:val="005160D9"/>
    <w:rsid w:val="0052272D"/>
    <w:rsid w:val="005255E9"/>
    <w:rsid w:val="005258A7"/>
    <w:rsid w:val="00526CE8"/>
    <w:rsid w:val="00533CBD"/>
    <w:rsid w:val="00545AFD"/>
    <w:rsid w:val="00551113"/>
    <w:rsid w:val="0056598C"/>
    <w:rsid w:val="005907A7"/>
    <w:rsid w:val="0059095E"/>
    <w:rsid w:val="005937B7"/>
    <w:rsid w:val="005967FC"/>
    <w:rsid w:val="00596F5A"/>
    <w:rsid w:val="005973C4"/>
    <w:rsid w:val="005A0124"/>
    <w:rsid w:val="005A1F27"/>
    <w:rsid w:val="005A3F1D"/>
    <w:rsid w:val="005B34D0"/>
    <w:rsid w:val="005C0A69"/>
    <w:rsid w:val="005C2B74"/>
    <w:rsid w:val="005C5D84"/>
    <w:rsid w:val="005C67B8"/>
    <w:rsid w:val="005D474D"/>
    <w:rsid w:val="005E43E5"/>
    <w:rsid w:val="005F05DA"/>
    <w:rsid w:val="006007C9"/>
    <w:rsid w:val="00602FB7"/>
    <w:rsid w:val="006063ED"/>
    <w:rsid w:val="00614306"/>
    <w:rsid w:val="00626B20"/>
    <w:rsid w:val="00627767"/>
    <w:rsid w:val="00630D1D"/>
    <w:rsid w:val="00632D43"/>
    <w:rsid w:val="0063464E"/>
    <w:rsid w:val="006367C0"/>
    <w:rsid w:val="00641F65"/>
    <w:rsid w:val="006527CA"/>
    <w:rsid w:val="00657C6C"/>
    <w:rsid w:val="00660A83"/>
    <w:rsid w:val="006633EC"/>
    <w:rsid w:val="00663FF3"/>
    <w:rsid w:val="00671902"/>
    <w:rsid w:val="006724A3"/>
    <w:rsid w:val="00694CC8"/>
    <w:rsid w:val="006A557E"/>
    <w:rsid w:val="006B0B4A"/>
    <w:rsid w:val="006B4713"/>
    <w:rsid w:val="006C44D6"/>
    <w:rsid w:val="006C5A6C"/>
    <w:rsid w:val="006D3524"/>
    <w:rsid w:val="006D5135"/>
    <w:rsid w:val="006E0415"/>
    <w:rsid w:val="006E7725"/>
    <w:rsid w:val="006F5526"/>
    <w:rsid w:val="006F708A"/>
    <w:rsid w:val="00702265"/>
    <w:rsid w:val="0070232E"/>
    <w:rsid w:val="00705289"/>
    <w:rsid w:val="0071536A"/>
    <w:rsid w:val="00716C26"/>
    <w:rsid w:val="00725C1A"/>
    <w:rsid w:val="00730A84"/>
    <w:rsid w:val="00737617"/>
    <w:rsid w:val="00740A76"/>
    <w:rsid w:val="00752278"/>
    <w:rsid w:val="00752D03"/>
    <w:rsid w:val="00756860"/>
    <w:rsid w:val="00756DA3"/>
    <w:rsid w:val="00765AC5"/>
    <w:rsid w:val="0077784A"/>
    <w:rsid w:val="007810D2"/>
    <w:rsid w:val="007826EF"/>
    <w:rsid w:val="007918E3"/>
    <w:rsid w:val="007A2260"/>
    <w:rsid w:val="007B278C"/>
    <w:rsid w:val="007B2CBB"/>
    <w:rsid w:val="007B4479"/>
    <w:rsid w:val="007B4C1B"/>
    <w:rsid w:val="007B6F74"/>
    <w:rsid w:val="007C1474"/>
    <w:rsid w:val="007D1E4F"/>
    <w:rsid w:val="007D432D"/>
    <w:rsid w:val="007E5B72"/>
    <w:rsid w:val="007E6A03"/>
    <w:rsid w:val="007E7A21"/>
    <w:rsid w:val="007F37E1"/>
    <w:rsid w:val="007F6D96"/>
    <w:rsid w:val="00811160"/>
    <w:rsid w:val="008203D5"/>
    <w:rsid w:val="0082758C"/>
    <w:rsid w:val="008468EB"/>
    <w:rsid w:val="008616A2"/>
    <w:rsid w:val="00863B47"/>
    <w:rsid w:val="008760AD"/>
    <w:rsid w:val="00877118"/>
    <w:rsid w:val="0088251B"/>
    <w:rsid w:val="00885E04"/>
    <w:rsid w:val="008914EC"/>
    <w:rsid w:val="008B4037"/>
    <w:rsid w:val="008B4DF3"/>
    <w:rsid w:val="008E0536"/>
    <w:rsid w:val="00905300"/>
    <w:rsid w:val="00907124"/>
    <w:rsid w:val="00912741"/>
    <w:rsid w:val="0091573D"/>
    <w:rsid w:val="00920FEC"/>
    <w:rsid w:val="00927D90"/>
    <w:rsid w:val="0093692B"/>
    <w:rsid w:val="00936E0F"/>
    <w:rsid w:val="0094085F"/>
    <w:rsid w:val="00940DA4"/>
    <w:rsid w:val="009423F8"/>
    <w:rsid w:val="00943D15"/>
    <w:rsid w:val="0094461A"/>
    <w:rsid w:val="009476D8"/>
    <w:rsid w:val="00960DA0"/>
    <w:rsid w:val="00963656"/>
    <w:rsid w:val="00966051"/>
    <w:rsid w:val="00977709"/>
    <w:rsid w:val="00981600"/>
    <w:rsid w:val="0098573E"/>
    <w:rsid w:val="0099144C"/>
    <w:rsid w:val="009A3A9A"/>
    <w:rsid w:val="009A4DC4"/>
    <w:rsid w:val="009B1478"/>
    <w:rsid w:val="009B1F0B"/>
    <w:rsid w:val="009C0980"/>
    <w:rsid w:val="009C588C"/>
    <w:rsid w:val="009C6F7B"/>
    <w:rsid w:val="009D63AC"/>
    <w:rsid w:val="009E0398"/>
    <w:rsid w:val="009E29D0"/>
    <w:rsid w:val="009E3198"/>
    <w:rsid w:val="009E3477"/>
    <w:rsid w:val="009E4EAA"/>
    <w:rsid w:val="009E6CE2"/>
    <w:rsid w:val="009F5291"/>
    <w:rsid w:val="009F54B7"/>
    <w:rsid w:val="009F7FDE"/>
    <w:rsid w:val="00A05853"/>
    <w:rsid w:val="00A1216F"/>
    <w:rsid w:val="00A16318"/>
    <w:rsid w:val="00A16F78"/>
    <w:rsid w:val="00A233EA"/>
    <w:rsid w:val="00A24513"/>
    <w:rsid w:val="00A258E4"/>
    <w:rsid w:val="00A32785"/>
    <w:rsid w:val="00A351EC"/>
    <w:rsid w:val="00A35B04"/>
    <w:rsid w:val="00A35EF7"/>
    <w:rsid w:val="00A464B0"/>
    <w:rsid w:val="00A47862"/>
    <w:rsid w:val="00A54156"/>
    <w:rsid w:val="00A560F3"/>
    <w:rsid w:val="00A63323"/>
    <w:rsid w:val="00A65E33"/>
    <w:rsid w:val="00A6611B"/>
    <w:rsid w:val="00A67A1C"/>
    <w:rsid w:val="00A76CE6"/>
    <w:rsid w:val="00A82FFB"/>
    <w:rsid w:val="00A96B89"/>
    <w:rsid w:val="00A96CDF"/>
    <w:rsid w:val="00AA3003"/>
    <w:rsid w:val="00AB3BE7"/>
    <w:rsid w:val="00AC15ED"/>
    <w:rsid w:val="00AD5DE6"/>
    <w:rsid w:val="00AE0EC4"/>
    <w:rsid w:val="00AF10E1"/>
    <w:rsid w:val="00AF27E8"/>
    <w:rsid w:val="00B057BE"/>
    <w:rsid w:val="00B05FDE"/>
    <w:rsid w:val="00B12E38"/>
    <w:rsid w:val="00B16F30"/>
    <w:rsid w:val="00B23E57"/>
    <w:rsid w:val="00B43A57"/>
    <w:rsid w:val="00B557AF"/>
    <w:rsid w:val="00B573D1"/>
    <w:rsid w:val="00B62ED2"/>
    <w:rsid w:val="00B64C34"/>
    <w:rsid w:val="00B66647"/>
    <w:rsid w:val="00B70172"/>
    <w:rsid w:val="00B72C51"/>
    <w:rsid w:val="00B740E1"/>
    <w:rsid w:val="00B838A9"/>
    <w:rsid w:val="00B90649"/>
    <w:rsid w:val="00BA084F"/>
    <w:rsid w:val="00BA12A3"/>
    <w:rsid w:val="00BA2B87"/>
    <w:rsid w:val="00BA784C"/>
    <w:rsid w:val="00BB3472"/>
    <w:rsid w:val="00BB4A28"/>
    <w:rsid w:val="00BC2E18"/>
    <w:rsid w:val="00BE0551"/>
    <w:rsid w:val="00BF3B0F"/>
    <w:rsid w:val="00BF3FE0"/>
    <w:rsid w:val="00BF42E8"/>
    <w:rsid w:val="00BF6916"/>
    <w:rsid w:val="00C005FD"/>
    <w:rsid w:val="00C1342C"/>
    <w:rsid w:val="00C154EF"/>
    <w:rsid w:val="00C17947"/>
    <w:rsid w:val="00C260A5"/>
    <w:rsid w:val="00C26231"/>
    <w:rsid w:val="00C30B70"/>
    <w:rsid w:val="00C34E31"/>
    <w:rsid w:val="00C36B8B"/>
    <w:rsid w:val="00C42ED3"/>
    <w:rsid w:val="00C43574"/>
    <w:rsid w:val="00C5156D"/>
    <w:rsid w:val="00C57217"/>
    <w:rsid w:val="00C60DAE"/>
    <w:rsid w:val="00C72A6B"/>
    <w:rsid w:val="00C95939"/>
    <w:rsid w:val="00CA06CF"/>
    <w:rsid w:val="00CA1A94"/>
    <w:rsid w:val="00CA7FCD"/>
    <w:rsid w:val="00CB0E93"/>
    <w:rsid w:val="00CB6274"/>
    <w:rsid w:val="00CD13CB"/>
    <w:rsid w:val="00CD27A3"/>
    <w:rsid w:val="00CD6B37"/>
    <w:rsid w:val="00CE107E"/>
    <w:rsid w:val="00CE34D6"/>
    <w:rsid w:val="00CE4AB8"/>
    <w:rsid w:val="00CE7847"/>
    <w:rsid w:val="00CF370E"/>
    <w:rsid w:val="00CF5CCD"/>
    <w:rsid w:val="00D14D39"/>
    <w:rsid w:val="00D15B5B"/>
    <w:rsid w:val="00D170AA"/>
    <w:rsid w:val="00D17464"/>
    <w:rsid w:val="00D2100A"/>
    <w:rsid w:val="00D21C97"/>
    <w:rsid w:val="00D32509"/>
    <w:rsid w:val="00D343F8"/>
    <w:rsid w:val="00D441B1"/>
    <w:rsid w:val="00D459C7"/>
    <w:rsid w:val="00D4729B"/>
    <w:rsid w:val="00D47BC4"/>
    <w:rsid w:val="00D51439"/>
    <w:rsid w:val="00D52030"/>
    <w:rsid w:val="00D603A9"/>
    <w:rsid w:val="00D6480B"/>
    <w:rsid w:val="00D75D33"/>
    <w:rsid w:val="00D81CCC"/>
    <w:rsid w:val="00D841EA"/>
    <w:rsid w:val="00D90CF2"/>
    <w:rsid w:val="00D90FC5"/>
    <w:rsid w:val="00DA2637"/>
    <w:rsid w:val="00DA50FC"/>
    <w:rsid w:val="00DB17CA"/>
    <w:rsid w:val="00DB3061"/>
    <w:rsid w:val="00DC2D02"/>
    <w:rsid w:val="00DC588F"/>
    <w:rsid w:val="00DD00FF"/>
    <w:rsid w:val="00DE5926"/>
    <w:rsid w:val="00DF0C72"/>
    <w:rsid w:val="00DF24C7"/>
    <w:rsid w:val="00DF3075"/>
    <w:rsid w:val="00DF6F8C"/>
    <w:rsid w:val="00E03A08"/>
    <w:rsid w:val="00E063DD"/>
    <w:rsid w:val="00E0767B"/>
    <w:rsid w:val="00E16033"/>
    <w:rsid w:val="00E208BA"/>
    <w:rsid w:val="00E3056A"/>
    <w:rsid w:val="00E3101B"/>
    <w:rsid w:val="00E34B98"/>
    <w:rsid w:val="00E354DA"/>
    <w:rsid w:val="00E45B01"/>
    <w:rsid w:val="00E511DB"/>
    <w:rsid w:val="00E529EC"/>
    <w:rsid w:val="00E56DFC"/>
    <w:rsid w:val="00E719CD"/>
    <w:rsid w:val="00E808C6"/>
    <w:rsid w:val="00E8314C"/>
    <w:rsid w:val="00E922D7"/>
    <w:rsid w:val="00EA135C"/>
    <w:rsid w:val="00EA1F25"/>
    <w:rsid w:val="00EA6960"/>
    <w:rsid w:val="00EB4B4B"/>
    <w:rsid w:val="00EE44A2"/>
    <w:rsid w:val="00EE4A66"/>
    <w:rsid w:val="00F04C51"/>
    <w:rsid w:val="00F073CE"/>
    <w:rsid w:val="00F07BA9"/>
    <w:rsid w:val="00F14C2A"/>
    <w:rsid w:val="00F20C98"/>
    <w:rsid w:val="00F34F56"/>
    <w:rsid w:val="00F35AFA"/>
    <w:rsid w:val="00F45F64"/>
    <w:rsid w:val="00F64050"/>
    <w:rsid w:val="00F67F9D"/>
    <w:rsid w:val="00FA03CE"/>
    <w:rsid w:val="00FA54AB"/>
    <w:rsid w:val="00FA7715"/>
    <w:rsid w:val="00FB04E9"/>
    <w:rsid w:val="00FB3178"/>
    <w:rsid w:val="00FB47D0"/>
    <w:rsid w:val="00FB57A1"/>
    <w:rsid w:val="00FB7CEF"/>
    <w:rsid w:val="00FD05EE"/>
    <w:rsid w:val="00FD34BA"/>
    <w:rsid w:val="00FD5817"/>
    <w:rsid w:val="00FE153E"/>
    <w:rsid w:val="00FE3C76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71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mbria" w:eastAsia="MS Mincho" w:hAnsi="Cambria"/>
      <w:sz w:val="22"/>
      <w:szCs w:val="22"/>
      <w:bdr w:val="none" w:sz="0" w:space="0" w:color="auto"/>
      <w:lang w:eastAsia="en-US"/>
    </w:rPr>
  </w:style>
  <w:style w:type="paragraph" w:styleId="berschrift1">
    <w:name w:val="heading 1"/>
    <w:next w:val="Standard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  <w:lang w:val="en-US"/>
    </w:rPr>
  </w:style>
  <w:style w:type="paragraph" w:styleId="berschrift3">
    <w:name w:val="heading 3"/>
    <w:next w:val="Standard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08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47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08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47E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qFormat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6D8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86D84"/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16F30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customStyle="1" w:styleId="NormaleTabelle1">
    <w:name w:val="Normale Tabelle1"/>
    <w:uiPriority w:val="99"/>
    <w:semiHidden/>
    <w:unhideWhenUsed/>
    <w:rsid w:val="007918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bdr w:val="none" w:sz="0" w:space="0" w:color="auto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9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8E3"/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08BA"/>
    <w:rPr>
      <w:rFonts w:asciiTheme="majorHAnsi" w:eastAsiaTheme="majorEastAsia" w:hAnsiTheme="majorHAnsi" w:cstheme="majorBidi"/>
      <w:i/>
      <w:iCs/>
      <w:color w:val="00447E" w:themeColor="accent1" w:themeShade="BF"/>
      <w:sz w:val="22"/>
      <w:szCs w:val="22"/>
      <w:bdr w:val="none" w:sz="0" w:space="0" w:color="auto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08BA"/>
    <w:rPr>
      <w:rFonts w:asciiTheme="majorHAnsi" w:eastAsiaTheme="majorEastAsia" w:hAnsiTheme="majorHAnsi" w:cstheme="majorBidi"/>
      <w:color w:val="00447E" w:themeColor="accent1" w:themeShade="BF"/>
      <w:sz w:val="22"/>
      <w:szCs w:val="22"/>
      <w:bdr w:val="none" w:sz="0" w:space="0" w:color="auto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78DC"/>
    <w:rPr>
      <w:color w:val="605E5C"/>
      <w:shd w:val="clear" w:color="auto" w:fill="E1DFDD"/>
    </w:rPr>
  </w:style>
  <w:style w:type="table" w:styleId="Gitternetztabelle1hellAkzent6">
    <w:name w:val="Grid Table 1 Light Accent 6"/>
    <w:basedOn w:val="NormaleTabelle"/>
    <w:uiPriority w:val="46"/>
    <w:rsid w:val="005A0124"/>
    <w:tblPr>
      <w:tblStyleRowBandSize w:val="1"/>
      <w:tblStyleColBandSize w:val="1"/>
      <w:tblBorders>
        <w:top w:val="single" w:sz="4" w:space="0" w:color="C5C5C5" w:themeColor="accent6" w:themeTint="66"/>
        <w:left w:val="single" w:sz="4" w:space="0" w:color="C5C5C5" w:themeColor="accent6" w:themeTint="66"/>
        <w:bottom w:val="single" w:sz="4" w:space="0" w:color="C5C5C5" w:themeColor="accent6" w:themeTint="66"/>
        <w:right w:val="single" w:sz="4" w:space="0" w:color="C5C5C5" w:themeColor="accent6" w:themeTint="66"/>
        <w:insideH w:val="single" w:sz="4" w:space="0" w:color="C5C5C5" w:themeColor="accent6" w:themeTint="66"/>
        <w:insideV w:val="single" w:sz="4" w:space="0" w:color="C5C5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A8A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8A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f0">
    <w:name w:val="pf0"/>
    <w:basedOn w:val="Standard"/>
    <w:rsid w:val="00D45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D459C7"/>
    <w:rPr>
      <w:rFonts w:ascii="Segoe UI" w:hAnsi="Segoe UI" w:cs="Segoe UI" w:hint="default"/>
      <w:color w:val="6F6F6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9c707-0137-403c-85a7-54f9b97d97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FE8682B8D84696EABCE0EFDD7479" ma:contentTypeVersion="12" ma:contentTypeDescription="Een nieuw document maken." ma:contentTypeScope="" ma:versionID="488300280f2818d4b031f69bd45d6a8b">
  <xsd:schema xmlns:xsd="http://www.w3.org/2001/XMLSchema" xmlns:xs="http://www.w3.org/2001/XMLSchema" xmlns:p="http://schemas.microsoft.com/office/2006/metadata/properties" xmlns:ns2="9d09c707-0137-403c-85a7-54f9b97d97fc" targetNamespace="http://schemas.microsoft.com/office/2006/metadata/properties" ma:root="true" ma:fieldsID="9b327f54ce615e6a4881ec6db9a88237" ns2:_="">
    <xsd:import namespace="9d09c707-0137-403c-85a7-54f9b97d9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9c707-0137-403c-85a7-54f9b97d9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01886-8AA0-4AE8-8C42-F8A7D0481714}">
  <ds:schemaRefs>
    <ds:schemaRef ds:uri="http://schemas.microsoft.com/office/2006/documentManagement/types"/>
    <ds:schemaRef ds:uri="9d09c707-0137-403c-85a7-54f9b97d97fc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8C7A090-5F94-4670-AE96-9C2F5FDE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9c707-0137-403c-85a7-54f9b97d9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041FB-7792-435C-857B-718FCC09B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Jutz</dc:creator>
  <cp:lastModifiedBy>Christoph Jutz</cp:lastModifiedBy>
  <cp:revision>5</cp:revision>
  <cp:lastPrinted>2026-04-09T09:42:00Z</cp:lastPrinted>
  <dcterms:created xsi:type="dcterms:W3CDTF">2026-04-09T07:32:00Z</dcterms:created>
  <dcterms:modified xsi:type="dcterms:W3CDTF">2026-04-09T09:42:00Z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0x010100C9C3FE8682B8D84696EABCE0EFDD7479</vt:lpwstr>
  </property>
  <property fmtid="{D5CDD505-2E9C-101B-9397-08002B2CF9AE}" pid="3" name="MediaServiceImageTags">
    <vt:lpwstr/>
  </property>
</Properties>
</file>