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6D22" w14:textId="2C27FD7D" w:rsidR="009C077F" w:rsidRPr="00545B30" w:rsidRDefault="00545B30" w:rsidP="00545B30">
      <w:pPr>
        <w:spacing w:line="264" w:lineRule="auto"/>
        <w:jc w:val="right"/>
        <w:rPr>
          <w:rFonts w:ascii="Plain Thin" w:hAnsi="Plain Thin"/>
          <w:sz w:val="20"/>
          <w:szCs w:val="20"/>
        </w:rPr>
      </w:pPr>
      <w:r>
        <w:rPr>
          <w:rFonts w:ascii="Plain Thin" w:hAnsi="Plain Thin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F7523E8" wp14:editId="6595809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22705" cy="5975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A7C95" w14:textId="77777777" w:rsidR="0091575F" w:rsidRPr="007079FE" w:rsidRDefault="0091575F" w:rsidP="004251C0">
      <w:pPr>
        <w:spacing w:line="264" w:lineRule="auto"/>
        <w:rPr>
          <w:rFonts w:ascii="Plain Thin" w:hAnsi="Plain Thin"/>
        </w:rPr>
      </w:pPr>
    </w:p>
    <w:p w14:paraId="748A21B0" w14:textId="77777777" w:rsidR="007C0A9B" w:rsidRPr="007079FE" w:rsidRDefault="007C0A9B" w:rsidP="004251C0">
      <w:pPr>
        <w:spacing w:line="264" w:lineRule="auto"/>
        <w:rPr>
          <w:rFonts w:ascii="Plain Thin" w:hAnsi="Plain Thin"/>
          <w:sz w:val="24"/>
        </w:rPr>
      </w:pPr>
    </w:p>
    <w:p w14:paraId="723B5AAA" w14:textId="77777777" w:rsidR="00D34F30" w:rsidRPr="007079FE" w:rsidRDefault="00D34F30" w:rsidP="00D34F30">
      <w:pPr>
        <w:spacing w:line="264" w:lineRule="auto"/>
        <w:rPr>
          <w:rFonts w:ascii="Plain Thin" w:hAnsi="Plain Thin"/>
          <w:sz w:val="24"/>
          <w:szCs w:val="24"/>
        </w:rPr>
      </w:pPr>
      <w:r w:rsidRPr="007079FE">
        <w:rPr>
          <w:rFonts w:ascii="Plain Thin" w:hAnsi="Plain Thin"/>
          <w:sz w:val="24"/>
          <w:szCs w:val="24"/>
        </w:rPr>
        <w:t>PRESSE</w:t>
      </w:r>
      <w:r w:rsidR="00775B18">
        <w:rPr>
          <w:rFonts w:ascii="Plain Thin" w:hAnsi="Plain Thin"/>
          <w:sz w:val="24"/>
          <w:szCs w:val="24"/>
        </w:rPr>
        <w:t>INFORMATION</w:t>
      </w:r>
    </w:p>
    <w:p w14:paraId="6A12242A" w14:textId="4F58D86B" w:rsidR="00834EDA" w:rsidRPr="00834EDA" w:rsidRDefault="00F13116" w:rsidP="00834EDA">
      <w:pPr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</w:pPr>
      <w:r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  <w:t>Verzinsung von Steuernach</w:t>
      </w:r>
      <w:r w:rsidR="0023329D"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  <w:t>forderungen</w:t>
      </w:r>
      <w:r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  <w:t xml:space="preserve"> und </w:t>
      </w:r>
      <w:r w:rsidR="003A57D0"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  <w:t>Steuer</w:t>
      </w:r>
      <w:r>
        <w:rPr>
          <w:rFonts w:ascii="Plain Thin" w:eastAsia="Times New Roman" w:hAnsi="Plain Thin" w:cs="Arial"/>
          <w:b/>
          <w:bCs/>
          <w:kern w:val="36"/>
          <w:sz w:val="32"/>
          <w:szCs w:val="32"/>
          <w:lang w:eastAsia="de-DE"/>
        </w:rPr>
        <w:t>erstattungen: Aktuelle Regelungen sind verfassungswidrig</w:t>
      </w:r>
    </w:p>
    <w:p w14:paraId="5F9CD1B9" w14:textId="722EF886" w:rsidR="00596917" w:rsidRPr="00835746" w:rsidRDefault="006964E4" w:rsidP="0059691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A2388D">
        <w:rPr>
          <w:rFonts w:ascii="Plain Thin" w:hAnsi="Plain Thin"/>
          <w:i/>
          <w:sz w:val="19"/>
          <w:szCs w:val="19"/>
        </w:rPr>
        <w:t xml:space="preserve">Berlin/Essen, </w:t>
      </w:r>
      <w:r w:rsidR="00F13116">
        <w:rPr>
          <w:rFonts w:ascii="Plain Thin" w:hAnsi="Plain Thin"/>
          <w:i/>
          <w:sz w:val="19"/>
          <w:szCs w:val="19"/>
        </w:rPr>
        <w:t>1</w:t>
      </w:r>
      <w:r w:rsidR="002578D6">
        <w:rPr>
          <w:rFonts w:ascii="Plain Thin" w:hAnsi="Plain Thin"/>
          <w:i/>
          <w:sz w:val="19"/>
          <w:szCs w:val="19"/>
        </w:rPr>
        <w:t>2</w:t>
      </w:r>
      <w:bookmarkStart w:id="0" w:name="_GoBack"/>
      <w:bookmarkEnd w:id="0"/>
      <w:r w:rsidR="00F13116">
        <w:rPr>
          <w:rFonts w:ascii="Plain Thin" w:hAnsi="Plain Thin"/>
          <w:i/>
          <w:sz w:val="19"/>
          <w:szCs w:val="19"/>
        </w:rPr>
        <w:t>.10</w:t>
      </w:r>
      <w:r w:rsidRPr="00A2388D">
        <w:rPr>
          <w:rFonts w:ascii="Plain Thin" w:hAnsi="Plain Thin"/>
          <w:i/>
          <w:sz w:val="19"/>
          <w:szCs w:val="19"/>
        </w:rPr>
        <w:t>.202</w:t>
      </w:r>
      <w:r w:rsidR="00331DE7">
        <w:rPr>
          <w:rFonts w:ascii="Plain Thin" w:hAnsi="Plain Thin"/>
          <w:i/>
          <w:sz w:val="19"/>
          <w:szCs w:val="19"/>
        </w:rPr>
        <w:t>1</w:t>
      </w:r>
      <w:r w:rsidR="00834EDA">
        <w:rPr>
          <w:rFonts w:ascii="Plain Thin" w:hAnsi="Plain Thin"/>
          <w:sz w:val="19"/>
          <w:szCs w:val="19"/>
        </w:rPr>
        <w:t xml:space="preserve">. </w:t>
      </w:r>
      <w:r w:rsidR="0023329D">
        <w:rPr>
          <w:rFonts w:ascii="Plain Thin" w:hAnsi="Plain Thin" w:cs="Arial"/>
          <w:b/>
          <w:i/>
          <w:sz w:val="19"/>
          <w:szCs w:val="19"/>
        </w:rPr>
        <w:t>Steuerbescheide enthalten neben einer Steuernachforderung oftmals auch einen Bescheid über nachzuzahlende Zinsen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 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>in Höhe von 6 Prozent jährlich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. Dass dieser Zinssatz 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 xml:space="preserve">in Zeiten von Null- bzw. Negativzinsen 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noch verfassungsgemäß sein kann, wurde schon lange angezweifelt. 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>N</w:t>
      </w:r>
      <w:r w:rsidR="00596917">
        <w:rPr>
          <w:rFonts w:ascii="Plain Thin" w:hAnsi="Plain Thin" w:cs="Arial"/>
          <w:b/>
          <w:i/>
          <w:sz w:val="19"/>
          <w:szCs w:val="19"/>
        </w:rPr>
        <w:t>un besteht Gewissheit: Das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 xml:space="preserve"> Bundesverfassungsgericht </w:t>
      </w:r>
      <w:r w:rsidR="00596917">
        <w:rPr>
          <w:rFonts w:ascii="Plain Thin" w:hAnsi="Plain Thin" w:cs="Arial"/>
          <w:b/>
          <w:i/>
          <w:sz w:val="19"/>
          <w:szCs w:val="19"/>
        </w:rPr>
        <w:t>hat die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 xml:space="preserve"> hohen Steuerzinsen ab 2014 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vor </w:t>
      </w:r>
      <w:r w:rsidR="003A57D0">
        <w:rPr>
          <w:rFonts w:ascii="Plain Thin" w:hAnsi="Plain Thin" w:cs="Arial"/>
          <w:b/>
          <w:i/>
          <w:sz w:val="19"/>
          <w:szCs w:val="19"/>
        </w:rPr>
        <w:t xml:space="preserve">kurzem 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für </w:t>
      </w:r>
      <w:r w:rsidR="00596917" w:rsidRPr="00596917">
        <w:rPr>
          <w:rFonts w:ascii="Plain Thin" w:hAnsi="Plain Thin" w:cs="Arial"/>
          <w:b/>
          <w:i/>
          <w:sz w:val="19"/>
          <w:szCs w:val="19"/>
        </w:rPr>
        <w:t xml:space="preserve">verfassungswidrig erklärt. </w:t>
      </w:r>
      <w:r w:rsidR="00596917">
        <w:rPr>
          <w:rFonts w:ascii="Plain Thin" w:hAnsi="Plain Thin" w:cs="Arial"/>
          <w:b/>
          <w:i/>
          <w:sz w:val="19"/>
          <w:szCs w:val="19"/>
        </w:rPr>
        <w:t>„Dennoch wird nicht jeder Steuerpflichtige, der in den letzten Jahren Zinsen auf Steuernachforderungen zahlen musste</w:t>
      </w:r>
      <w:r w:rsidR="00306717">
        <w:rPr>
          <w:rFonts w:ascii="Plain Thin" w:hAnsi="Plain Thin" w:cs="Arial"/>
          <w:b/>
          <w:i/>
          <w:sz w:val="19"/>
          <w:szCs w:val="19"/>
        </w:rPr>
        <w:t>,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 mit einer Erstattung rechnen können</w:t>
      </w:r>
      <w:r w:rsidR="00CF166D">
        <w:rPr>
          <w:rFonts w:ascii="Plain Thin" w:hAnsi="Plain Thin" w:cs="Arial"/>
          <w:b/>
          <w:i/>
          <w:sz w:val="19"/>
          <w:szCs w:val="19"/>
        </w:rPr>
        <w:t>, denn nur für Verzinsungszeiträume ab 2019 muss der Gesetzgeber bis spätestens Ende Juli 2022 eine verfassungskonforme Regelung schaffen</w:t>
      </w:r>
      <w:r w:rsidR="00596917">
        <w:rPr>
          <w:rFonts w:ascii="Plain Thin" w:hAnsi="Plain Thin" w:cs="Arial"/>
          <w:b/>
          <w:i/>
          <w:sz w:val="19"/>
          <w:szCs w:val="19"/>
        </w:rPr>
        <w:t xml:space="preserve">“, erklärt </w:t>
      </w:r>
      <w:r w:rsidR="00596917">
        <w:rPr>
          <w:rFonts w:ascii="Plain Thin" w:hAnsi="Plain Thin" w:cs="Arial"/>
          <w:b/>
          <w:sz w:val="19"/>
          <w:szCs w:val="19"/>
        </w:rPr>
        <w:t xml:space="preserve">Rechtsanwalt und </w:t>
      </w:r>
      <w:r w:rsidR="00596917" w:rsidRPr="00331DE7">
        <w:rPr>
          <w:rFonts w:ascii="Plain Thin" w:hAnsi="Plain Thin" w:cs="Arial"/>
          <w:b/>
          <w:sz w:val="19"/>
          <w:szCs w:val="19"/>
        </w:rPr>
        <w:t xml:space="preserve">Steuerberater Dietrich Loll, Leiter der ETL </w:t>
      </w:r>
      <w:proofErr w:type="spellStart"/>
      <w:r w:rsidR="00596917" w:rsidRPr="00331DE7">
        <w:rPr>
          <w:rFonts w:ascii="Plain Thin" w:hAnsi="Plain Thin" w:cs="Arial"/>
          <w:b/>
          <w:sz w:val="19"/>
          <w:szCs w:val="19"/>
        </w:rPr>
        <w:t>SteuerRecht</w:t>
      </w:r>
      <w:proofErr w:type="spellEnd"/>
      <w:r w:rsidR="00596917" w:rsidRPr="00331DE7">
        <w:rPr>
          <w:rFonts w:ascii="Plain Thin" w:hAnsi="Plain Thin" w:cs="Arial"/>
          <w:b/>
          <w:sz w:val="19"/>
          <w:szCs w:val="19"/>
        </w:rPr>
        <w:t xml:space="preserve"> Berlin.</w:t>
      </w:r>
      <w:r w:rsidR="00596917">
        <w:rPr>
          <w:rFonts w:ascii="Plain Thin" w:hAnsi="Plain Thin" w:cs="Arial"/>
          <w:b/>
          <w:sz w:val="19"/>
          <w:szCs w:val="19"/>
        </w:rPr>
        <w:t xml:space="preserve"> </w:t>
      </w:r>
      <w:r w:rsidR="00596917" w:rsidRPr="00835746">
        <w:rPr>
          <w:rFonts w:ascii="Plain Thin" w:hAnsi="Plain Thin" w:cs="Arial"/>
          <w:b/>
          <w:sz w:val="19"/>
          <w:szCs w:val="19"/>
        </w:rPr>
        <w:t xml:space="preserve"> </w:t>
      </w:r>
    </w:p>
    <w:p w14:paraId="54F35982" w14:textId="1E269720" w:rsidR="00596917" w:rsidRPr="009F5602" w:rsidRDefault="00596917" w:rsidP="00596917">
      <w:pPr>
        <w:spacing w:after="0"/>
        <w:rPr>
          <w:rFonts w:ascii="Plain Thin" w:hAnsi="Plain Thin" w:cs="Arial"/>
          <w:bCs/>
          <w:iCs/>
          <w:sz w:val="19"/>
          <w:szCs w:val="19"/>
        </w:rPr>
      </w:pPr>
    </w:p>
    <w:p w14:paraId="06E9EC11" w14:textId="6CAE7A70" w:rsidR="00596917" w:rsidRPr="002801F8" w:rsidRDefault="009F5602" w:rsidP="00596917">
      <w:pPr>
        <w:spacing w:after="0"/>
        <w:rPr>
          <w:rFonts w:ascii="Plain Thin" w:hAnsi="Plain Thin" w:cs="Arial"/>
          <w:bCs/>
          <w:i/>
          <w:sz w:val="19"/>
          <w:szCs w:val="19"/>
        </w:rPr>
      </w:pPr>
      <w:r>
        <w:rPr>
          <w:rFonts w:ascii="Plain Thin" w:hAnsi="Plain Thin" w:cs="Arial"/>
          <w:bCs/>
          <w:iCs/>
          <w:sz w:val="19"/>
          <w:szCs w:val="19"/>
        </w:rPr>
        <w:t xml:space="preserve">Steuernachzahlungen und -erstattungen werden verzinst. Der Zinslauf beginnt </w:t>
      </w:r>
      <w:r w:rsidRPr="009F5602">
        <w:rPr>
          <w:rFonts w:ascii="Plain Thin" w:hAnsi="Plain Thin" w:cs="Arial"/>
          <w:bCs/>
          <w:iCs/>
          <w:sz w:val="19"/>
          <w:szCs w:val="19"/>
        </w:rPr>
        <w:t>regulär 15 Monate nach Ablauf des Kalenderjahres, für das die Steuer festgesetzt wird. Das heißt: Für die Einkommensteuererklärung 201</w:t>
      </w:r>
      <w:r>
        <w:rPr>
          <w:rFonts w:ascii="Plain Thin" w:hAnsi="Plain Thin" w:cs="Arial"/>
          <w:bCs/>
          <w:iCs/>
          <w:sz w:val="19"/>
          <w:szCs w:val="19"/>
        </w:rPr>
        <w:t>8</w:t>
      </w:r>
      <w:r w:rsidRPr="009F5602">
        <w:rPr>
          <w:rFonts w:ascii="Plain Thin" w:hAnsi="Plain Thin" w:cs="Arial"/>
          <w:bCs/>
          <w:iCs/>
          <w:sz w:val="19"/>
          <w:szCs w:val="19"/>
        </w:rPr>
        <w:t xml:space="preserve"> wurden ab dem 1. April 20</w:t>
      </w:r>
      <w:r>
        <w:rPr>
          <w:rFonts w:ascii="Plain Thin" w:hAnsi="Plain Thin" w:cs="Arial"/>
          <w:bCs/>
          <w:iCs/>
          <w:sz w:val="19"/>
          <w:szCs w:val="19"/>
        </w:rPr>
        <w:t>20</w:t>
      </w:r>
      <w:r w:rsidRPr="009F5602">
        <w:rPr>
          <w:rFonts w:ascii="Plain Thin" w:hAnsi="Plain Thin" w:cs="Arial"/>
          <w:bCs/>
          <w:iCs/>
          <w:sz w:val="19"/>
          <w:szCs w:val="19"/>
        </w:rPr>
        <w:t xml:space="preserve"> monatlich 0,5 </w:t>
      </w:r>
      <w:r w:rsidR="00AD6C43">
        <w:rPr>
          <w:rFonts w:ascii="Plain Thin" w:hAnsi="Plain Thin" w:cs="Arial"/>
          <w:bCs/>
          <w:iCs/>
          <w:sz w:val="19"/>
          <w:szCs w:val="19"/>
        </w:rPr>
        <w:t>Prozent Z</w:t>
      </w:r>
      <w:r w:rsidRPr="009F5602">
        <w:rPr>
          <w:rFonts w:ascii="Plain Thin" w:hAnsi="Plain Thin" w:cs="Arial"/>
          <w:bCs/>
          <w:iCs/>
          <w:sz w:val="19"/>
          <w:szCs w:val="19"/>
        </w:rPr>
        <w:t>insen auf den Steuernachforderungsbetrag fällig.</w:t>
      </w:r>
      <w:r w:rsidR="00AD6C43">
        <w:rPr>
          <w:rFonts w:ascii="Plain Thin" w:hAnsi="Plain Thin" w:cs="Arial"/>
          <w:bCs/>
          <w:iCs/>
          <w:sz w:val="19"/>
          <w:szCs w:val="19"/>
        </w:rPr>
        <w:t xml:space="preserve"> Für 2019 und 2020 hat der Gesetzgeber jedoch coronabedingt die zinsfreie Karenzzeit um 6 Monate bzw. 3 Monate verlängert. Der Zinslauf für 2019 hat daher erst am 1. Oktober 2021 begonnen, der Zinslauf für Steuererklärungen des Jahres 2020 beginnt erst am 1. Juli 2022. </w:t>
      </w:r>
      <w:r w:rsidR="00AD6C43" w:rsidRPr="002801F8">
        <w:rPr>
          <w:rFonts w:ascii="Plain Thin" w:hAnsi="Plain Thin" w:cs="Arial"/>
          <w:bCs/>
          <w:i/>
          <w:sz w:val="19"/>
          <w:szCs w:val="19"/>
        </w:rPr>
        <w:t>„Nicht nur die verlängerte zinsfreie Zeit, sondern vor allem die Entscheidung des Bundesverfassungsgerichts, dass der steuerliche</w:t>
      </w:r>
      <w:r w:rsidR="002801F8" w:rsidRPr="002801F8">
        <w:rPr>
          <w:rFonts w:ascii="Plain Thin" w:hAnsi="Plain Thin" w:cs="Arial"/>
          <w:bCs/>
          <w:i/>
          <w:sz w:val="19"/>
          <w:szCs w:val="19"/>
        </w:rPr>
        <w:t xml:space="preserve"> Zinssatz von </w:t>
      </w:r>
      <w:r w:rsidR="00AD6C43" w:rsidRPr="002801F8">
        <w:rPr>
          <w:rFonts w:ascii="Plain Thin" w:hAnsi="Plain Thin" w:cs="Arial"/>
          <w:bCs/>
          <w:i/>
          <w:sz w:val="19"/>
          <w:szCs w:val="19"/>
        </w:rPr>
        <w:t xml:space="preserve">6 Prozent pro Jahr </w:t>
      </w:r>
      <w:r w:rsidR="002801F8" w:rsidRPr="002801F8">
        <w:rPr>
          <w:rFonts w:ascii="Plain Thin" w:hAnsi="Plain Thin" w:cs="Arial"/>
          <w:bCs/>
          <w:i/>
          <w:sz w:val="19"/>
          <w:szCs w:val="19"/>
        </w:rPr>
        <w:t xml:space="preserve">bereits seit </w:t>
      </w:r>
      <w:r w:rsidR="00530A51">
        <w:rPr>
          <w:rFonts w:ascii="Plain Thin" w:hAnsi="Plain Thin" w:cs="Arial"/>
          <w:bCs/>
          <w:i/>
          <w:sz w:val="19"/>
          <w:szCs w:val="19"/>
        </w:rPr>
        <w:t xml:space="preserve">2014 </w:t>
      </w:r>
      <w:r w:rsidR="002801F8" w:rsidRPr="002801F8">
        <w:rPr>
          <w:rFonts w:ascii="Plain Thin" w:hAnsi="Plain Thin" w:cs="Arial"/>
          <w:bCs/>
          <w:i/>
          <w:sz w:val="19"/>
          <w:szCs w:val="19"/>
        </w:rPr>
        <w:t xml:space="preserve">nicht mehr </w:t>
      </w:r>
      <w:r w:rsidR="00AD6C43" w:rsidRPr="002801F8">
        <w:rPr>
          <w:rFonts w:ascii="Plain Thin" w:hAnsi="Plain Thin" w:cs="Arial"/>
          <w:bCs/>
          <w:i/>
          <w:sz w:val="19"/>
          <w:szCs w:val="19"/>
        </w:rPr>
        <w:t>verfassungs</w:t>
      </w:r>
      <w:r w:rsidR="002801F8" w:rsidRPr="002801F8">
        <w:rPr>
          <w:rFonts w:ascii="Plain Thin" w:hAnsi="Plain Thin" w:cs="Arial"/>
          <w:bCs/>
          <w:i/>
          <w:sz w:val="19"/>
          <w:szCs w:val="19"/>
        </w:rPr>
        <w:t xml:space="preserve">konform ist, </w:t>
      </w:r>
      <w:r w:rsidR="00AD6C43" w:rsidRPr="002801F8">
        <w:rPr>
          <w:rFonts w:ascii="Plain Thin" w:hAnsi="Plain Thin" w:cs="Arial"/>
          <w:bCs/>
          <w:i/>
          <w:sz w:val="19"/>
          <w:szCs w:val="19"/>
        </w:rPr>
        <w:t>sind gute Nachrichten für Steuerzahler</w:t>
      </w:r>
      <w:r w:rsidR="002801F8" w:rsidRPr="002801F8">
        <w:rPr>
          <w:rFonts w:ascii="Plain Thin" w:hAnsi="Plain Thin" w:cs="Arial"/>
          <w:bCs/>
          <w:i/>
          <w:sz w:val="19"/>
          <w:szCs w:val="19"/>
        </w:rPr>
        <w:t xml:space="preserve">“, erläutert </w:t>
      </w:r>
      <w:r w:rsidR="002801F8" w:rsidRPr="002801F8">
        <w:rPr>
          <w:rFonts w:ascii="Plain Thin" w:hAnsi="Plain Thin" w:cs="Arial"/>
          <w:b/>
          <w:i/>
          <w:sz w:val="19"/>
          <w:szCs w:val="19"/>
        </w:rPr>
        <w:t>Rechtsanwalt und Steuerberater Dietrich Lol</w:t>
      </w:r>
      <w:r w:rsidR="002801F8">
        <w:rPr>
          <w:rFonts w:ascii="Plain Thin" w:hAnsi="Plain Thin" w:cs="Arial"/>
          <w:b/>
          <w:i/>
          <w:sz w:val="19"/>
          <w:szCs w:val="19"/>
        </w:rPr>
        <w:t xml:space="preserve">l. </w:t>
      </w:r>
    </w:p>
    <w:p w14:paraId="0D9B6FF3" w14:textId="66D79142" w:rsidR="009F5602" w:rsidRDefault="009F5602" w:rsidP="00596917">
      <w:pPr>
        <w:spacing w:after="0"/>
        <w:rPr>
          <w:rFonts w:ascii="Plain Thin" w:hAnsi="Plain Thin" w:cs="Arial"/>
          <w:bCs/>
          <w:iCs/>
          <w:sz w:val="19"/>
          <w:szCs w:val="19"/>
        </w:rPr>
      </w:pPr>
    </w:p>
    <w:p w14:paraId="395DE403" w14:textId="3BA4DAC7" w:rsidR="00DA36E6" w:rsidRPr="00694F8E" w:rsidRDefault="002801F8" w:rsidP="00DA36E6">
      <w:pPr>
        <w:spacing w:after="0" w:line="240" w:lineRule="auto"/>
        <w:rPr>
          <w:rFonts w:ascii="Plain Thin" w:hAnsi="Plain Thin" w:cs="Arial"/>
          <w:sz w:val="19"/>
          <w:szCs w:val="19"/>
        </w:rPr>
      </w:pPr>
      <w:r>
        <w:rPr>
          <w:rFonts w:ascii="Plain Thin" w:hAnsi="Plain Thin" w:cs="Arial"/>
          <w:bCs/>
          <w:iCs/>
          <w:sz w:val="19"/>
          <w:szCs w:val="19"/>
        </w:rPr>
        <w:t>D</w:t>
      </w:r>
      <w:r w:rsidR="00134E1B">
        <w:rPr>
          <w:rFonts w:ascii="Plain Thin" w:hAnsi="Plain Thin" w:cs="Arial"/>
          <w:bCs/>
          <w:iCs/>
          <w:sz w:val="19"/>
          <w:szCs w:val="19"/>
        </w:rPr>
        <w:t>och</w:t>
      </w:r>
      <w:r>
        <w:rPr>
          <w:rFonts w:ascii="Plain Thin" w:hAnsi="Plain Thin" w:cs="Arial"/>
          <w:bCs/>
          <w:iCs/>
          <w:sz w:val="19"/>
          <w:szCs w:val="19"/>
        </w:rPr>
        <w:t xml:space="preserve"> nicht alle Steuerbescheide</w:t>
      </w:r>
      <w:r w:rsidR="00134E1B">
        <w:rPr>
          <w:rFonts w:ascii="Plain Thin" w:hAnsi="Plain Thin" w:cs="Arial"/>
          <w:bCs/>
          <w:iCs/>
          <w:sz w:val="19"/>
          <w:szCs w:val="19"/>
        </w:rPr>
        <w:t xml:space="preserve"> werden</w:t>
      </w:r>
      <w:r>
        <w:rPr>
          <w:rFonts w:ascii="Plain Thin" w:hAnsi="Plain Thin" w:cs="Arial"/>
          <w:bCs/>
          <w:iCs/>
          <w:sz w:val="19"/>
          <w:szCs w:val="19"/>
        </w:rPr>
        <w:t xml:space="preserve"> korrigiert, denn für Verzinsungszeiträume bis 31. Dezember 2018 bleiben die Zinsbescheide gültig, auch wenn der hohe Zinssatz bereits verfassungswidrig war. Anders sieht es f</w:t>
      </w:r>
      <w:r w:rsidRPr="002801F8">
        <w:rPr>
          <w:rFonts w:ascii="Plain Thin" w:hAnsi="Plain Thin" w:cs="Arial"/>
          <w:bCs/>
          <w:iCs/>
          <w:sz w:val="19"/>
          <w:szCs w:val="19"/>
        </w:rPr>
        <w:t>ür Verzinsungszeiträume ab dem 1. Januar 2019 aus</w:t>
      </w:r>
      <w:r>
        <w:rPr>
          <w:rFonts w:ascii="Plain Thin" w:hAnsi="Plain Thin" w:cs="Arial"/>
          <w:bCs/>
          <w:iCs/>
          <w:sz w:val="19"/>
          <w:szCs w:val="19"/>
        </w:rPr>
        <w:t>, denn</w:t>
      </w:r>
      <w:r w:rsidRPr="002801F8">
        <w:rPr>
          <w:rFonts w:ascii="Plain Thin" w:hAnsi="Plain Thin" w:cs="Arial"/>
          <w:bCs/>
          <w:iCs/>
          <w:sz w:val="19"/>
          <w:szCs w:val="19"/>
        </w:rPr>
        <w:t xml:space="preserve"> hier wurde der Gesetzgeber vom Bundesverfassungsgericht dazu aufgefordert, bis spätestens Ende Juli 2022</w:t>
      </w:r>
      <w:r>
        <w:rPr>
          <w:rFonts w:ascii="Plain Thin" w:hAnsi="Plain Thin" w:cs="Arial"/>
          <w:bCs/>
          <w:iCs/>
          <w:sz w:val="19"/>
          <w:szCs w:val="19"/>
        </w:rPr>
        <w:t xml:space="preserve"> </w:t>
      </w:r>
      <w:r w:rsidRPr="002801F8">
        <w:rPr>
          <w:rFonts w:ascii="Plain Thin" w:hAnsi="Plain Thin" w:cs="Arial"/>
          <w:bCs/>
          <w:iCs/>
          <w:sz w:val="19"/>
          <w:szCs w:val="19"/>
        </w:rPr>
        <w:t>eine neue gesetzliche Regelung zu schaffen</w:t>
      </w:r>
      <w:r>
        <w:rPr>
          <w:rFonts w:ascii="Plain Thin" w:hAnsi="Plain Thin" w:cs="Arial"/>
          <w:bCs/>
          <w:iCs/>
          <w:sz w:val="19"/>
          <w:szCs w:val="19"/>
        </w:rPr>
        <w:t>.</w:t>
      </w:r>
      <w:r w:rsidR="00DA36E6">
        <w:rPr>
          <w:rFonts w:ascii="Plain Thin" w:hAnsi="Plain Thin" w:cs="Arial"/>
          <w:bCs/>
          <w:iCs/>
          <w:sz w:val="19"/>
          <w:szCs w:val="19"/>
        </w:rPr>
        <w:t xml:space="preserve"> </w:t>
      </w:r>
      <w:r w:rsidR="00DA36E6" w:rsidRPr="00694F8E">
        <w:rPr>
          <w:rFonts w:ascii="Plain Thin" w:hAnsi="Plain Thin" w:cs="Arial"/>
          <w:sz w:val="19"/>
          <w:szCs w:val="19"/>
        </w:rPr>
        <w:t xml:space="preserve">Andernfalls könnten die Zinsen für Verzinsungszeiträume ab 1. Januar 2019 nicht mehr wirksam festgesetzt werden. </w:t>
      </w:r>
    </w:p>
    <w:p w14:paraId="44BC6383" w14:textId="77777777" w:rsidR="002801F8" w:rsidRDefault="002801F8" w:rsidP="00596917">
      <w:pPr>
        <w:spacing w:after="0"/>
        <w:rPr>
          <w:rFonts w:ascii="Plain Thin" w:hAnsi="Plain Thin" w:cs="Arial"/>
          <w:bCs/>
          <w:iCs/>
          <w:sz w:val="19"/>
          <w:szCs w:val="19"/>
        </w:rPr>
      </w:pPr>
    </w:p>
    <w:p w14:paraId="4AFC0D26" w14:textId="04F64A34" w:rsidR="00306717" w:rsidRDefault="00694F8E" w:rsidP="00694F8E">
      <w:pPr>
        <w:spacing w:after="0" w:line="240" w:lineRule="auto"/>
        <w:rPr>
          <w:rFonts w:ascii="Plain Thin" w:hAnsi="Plain Thin" w:cs="Arial"/>
          <w:i/>
          <w:iCs/>
          <w:sz w:val="19"/>
          <w:szCs w:val="19"/>
        </w:rPr>
      </w:pPr>
      <w:r w:rsidRPr="00694F8E">
        <w:rPr>
          <w:rFonts w:ascii="Plain Thin" w:hAnsi="Plain Thin" w:cs="Arial"/>
          <w:sz w:val="19"/>
          <w:szCs w:val="19"/>
        </w:rPr>
        <w:t xml:space="preserve">Für </w:t>
      </w:r>
      <w:r>
        <w:rPr>
          <w:rFonts w:ascii="Plain Thin" w:hAnsi="Plain Thin" w:cs="Arial"/>
          <w:sz w:val="19"/>
          <w:szCs w:val="19"/>
        </w:rPr>
        <w:t xml:space="preserve">bereits ergangene </w:t>
      </w:r>
      <w:r w:rsidRPr="00694F8E">
        <w:rPr>
          <w:rFonts w:ascii="Plain Thin" w:hAnsi="Plain Thin" w:cs="Arial"/>
          <w:sz w:val="19"/>
          <w:szCs w:val="19"/>
        </w:rPr>
        <w:t xml:space="preserve">Zinsbescheide über Verzinsungszeiträume ab dem 1. Januar 2019 ergeben sich </w:t>
      </w:r>
      <w:r>
        <w:rPr>
          <w:rFonts w:ascii="Plain Thin" w:hAnsi="Plain Thin" w:cs="Arial"/>
          <w:sz w:val="19"/>
          <w:szCs w:val="19"/>
        </w:rPr>
        <w:t xml:space="preserve">dennoch </w:t>
      </w:r>
      <w:r w:rsidRPr="00694F8E">
        <w:rPr>
          <w:rFonts w:ascii="Plain Thin" w:hAnsi="Plain Thin" w:cs="Arial"/>
          <w:sz w:val="19"/>
          <w:szCs w:val="19"/>
        </w:rPr>
        <w:t>zunächst keine Änderungen. Es kommt nicht automatisch zur vollständigen Erstattung der bisher festgesetzten Zinsen</w:t>
      </w:r>
      <w:r>
        <w:rPr>
          <w:rFonts w:ascii="Plain Thin" w:hAnsi="Plain Thin" w:cs="Arial"/>
          <w:sz w:val="19"/>
          <w:szCs w:val="19"/>
        </w:rPr>
        <w:t>. „</w:t>
      </w:r>
      <w:r w:rsidRPr="00DA36E6">
        <w:rPr>
          <w:rFonts w:ascii="Plain Thin" w:hAnsi="Plain Thin" w:cs="Arial"/>
          <w:i/>
          <w:iCs/>
          <w:sz w:val="19"/>
          <w:szCs w:val="19"/>
        </w:rPr>
        <w:t>Wer jedoch einen erstmaligen Zinsbescheid erhält, der Verzinsungszeiträume ab dem 1. Januar 2019 betrifft, der muss aufpassen und gegebenenfalls ab sofort auch Geld zurücklegen</w:t>
      </w:r>
      <w:r w:rsidR="00DA36E6" w:rsidRPr="00DA36E6">
        <w:rPr>
          <w:rFonts w:ascii="Plain Thin" w:hAnsi="Plain Thin" w:cs="Arial"/>
          <w:i/>
          <w:iCs/>
          <w:sz w:val="19"/>
          <w:szCs w:val="19"/>
        </w:rPr>
        <w:t>“</w:t>
      </w:r>
      <w:r w:rsidRPr="00DA36E6">
        <w:rPr>
          <w:rFonts w:ascii="Plain Thin" w:hAnsi="Plain Thin" w:cs="Arial"/>
          <w:i/>
          <w:iCs/>
          <w:sz w:val="19"/>
          <w:szCs w:val="19"/>
        </w:rPr>
        <w:t xml:space="preserve">, rät </w:t>
      </w:r>
      <w:r w:rsidRPr="00DA36E6">
        <w:rPr>
          <w:rFonts w:ascii="Plain Thin" w:hAnsi="Plain Thin" w:cs="Arial"/>
          <w:b/>
          <w:i/>
          <w:iCs/>
          <w:sz w:val="19"/>
          <w:szCs w:val="19"/>
        </w:rPr>
        <w:t>Rechtsanwalt und Steuerberater Dietrich Loll</w:t>
      </w:r>
      <w:r w:rsidR="00DA36E6">
        <w:rPr>
          <w:rFonts w:ascii="Plain Thin" w:hAnsi="Plain Thin" w:cs="Arial"/>
          <w:b/>
          <w:i/>
          <w:iCs/>
          <w:sz w:val="19"/>
          <w:szCs w:val="19"/>
        </w:rPr>
        <w:t xml:space="preserve">. </w:t>
      </w:r>
      <w:r w:rsidR="00DA36E6" w:rsidRPr="00DA36E6">
        <w:rPr>
          <w:rFonts w:ascii="Plain Thin" w:hAnsi="Plain Thin" w:cs="Arial"/>
          <w:bCs/>
          <w:i/>
          <w:iCs/>
          <w:sz w:val="19"/>
          <w:szCs w:val="19"/>
        </w:rPr>
        <w:t>„</w:t>
      </w:r>
      <w:r w:rsidR="00306717">
        <w:rPr>
          <w:rFonts w:ascii="Plain Thin" w:hAnsi="Plain Thin" w:cs="Arial"/>
          <w:bCs/>
          <w:i/>
          <w:iCs/>
          <w:sz w:val="19"/>
          <w:szCs w:val="19"/>
        </w:rPr>
        <w:t>D</w:t>
      </w:r>
      <w:r w:rsidR="00306717" w:rsidRPr="00DA36E6">
        <w:rPr>
          <w:rFonts w:ascii="Plain Thin" w:hAnsi="Plain Thin" w:cs="Arial"/>
          <w:bCs/>
          <w:i/>
          <w:iCs/>
          <w:sz w:val="19"/>
          <w:szCs w:val="19"/>
        </w:rPr>
        <w:t>enn</w:t>
      </w:r>
      <w:r w:rsidR="00306717" w:rsidRPr="00694F8E">
        <w:rPr>
          <w:rFonts w:ascii="Plain Thin" w:hAnsi="Plain Thin" w:cs="Arial"/>
          <w:sz w:val="19"/>
          <w:szCs w:val="19"/>
        </w:rPr>
        <w:t xml:space="preserve"> </w:t>
      </w:r>
      <w:r w:rsidR="00DA36E6" w:rsidRPr="00DA36E6">
        <w:rPr>
          <w:rFonts w:ascii="Plain Thin" w:hAnsi="Plain Thin" w:cs="Arial"/>
          <w:i/>
          <w:iCs/>
          <w:sz w:val="19"/>
          <w:szCs w:val="19"/>
        </w:rPr>
        <w:t xml:space="preserve">bis zur Neuregelung durch den Gesetzgeber </w:t>
      </w:r>
      <w:r w:rsidR="00DA36E6">
        <w:rPr>
          <w:rFonts w:ascii="Plain Thin" w:hAnsi="Plain Thin" w:cs="Arial"/>
          <w:i/>
          <w:iCs/>
          <w:sz w:val="19"/>
          <w:szCs w:val="19"/>
        </w:rPr>
        <w:t>werden</w:t>
      </w:r>
      <w:r w:rsidR="00530A51">
        <w:rPr>
          <w:rFonts w:ascii="Plain Thin" w:hAnsi="Plain Thin" w:cs="Arial"/>
          <w:i/>
          <w:iCs/>
          <w:sz w:val="19"/>
          <w:szCs w:val="19"/>
        </w:rPr>
        <w:t xml:space="preserve"> alle erstmaligen</w:t>
      </w:r>
      <w:r w:rsidR="00DA36E6">
        <w:rPr>
          <w:rFonts w:ascii="Plain Thin" w:hAnsi="Plain Thin" w:cs="Arial"/>
          <w:i/>
          <w:iCs/>
          <w:sz w:val="19"/>
          <w:szCs w:val="19"/>
        </w:rPr>
        <w:t xml:space="preserve"> </w:t>
      </w:r>
      <w:r w:rsidRPr="00DA36E6">
        <w:rPr>
          <w:rFonts w:ascii="Plain Thin" w:hAnsi="Plain Thin" w:cs="Arial"/>
          <w:i/>
          <w:iCs/>
          <w:sz w:val="19"/>
          <w:szCs w:val="19"/>
        </w:rPr>
        <w:t>Zinsbescheide mit null Euro und einem entsprechenden Vorläufigkeitsvermerk festgesetzt.</w:t>
      </w:r>
      <w:r w:rsidR="00134E1B">
        <w:rPr>
          <w:rFonts w:ascii="Plain Thin" w:hAnsi="Plain Thin" w:cs="Arial"/>
          <w:i/>
          <w:iCs/>
          <w:sz w:val="19"/>
          <w:szCs w:val="19"/>
        </w:rPr>
        <w:t>“</w:t>
      </w:r>
      <w:r w:rsidRPr="00DA36E6">
        <w:rPr>
          <w:rFonts w:ascii="Plain Thin" w:hAnsi="Plain Thin" w:cs="Arial"/>
          <w:i/>
          <w:iCs/>
          <w:sz w:val="19"/>
          <w:szCs w:val="19"/>
        </w:rPr>
        <w:t xml:space="preserve"> </w:t>
      </w:r>
    </w:p>
    <w:p w14:paraId="58DE0CCE" w14:textId="77777777" w:rsidR="00306717" w:rsidRDefault="00306717" w:rsidP="00694F8E">
      <w:pPr>
        <w:spacing w:after="0" w:line="240" w:lineRule="auto"/>
        <w:rPr>
          <w:rFonts w:ascii="Plain Thin" w:hAnsi="Plain Thin" w:cs="Arial"/>
          <w:i/>
          <w:iCs/>
          <w:sz w:val="19"/>
          <w:szCs w:val="19"/>
        </w:rPr>
      </w:pPr>
    </w:p>
    <w:p w14:paraId="774C179E" w14:textId="6CF7DFAC" w:rsidR="00613BF2" w:rsidRDefault="00694F8E" w:rsidP="00694F8E">
      <w:pPr>
        <w:spacing w:after="0" w:line="240" w:lineRule="auto"/>
        <w:rPr>
          <w:rFonts w:ascii="Plain Thin" w:hAnsi="Plain Thin" w:cs="Arial"/>
          <w:sz w:val="19"/>
          <w:szCs w:val="19"/>
        </w:rPr>
      </w:pPr>
      <w:r w:rsidRPr="00134E1B">
        <w:rPr>
          <w:rFonts w:ascii="Plain Thin" w:hAnsi="Plain Thin" w:cs="Arial"/>
          <w:sz w:val="19"/>
          <w:szCs w:val="19"/>
        </w:rPr>
        <w:t>Sobald der Gesetzgeber das Gesetz geändert hat, wird die Finanzverwaltung die Zinsbescheide von Amts wegen anpassen.</w:t>
      </w:r>
      <w:r w:rsidRPr="00694F8E">
        <w:rPr>
          <w:rFonts w:ascii="Plain Thin" w:hAnsi="Plain Thin" w:cs="Arial"/>
          <w:sz w:val="19"/>
          <w:szCs w:val="19"/>
        </w:rPr>
        <w:t xml:space="preserve"> </w:t>
      </w:r>
      <w:r w:rsidR="00DA36E6">
        <w:rPr>
          <w:rFonts w:ascii="Plain Thin" w:hAnsi="Plain Thin" w:cs="Arial"/>
          <w:sz w:val="19"/>
          <w:szCs w:val="19"/>
        </w:rPr>
        <w:t xml:space="preserve">Wurden </w:t>
      </w:r>
      <w:r w:rsidR="00134E1B">
        <w:rPr>
          <w:rFonts w:ascii="Plain Thin" w:hAnsi="Plain Thin" w:cs="Arial"/>
          <w:sz w:val="19"/>
          <w:szCs w:val="19"/>
        </w:rPr>
        <w:t xml:space="preserve">auf Steuernachzahlungen </w:t>
      </w:r>
      <w:r w:rsidR="00DA36E6">
        <w:rPr>
          <w:rFonts w:ascii="Plain Thin" w:hAnsi="Plain Thin" w:cs="Arial"/>
          <w:sz w:val="19"/>
          <w:szCs w:val="19"/>
        </w:rPr>
        <w:t xml:space="preserve">bisher </w:t>
      </w:r>
      <w:r w:rsidR="00134E1B">
        <w:rPr>
          <w:rFonts w:ascii="Plain Thin" w:hAnsi="Plain Thin" w:cs="Arial"/>
          <w:sz w:val="19"/>
          <w:szCs w:val="19"/>
        </w:rPr>
        <w:t xml:space="preserve">6 Prozent Zinsen festgesetzt, </w:t>
      </w:r>
      <w:r w:rsidR="00134E1B">
        <w:rPr>
          <w:rFonts w:ascii="Plain Thin" w:hAnsi="Plain Thin" w:cs="Arial"/>
          <w:sz w:val="19"/>
          <w:szCs w:val="19"/>
        </w:rPr>
        <w:lastRenderedPageBreak/>
        <w:t>kommt es dann zu einer Erstattung</w:t>
      </w:r>
      <w:r w:rsidR="00306717">
        <w:rPr>
          <w:rFonts w:ascii="Plain Thin" w:hAnsi="Plain Thin" w:cs="Arial"/>
          <w:sz w:val="19"/>
          <w:szCs w:val="19"/>
        </w:rPr>
        <w:t xml:space="preserve">. Wurden </w:t>
      </w:r>
      <w:r w:rsidR="00134E1B">
        <w:rPr>
          <w:rFonts w:ascii="Plain Thin" w:hAnsi="Plain Thin" w:cs="Arial"/>
          <w:sz w:val="19"/>
          <w:szCs w:val="19"/>
        </w:rPr>
        <w:t xml:space="preserve">hingegen Null Euro festgesetzt oder auf eine Steuererstattung 6 Prozent Zinsen gezahlt, wird es zu </w:t>
      </w:r>
      <w:r w:rsidRPr="00694F8E">
        <w:rPr>
          <w:rFonts w:ascii="Plain Thin" w:hAnsi="Plain Thin" w:cs="Arial"/>
          <w:sz w:val="19"/>
          <w:szCs w:val="19"/>
        </w:rPr>
        <w:t xml:space="preserve">für Verzinsungszeiträume vom 1. Januar 2019 bis zum Zeitpunkt der Steuerfestsetzung noch zu Zinsnachzahlungen </w:t>
      </w:r>
      <w:r w:rsidR="00134E1B">
        <w:rPr>
          <w:rFonts w:ascii="Plain Thin" w:hAnsi="Plain Thin" w:cs="Arial"/>
          <w:sz w:val="19"/>
          <w:szCs w:val="19"/>
        </w:rPr>
        <w:t xml:space="preserve">bzw. zur Rückzahlung von Erstattungszinsen </w:t>
      </w:r>
      <w:r w:rsidRPr="00694F8E">
        <w:rPr>
          <w:rFonts w:ascii="Plain Thin" w:hAnsi="Plain Thin" w:cs="Arial"/>
          <w:sz w:val="19"/>
          <w:szCs w:val="19"/>
        </w:rPr>
        <w:t>kommen</w:t>
      </w:r>
      <w:r w:rsidR="00613BF2">
        <w:rPr>
          <w:rFonts w:ascii="Plain Thin" w:hAnsi="Plain Thin" w:cs="Arial"/>
          <w:sz w:val="19"/>
          <w:szCs w:val="19"/>
        </w:rPr>
        <w:t>.</w:t>
      </w:r>
    </w:p>
    <w:p w14:paraId="65E9FB36" w14:textId="77777777" w:rsidR="00613BF2" w:rsidRDefault="00613BF2" w:rsidP="00694F8E">
      <w:pPr>
        <w:spacing w:after="0" w:line="240" w:lineRule="auto"/>
        <w:rPr>
          <w:rFonts w:ascii="Plain Thin" w:hAnsi="Plain Thin" w:cs="Arial"/>
          <w:sz w:val="19"/>
          <w:szCs w:val="19"/>
        </w:rPr>
      </w:pPr>
    </w:p>
    <w:p w14:paraId="3F124F14" w14:textId="77777777" w:rsidR="0075045B" w:rsidRDefault="0075045B" w:rsidP="00BC49A3">
      <w:pPr>
        <w:spacing w:after="0" w:line="240" w:lineRule="auto"/>
        <w:rPr>
          <w:rFonts w:ascii="Plain Thin" w:hAnsi="Plain Thin" w:cs="Arial"/>
          <w:sz w:val="19"/>
          <w:szCs w:val="19"/>
        </w:rPr>
      </w:pPr>
    </w:p>
    <w:p w14:paraId="56F437D1" w14:textId="77777777" w:rsidR="0075045B" w:rsidRDefault="0075045B" w:rsidP="0075045B">
      <w:pPr>
        <w:spacing w:after="0" w:line="240" w:lineRule="auto"/>
        <w:contextualSpacing/>
        <w:jc w:val="both"/>
        <w:rPr>
          <w:rFonts w:ascii="Plain Thin" w:hAnsi="Plain Thin"/>
          <w:sz w:val="16"/>
          <w:szCs w:val="16"/>
        </w:rPr>
      </w:pPr>
      <w:r w:rsidRPr="007079FE">
        <w:rPr>
          <w:rFonts w:ascii="Plain Thin" w:hAnsi="Plain Thin"/>
          <w:sz w:val="16"/>
          <w:szCs w:val="16"/>
        </w:rPr>
        <w:t xml:space="preserve">Die </w:t>
      </w:r>
      <w:r w:rsidRPr="007079FE">
        <w:rPr>
          <w:rFonts w:ascii="Plain Thin" w:hAnsi="Plain Thin"/>
          <w:b/>
          <w:sz w:val="16"/>
          <w:szCs w:val="16"/>
        </w:rPr>
        <w:t>ETL-Gruppe</w:t>
      </w:r>
      <w:r w:rsidRPr="007079FE">
        <w:rPr>
          <w:rFonts w:ascii="Plain Thin" w:hAnsi="Plain Thin"/>
          <w:sz w:val="16"/>
          <w:szCs w:val="16"/>
        </w:rPr>
        <w:t xml:space="preserve"> ist in Deutschland mit über 870 Kanzleien vertreten und darüber hina</w:t>
      </w:r>
      <w:r>
        <w:rPr>
          <w:rFonts w:ascii="Plain Thin" w:hAnsi="Plain Thin"/>
          <w:sz w:val="16"/>
          <w:szCs w:val="16"/>
        </w:rPr>
        <w:t>us in 50 Ländern weltweit mit</w:t>
      </w:r>
      <w:r>
        <w:rPr>
          <w:rFonts w:ascii="Plain Thin" w:hAnsi="Plain Thin"/>
          <w:sz w:val="16"/>
          <w:szCs w:val="16"/>
        </w:rPr>
        <w:br/>
      </w:r>
      <w:r w:rsidRPr="007079FE">
        <w:rPr>
          <w:rFonts w:ascii="Plain Thin" w:hAnsi="Plain Thin"/>
          <w:sz w:val="16"/>
          <w:szCs w:val="16"/>
        </w:rPr>
        <w:t>250 Kanzleien präsent. ETL ist Marktführer im Bereich Steuerberatung und gehört zu den Top 5 der Wirtschaftsprüfungs- und Steuerberatungsgesellschaften in Deutschland. Die Unternehmensgruppe erwirtschaftet mit ihren Geschäftsbereichen Steuerberatung, Wirtschaftsprüfung, Rechtsberatung, Unternehmensberatung und IT bundesweit einen Gruppenumsatz von über 9</w:t>
      </w:r>
      <w:r>
        <w:rPr>
          <w:rFonts w:ascii="Plain Thin" w:hAnsi="Plain Thin"/>
          <w:sz w:val="16"/>
          <w:szCs w:val="16"/>
        </w:rPr>
        <w:t>79</w:t>
      </w:r>
      <w:r w:rsidRPr="007079FE">
        <w:rPr>
          <w:rFonts w:ascii="Plain Thin" w:hAnsi="Plain Thin"/>
          <w:sz w:val="16"/>
          <w:szCs w:val="16"/>
        </w:rPr>
        <w:t xml:space="preserve"> Mio. Euro. Insgesamt betreuen über 10.000 M</w:t>
      </w:r>
      <w:r>
        <w:rPr>
          <w:rFonts w:ascii="Plain Thin" w:hAnsi="Plain Thin"/>
          <w:sz w:val="16"/>
          <w:szCs w:val="16"/>
        </w:rPr>
        <w:t>itarbeiter – darunter mehr als</w:t>
      </w:r>
      <w:r>
        <w:rPr>
          <w:rFonts w:ascii="Plain Thin" w:hAnsi="Plain Thin"/>
          <w:sz w:val="16"/>
          <w:szCs w:val="16"/>
        </w:rPr>
        <w:br/>
      </w:r>
      <w:r w:rsidRPr="007079FE">
        <w:rPr>
          <w:rFonts w:ascii="Plain Thin" w:hAnsi="Plain Thin"/>
          <w:sz w:val="16"/>
          <w:szCs w:val="16"/>
        </w:rPr>
        <w:t>1.500 Steuerberater, Rechtsanwälte, Wirtschaftsprüfer und Unternehmensberater – überall in Deutschl</w:t>
      </w:r>
      <w:r>
        <w:rPr>
          <w:rFonts w:ascii="Plain Thin" w:hAnsi="Plain Thin"/>
          <w:sz w:val="16"/>
          <w:szCs w:val="16"/>
        </w:rPr>
        <w:t>and</w:t>
      </w:r>
      <w:r>
        <w:rPr>
          <w:rFonts w:ascii="Plain Thin" w:hAnsi="Plain Thin"/>
          <w:sz w:val="16"/>
          <w:szCs w:val="16"/>
        </w:rPr>
        <w:br/>
      </w:r>
      <w:r w:rsidRPr="007079FE">
        <w:rPr>
          <w:rFonts w:ascii="Plain Thin" w:hAnsi="Plain Thin"/>
          <w:sz w:val="16"/>
          <w:szCs w:val="16"/>
        </w:rPr>
        <w:t>mehr als 2</w:t>
      </w:r>
      <w:r>
        <w:rPr>
          <w:rFonts w:ascii="Plain Thin" w:hAnsi="Plain Thin"/>
          <w:sz w:val="16"/>
          <w:szCs w:val="16"/>
        </w:rPr>
        <w:t>1</w:t>
      </w:r>
      <w:r w:rsidRPr="007079FE">
        <w:rPr>
          <w:rFonts w:ascii="Plain Thin" w:hAnsi="Plain Thin"/>
          <w:sz w:val="16"/>
          <w:szCs w:val="16"/>
        </w:rPr>
        <w:t>0.000 Mandanten.</w:t>
      </w:r>
    </w:p>
    <w:p w14:paraId="720E42C9" w14:textId="77777777" w:rsidR="0075045B" w:rsidRDefault="0075045B" w:rsidP="0075045B">
      <w:pPr>
        <w:spacing w:before="360" w:after="0" w:line="240" w:lineRule="auto"/>
        <w:contextualSpacing/>
        <w:jc w:val="both"/>
        <w:rPr>
          <w:rFonts w:ascii="Plain Thin" w:hAnsi="Plain Thin"/>
          <w:b/>
          <w:sz w:val="16"/>
          <w:szCs w:val="16"/>
        </w:rPr>
      </w:pPr>
    </w:p>
    <w:p w14:paraId="28250E82" w14:textId="77777777" w:rsidR="0075045B" w:rsidRPr="007079FE" w:rsidRDefault="0075045B" w:rsidP="0075045B">
      <w:pPr>
        <w:spacing w:before="360" w:after="0" w:line="240" w:lineRule="auto"/>
        <w:contextualSpacing/>
        <w:jc w:val="both"/>
        <w:rPr>
          <w:rFonts w:ascii="Plain Thin" w:hAnsi="Plain Thin"/>
          <w:b/>
          <w:sz w:val="16"/>
          <w:szCs w:val="16"/>
        </w:rPr>
      </w:pPr>
      <w:r w:rsidRPr="007079FE">
        <w:rPr>
          <w:rFonts w:ascii="Plain Thin" w:hAnsi="Plain Thin"/>
          <w:b/>
          <w:sz w:val="16"/>
          <w:szCs w:val="16"/>
        </w:rPr>
        <w:t>Pressekontakt</w:t>
      </w:r>
    </w:p>
    <w:p w14:paraId="30AA63E0" w14:textId="77777777" w:rsidR="0075045B" w:rsidRPr="007079FE" w:rsidRDefault="0075045B" w:rsidP="0075045B">
      <w:pPr>
        <w:spacing w:after="0" w:line="240" w:lineRule="auto"/>
        <w:contextualSpacing/>
        <w:jc w:val="both"/>
        <w:rPr>
          <w:rFonts w:ascii="Plain Thin" w:hAnsi="Plain Thin" w:cs="Calibri Light"/>
          <w:sz w:val="16"/>
          <w:szCs w:val="16"/>
        </w:rPr>
      </w:pPr>
      <w:r>
        <w:rPr>
          <w:rFonts w:ascii="Plain Thin" w:hAnsi="Plain Thin" w:cs="Calibri Light"/>
          <w:sz w:val="16"/>
          <w:szCs w:val="16"/>
        </w:rPr>
        <w:t>Danyal Alaybeyoglu</w:t>
      </w:r>
      <w:r w:rsidRPr="007079FE">
        <w:rPr>
          <w:rFonts w:ascii="Plain Thin" w:hAnsi="Plain Thin" w:cs="Calibri Light"/>
          <w:sz w:val="16"/>
          <w:szCs w:val="16"/>
        </w:rPr>
        <w:t xml:space="preserve">, Tel.: 030 22 64 02 </w:t>
      </w:r>
      <w:r>
        <w:rPr>
          <w:rFonts w:ascii="Plain Thin" w:hAnsi="Plain Thin" w:cs="Calibri Light"/>
          <w:sz w:val="16"/>
          <w:szCs w:val="16"/>
        </w:rPr>
        <w:t>3</w:t>
      </w:r>
      <w:r w:rsidRPr="007079FE">
        <w:rPr>
          <w:rFonts w:ascii="Plain Thin" w:hAnsi="Plain Thin" w:cs="Calibri Light"/>
          <w:sz w:val="16"/>
          <w:szCs w:val="16"/>
        </w:rPr>
        <w:t xml:space="preserve">0, E-Mail: </w:t>
      </w:r>
      <w:r>
        <w:rPr>
          <w:rFonts w:ascii="Plain Thin" w:hAnsi="Plain Thin" w:cs="Calibri Light"/>
          <w:sz w:val="16"/>
          <w:szCs w:val="16"/>
        </w:rPr>
        <w:t>danyal.alaybeyoglu</w:t>
      </w:r>
      <w:r w:rsidRPr="007079FE">
        <w:rPr>
          <w:rFonts w:ascii="Plain Thin" w:hAnsi="Plain Thin" w:cs="Calibri Light"/>
          <w:sz w:val="16"/>
          <w:szCs w:val="16"/>
        </w:rPr>
        <w:t>@etl.de</w:t>
      </w:r>
      <w:r>
        <w:rPr>
          <w:rFonts w:ascii="Plain Thin" w:hAnsi="Plain Thin" w:cs="Calibri Light"/>
          <w:sz w:val="16"/>
          <w:szCs w:val="16"/>
        </w:rPr>
        <w:t xml:space="preserve">, </w:t>
      </w:r>
      <w:r w:rsidRPr="007079FE">
        <w:rPr>
          <w:rFonts w:ascii="Plain Thin" w:hAnsi="Plain Thin" w:cs="Calibri Light"/>
          <w:sz w:val="16"/>
          <w:szCs w:val="16"/>
        </w:rPr>
        <w:t>ETL, Mauerstraße 86-88, 10117 Berlin, www.etl.de</w:t>
      </w:r>
    </w:p>
    <w:p w14:paraId="460EEA38" w14:textId="77777777" w:rsidR="0075045B" w:rsidRDefault="0075045B" w:rsidP="00BC49A3">
      <w:pPr>
        <w:spacing w:after="0" w:line="240" w:lineRule="auto"/>
        <w:rPr>
          <w:rFonts w:ascii="Plain Thin" w:hAnsi="Plain Thin" w:cs="Arial"/>
          <w:sz w:val="19"/>
          <w:szCs w:val="19"/>
        </w:rPr>
      </w:pPr>
    </w:p>
    <w:p w14:paraId="3543080E" w14:textId="77777777" w:rsidR="0075045B" w:rsidRDefault="0075045B" w:rsidP="00BC49A3">
      <w:pPr>
        <w:spacing w:after="0" w:line="240" w:lineRule="auto"/>
        <w:rPr>
          <w:rFonts w:ascii="Plain Thin" w:hAnsi="Plain Thin" w:cs="Arial"/>
          <w:sz w:val="19"/>
          <w:szCs w:val="19"/>
        </w:rPr>
      </w:pPr>
    </w:p>
    <w:p w14:paraId="5D9F3425" w14:textId="3023F663" w:rsidR="00A2388D" w:rsidRPr="003C3491" w:rsidRDefault="00BC49A3" w:rsidP="00613BF2">
      <w:pPr>
        <w:spacing w:after="0" w:line="240" w:lineRule="auto"/>
        <w:rPr>
          <w:rFonts w:ascii="Plain Thin" w:hAnsi="Plain Thin" w:cs="Calibri Light"/>
          <w:color w:val="FF0000"/>
          <w:sz w:val="19"/>
          <w:szCs w:val="19"/>
        </w:rPr>
      </w:pPr>
      <w:r w:rsidRPr="00BC49A3">
        <w:rPr>
          <w:rFonts w:ascii="Plain Thin" w:hAnsi="Plain Thin" w:cs="Arial"/>
          <w:sz w:val="19"/>
          <w:szCs w:val="19"/>
        </w:rPr>
        <w:br/>
      </w:r>
    </w:p>
    <w:p w14:paraId="68C2767F" w14:textId="77777777" w:rsidR="0075045B" w:rsidRPr="007079FE" w:rsidRDefault="0075045B">
      <w:pPr>
        <w:spacing w:after="0" w:line="240" w:lineRule="auto"/>
        <w:contextualSpacing/>
        <w:jc w:val="both"/>
        <w:rPr>
          <w:rFonts w:ascii="Plain Thin" w:hAnsi="Plain Thin" w:cs="Calibri Light"/>
          <w:sz w:val="16"/>
          <w:szCs w:val="16"/>
        </w:rPr>
      </w:pPr>
    </w:p>
    <w:sectPr w:rsidR="0075045B" w:rsidRPr="007079FE" w:rsidSect="00F10B3E">
      <w:headerReference w:type="default" r:id="rId9"/>
      <w:pgSz w:w="11906" w:h="16838"/>
      <w:pgMar w:top="1418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57B5" w14:textId="77777777" w:rsidR="009E53D3" w:rsidRDefault="009E53D3" w:rsidP="00F601E5">
      <w:pPr>
        <w:spacing w:after="0" w:line="240" w:lineRule="auto"/>
      </w:pPr>
      <w:r>
        <w:separator/>
      </w:r>
    </w:p>
  </w:endnote>
  <w:endnote w:type="continuationSeparator" w:id="0">
    <w:p w14:paraId="17D21141" w14:textId="77777777" w:rsidR="009E53D3" w:rsidRDefault="009E53D3" w:rsidP="00F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A37E" w14:textId="77777777" w:rsidR="009E53D3" w:rsidRDefault="009E53D3" w:rsidP="00F601E5">
      <w:pPr>
        <w:spacing w:after="0" w:line="240" w:lineRule="auto"/>
      </w:pPr>
      <w:r>
        <w:separator/>
      </w:r>
    </w:p>
  </w:footnote>
  <w:footnote w:type="continuationSeparator" w:id="0">
    <w:p w14:paraId="69789CD4" w14:textId="77777777" w:rsidR="009E53D3" w:rsidRDefault="009E53D3" w:rsidP="00F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87F7" w14:textId="77777777" w:rsidR="00F601E5" w:rsidRDefault="00F601E5" w:rsidP="00CC3661">
    <w:pPr>
      <w:pStyle w:val="Kopfzeile"/>
      <w:ind w:righ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2BE"/>
    <w:multiLevelType w:val="hybridMultilevel"/>
    <w:tmpl w:val="88DE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36DD"/>
    <w:multiLevelType w:val="hybridMultilevel"/>
    <w:tmpl w:val="54DE2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D0959"/>
    <w:multiLevelType w:val="hybridMultilevel"/>
    <w:tmpl w:val="51BE7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6"/>
    <w:rsid w:val="00000FF8"/>
    <w:rsid w:val="00006588"/>
    <w:rsid w:val="00015226"/>
    <w:rsid w:val="000308B3"/>
    <w:rsid w:val="000322EC"/>
    <w:rsid w:val="000374F7"/>
    <w:rsid w:val="0004003A"/>
    <w:rsid w:val="000452A2"/>
    <w:rsid w:val="00045508"/>
    <w:rsid w:val="00061561"/>
    <w:rsid w:val="000673F1"/>
    <w:rsid w:val="00077904"/>
    <w:rsid w:val="000779F7"/>
    <w:rsid w:val="00083E93"/>
    <w:rsid w:val="00083F35"/>
    <w:rsid w:val="00094BAC"/>
    <w:rsid w:val="000C318C"/>
    <w:rsid w:val="000C7455"/>
    <w:rsid w:val="000D3FA2"/>
    <w:rsid w:val="000E3E36"/>
    <w:rsid w:val="000E5DF9"/>
    <w:rsid w:val="000F3D16"/>
    <w:rsid w:val="001037ED"/>
    <w:rsid w:val="00111D56"/>
    <w:rsid w:val="00126E29"/>
    <w:rsid w:val="00130381"/>
    <w:rsid w:val="001316E8"/>
    <w:rsid w:val="00134E1B"/>
    <w:rsid w:val="00137090"/>
    <w:rsid w:val="00165A43"/>
    <w:rsid w:val="0017462A"/>
    <w:rsid w:val="00174ED1"/>
    <w:rsid w:val="0018199B"/>
    <w:rsid w:val="0018287E"/>
    <w:rsid w:val="001A459C"/>
    <w:rsid w:val="001B3650"/>
    <w:rsid w:val="001B44F3"/>
    <w:rsid w:val="001B5649"/>
    <w:rsid w:val="001D024D"/>
    <w:rsid w:val="001D18F5"/>
    <w:rsid w:val="001D3E4E"/>
    <w:rsid w:val="001D3F7A"/>
    <w:rsid w:val="0020371B"/>
    <w:rsid w:val="00212D5B"/>
    <w:rsid w:val="0023329D"/>
    <w:rsid w:val="00240425"/>
    <w:rsid w:val="002578D6"/>
    <w:rsid w:val="00261E74"/>
    <w:rsid w:val="0026710F"/>
    <w:rsid w:val="0027627C"/>
    <w:rsid w:val="002801F8"/>
    <w:rsid w:val="00283481"/>
    <w:rsid w:val="00290671"/>
    <w:rsid w:val="00293BE9"/>
    <w:rsid w:val="002943BA"/>
    <w:rsid w:val="002A10D1"/>
    <w:rsid w:val="002A45A2"/>
    <w:rsid w:val="002C7D15"/>
    <w:rsid w:val="002D2F81"/>
    <w:rsid w:val="002E6734"/>
    <w:rsid w:val="002E788F"/>
    <w:rsid w:val="002F2F5C"/>
    <w:rsid w:val="00300DF1"/>
    <w:rsid w:val="00300EBF"/>
    <w:rsid w:val="00306717"/>
    <w:rsid w:val="00331DE7"/>
    <w:rsid w:val="00346B4D"/>
    <w:rsid w:val="00363EC8"/>
    <w:rsid w:val="00366A31"/>
    <w:rsid w:val="00374A48"/>
    <w:rsid w:val="00385A39"/>
    <w:rsid w:val="0038778C"/>
    <w:rsid w:val="00394064"/>
    <w:rsid w:val="003A57D0"/>
    <w:rsid w:val="003B27F1"/>
    <w:rsid w:val="003C3491"/>
    <w:rsid w:val="003C7E02"/>
    <w:rsid w:val="003D68FB"/>
    <w:rsid w:val="003E1B15"/>
    <w:rsid w:val="003E7763"/>
    <w:rsid w:val="003F319F"/>
    <w:rsid w:val="003F48E0"/>
    <w:rsid w:val="00411500"/>
    <w:rsid w:val="004229FE"/>
    <w:rsid w:val="004251C0"/>
    <w:rsid w:val="00425804"/>
    <w:rsid w:val="004462D6"/>
    <w:rsid w:val="00450330"/>
    <w:rsid w:val="004629D2"/>
    <w:rsid w:val="004658F4"/>
    <w:rsid w:val="00471D82"/>
    <w:rsid w:val="00482CDD"/>
    <w:rsid w:val="004A5F53"/>
    <w:rsid w:val="004C36A9"/>
    <w:rsid w:val="004D497E"/>
    <w:rsid w:val="004E001F"/>
    <w:rsid w:val="004F6A51"/>
    <w:rsid w:val="00500F7E"/>
    <w:rsid w:val="00502D4A"/>
    <w:rsid w:val="0051113C"/>
    <w:rsid w:val="00512D97"/>
    <w:rsid w:val="005132D1"/>
    <w:rsid w:val="005135E5"/>
    <w:rsid w:val="0052029F"/>
    <w:rsid w:val="005205AC"/>
    <w:rsid w:val="00530A51"/>
    <w:rsid w:val="00535467"/>
    <w:rsid w:val="005362F4"/>
    <w:rsid w:val="00545B30"/>
    <w:rsid w:val="00552AA4"/>
    <w:rsid w:val="00563E9F"/>
    <w:rsid w:val="00577D88"/>
    <w:rsid w:val="00582CA0"/>
    <w:rsid w:val="00596917"/>
    <w:rsid w:val="005A4F33"/>
    <w:rsid w:val="005A7A1C"/>
    <w:rsid w:val="005F03C0"/>
    <w:rsid w:val="005F4254"/>
    <w:rsid w:val="0060270D"/>
    <w:rsid w:val="0061143B"/>
    <w:rsid w:val="00613BF2"/>
    <w:rsid w:val="006248D0"/>
    <w:rsid w:val="006300B3"/>
    <w:rsid w:val="006341FF"/>
    <w:rsid w:val="00635EDB"/>
    <w:rsid w:val="0063649A"/>
    <w:rsid w:val="00642889"/>
    <w:rsid w:val="00644FA7"/>
    <w:rsid w:val="00650461"/>
    <w:rsid w:val="00655C68"/>
    <w:rsid w:val="00686062"/>
    <w:rsid w:val="00686CEC"/>
    <w:rsid w:val="00691F3A"/>
    <w:rsid w:val="00692A56"/>
    <w:rsid w:val="0069410C"/>
    <w:rsid w:val="00694F8E"/>
    <w:rsid w:val="006964E4"/>
    <w:rsid w:val="006A1027"/>
    <w:rsid w:val="006C3000"/>
    <w:rsid w:val="006C54DD"/>
    <w:rsid w:val="006D3C62"/>
    <w:rsid w:val="006F1C8F"/>
    <w:rsid w:val="006F23B0"/>
    <w:rsid w:val="0070034F"/>
    <w:rsid w:val="00700551"/>
    <w:rsid w:val="007057C1"/>
    <w:rsid w:val="007079FE"/>
    <w:rsid w:val="007434EC"/>
    <w:rsid w:val="0075045B"/>
    <w:rsid w:val="00761EAD"/>
    <w:rsid w:val="00772FFB"/>
    <w:rsid w:val="00775B18"/>
    <w:rsid w:val="00795B2F"/>
    <w:rsid w:val="007A6957"/>
    <w:rsid w:val="007B5DAA"/>
    <w:rsid w:val="007C0A9B"/>
    <w:rsid w:val="007C3840"/>
    <w:rsid w:val="007D3159"/>
    <w:rsid w:val="007D599A"/>
    <w:rsid w:val="00802814"/>
    <w:rsid w:val="008036C9"/>
    <w:rsid w:val="00807C09"/>
    <w:rsid w:val="00815723"/>
    <w:rsid w:val="00816A91"/>
    <w:rsid w:val="00834EDA"/>
    <w:rsid w:val="00835746"/>
    <w:rsid w:val="0084038C"/>
    <w:rsid w:val="008450EA"/>
    <w:rsid w:val="00850B10"/>
    <w:rsid w:val="008550B5"/>
    <w:rsid w:val="00867AF6"/>
    <w:rsid w:val="008C48BE"/>
    <w:rsid w:val="008D3479"/>
    <w:rsid w:val="008F63E0"/>
    <w:rsid w:val="009014D4"/>
    <w:rsid w:val="009107E2"/>
    <w:rsid w:val="0091151F"/>
    <w:rsid w:val="00914705"/>
    <w:rsid w:val="00914D6F"/>
    <w:rsid w:val="0091575F"/>
    <w:rsid w:val="009163EC"/>
    <w:rsid w:val="009171DD"/>
    <w:rsid w:val="00930F6C"/>
    <w:rsid w:val="009348D0"/>
    <w:rsid w:val="00944DB0"/>
    <w:rsid w:val="0095615B"/>
    <w:rsid w:val="009829D0"/>
    <w:rsid w:val="00984F6C"/>
    <w:rsid w:val="00985015"/>
    <w:rsid w:val="00987248"/>
    <w:rsid w:val="00990CD7"/>
    <w:rsid w:val="00991E52"/>
    <w:rsid w:val="009A04B4"/>
    <w:rsid w:val="009A75FB"/>
    <w:rsid w:val="009C077F"/>
    <w:rsid w:val="009C4EA7"/>
    <w:rsid w:val="009C6414"/>
    <w:rsid w:val="009C6914"/>
    <w:rsid w:val="009D74B0"/>
    <w:rsid w:val="009E4912"/>
    <w:rsid w:val="009E53D3"/>
    <w:rsid w:val="009F5602"/>
    <w:rsid w:val="009F56D2"/>
    <w:rsid w:val="00A143B3"/>
    <w:rsid w:val="00A2388D"/>
    <w:rsid w:val="00A24D21"/>
    <w:rsid w:val="00A24D94"/>
    <w:rsid w:val="00A26C1C"/>
    <w:rsid w:val="00A53CEE"/>
    <w:rsid w:val="00A66031"/>
    <w:rsid w:val="00A862A6"/>
    <w:rsid w:val="00AA1039"/>
    <w:rsid w:val="00AA6BC1"/>
    <w:rsid w:val="00AB2909"/>
    <w:rsid w:val="00AC3108"/>
    <w:rsid w:val="00AD3CAE"/>
    <w:rsid w:val="00AD6C43"/>
    <w:rsid w:val="00AE2946"/>
    <w:rsid w:val="00AF49E5"/>
    <w:rsid w:val="00AF79B3"/>
    <w:rsid w:val="00B043B6"/>
    <w:rsid w:val="00B62CF7"/>
    <w:rsid w:val="00B70851"/>
    <w:rsid w:val="00B82AFF"/>
    <w:rsid w:val="00B950CB"/>
    <w:rsid w:val="00B95630"/>
    <w:rsid w:val="00B96B72"/>
    <w:rsid w:val="00BC49A3"/>
    <w:rsid w:val="00BE010C"/>
    <w:rsid w:val="00BE4F0B"/>
    <w:rsid w:val="00C1666B"/>
    <w:rsid w:val="00C22C4C"/>
    <w:rsid w:val="00C4116A"/>
    <w:rsid w:val="00C5548D"/>
    <w:rsid w:val="00C57FB7"/>
    <w:rsid w:val="00C848AC"/>
    <w:rsid w:val="00C8507A"/>
    <w:rsid w:val="00C9371B"/>
    <w:rsid w:val="00CA041E"/>
    <w:rsid w:val="00CB5EAB"/>
    <w:rsid w:val="00CC1793"/>
    <w:rsid w:val="00CC246B"/>
    <w:rsid w:val="00CC2EC4"/>
    <w:rsid w:val="00CC3661"/>
    <w:rsid w:val="00CC6100"/>
    <w:rsid w:val="00CC66AD"/>
    <w:rsid w:val="00CD2EA5"/>
    <w:rsid w:val="00CE0F3D"/>
    <w:rsid w:val="00CE19E9"/>
    <w:rsid w:val="00CE731A"/>
    <w:rsid w:val="00CF166D"/>
    <w:rsid w:val="00D0735A"/>
    <w:rsid w:val="00D2581E"/>
    <w:rsid w:val="00D30B5B"/>
    <w:rsid w:val="00D3298B"/>
    <w:rsid w:val="00D32A42"/>
    <w:rsid w:val="00D34707"/>
    <w:rsid w:val="00D34F30"/>
    <w:rsid w:val="00D47CFE"/>
    <w:rsid w:val="00D72921"/>
    <w:rsid w:val="00D8093D"/>
    <w:rsid w:val="00D85DAC"/>
    <w:rsid w:val="00D872DA"/>
    <w:rsid w:val="00DA36E6"/>
    <w:rsid w:val="00DA4CFE"/>
    <w:rsid w:val="00DB1BE8"/>
    <w:rsid w:val="00DD0FE4"/>
    <w:rsid w:val="00DD312D"/>
    <w:rsid w:val="00DD53E0"/>
    <w:rsid w:val="00DE0FC4"/>
    <w:rsid w:val="00DE1EA4"/>
    <w:rsid w:val="00DF367B"/>
    <w:rsid w:val="00DF6812"/>
    <w:rsid w:val="00E054FC"/>
    <w:rsid w:val="00E06151"/>
    <w:rsid w:val="00E50ED1"/>
    <w:rsid w:val="00E51A3A"/>
    <w:rsid w:val="00E54CAA"/>
    <w:rsid w:val="00E56233"/>
    <w:rsid w:val="00E57EA8"/>
    <w:rsid w:val="00E6494E"/>
    <w:rsid w:val="00E66B39"/>
    <w:rsid w:val="00E80201"/>
    <w:rsid w:val="00E91050"/>
    <w:rsid w:val="00E91F50"/>
    <w:rsid w:val="00EA6DD7"/>
    <w:rsid w:val="00EC4EF3"/>
    <w:rsid w:val="00ED4539"/>
    <w:rsid w:val="00ED7061"/>
    <w:rsid w:val="00EE1E8F"/>
    <w:rsid w:val="00EF3D8E"/>
    <w:rsid w:val="00F10B3E"/>
    <w:rsid w:val="00F13116"/>
    <w:rsid w:val="00F34DF0"/>
    <w:rsid w:val="00F52418"/>
    <w:rsid w:val="00F601E5"/>
    <w:rsid w:val="00F72DFB"/>
    <w:rsid w:val="00FA233A"/>
    <w:rsid w:val="00FA2B3B"/>
    <w:rsid w:val="00FB1D7F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AFD3C"/>
  <w15:docId w15:val="{75626096-296E-45CA-90F2-05795275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67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7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7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C236-7B9A-42EB-A06A-BE674D4C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Admin</cp:lastModifiedBy>
  <cp:revision>4</cp:revision>
  <cp:lastPrinted>2021-10-11T12:33:00Z</cp:lastPrinted>
  <dcterms:created xsi:type="dcterms:W3CDTF">2021-10-11T09:44:00Z</dcterms:created>
  <dcterms:modified xsi:type="dcterms:W3CDTF">2021-10-11T12:35:00Z</dcterms:modified>
</cp:coreProperties>
</file>