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4F" w:rsidRDefault="002868FD" w:rsidP="002868FD">
      <w:pPr>
        <w:pStyle w:val="Default"/>
      </w:pPr>
      <w:r w:rsidRPr="0016419D">
        <w:rPr>
          <w:noProof/>
          <w:sz w:val="48"/>
          <w:szCs w:val="48"/>
        </w:rPr>
        <w:drawing>
          <wp:anchor distT="0" distB="0" distL="114300" distR="114300" simplePos="0" relativeHeight="251667456" behindDoc="0" locked="0" layoutInCell="1" allowOverlap="1" wp14:anchorId="7078316E" wp14:editId="4E0D2E30">
            <wp:simplePos x="0" y="0"/>
            <wp:positionH relativeFrom="column">
              <wp:posOffset>3112770</wp:posOffset>
            </wp:positionH>
            <wp:positionV relativeFrom="paragraph">
              <wp:posOffset>-707390</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Pr="00063699">
        <w:rPr>
          <w:noProof/>
        </w:rPr>
        <w:drawing>
          <wp:anchor distT="0" distB="0" distL="114300" distR="114300" simplePos="0" relativeHeight="251671552" behindDoc="0" locked="0" layoutInCell="1" allowOverlap="1" wp14:anchorId="6AB1D08F" wp14:editId="429AF815">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16419D" w:rsidRPr="0016419D">
        <w:rPr>
          <w:noProof/>
          <w:sz w:val="48"/>
          <w:szCs w:val="48"/>
        </w:rPr>
        <mc:AlternateContent>
          <mc:Choice Requires="wps">
            <w:drawing>
              <wp:anchor distT="0" distB="0" distL="114300" distR="114300" simplePos="0" relativeHeight="251665408" behindDoc="0" locked="1" layoutInCell="0" allowOverlap="0" wp14:anchorId="7CC249EF" wp14:editId="449B58A6">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249EF"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E73971" w:rsidRDefault="00380294" w:rsidP="00AF2188">
      <w:pPr>
        <w:pStyle w:val="Titel"/>
        <w:rPr>
          <w:szCs w:val="44"/>
        </w:rPr>
      </w:pPr>
      <w:r w:rsidRPr="00E73971">
        <w:rPr>
          <w:noProof/>
          <w:szCs w:val="44"/>
        </w:rPr>
        <mc:AlternateContent>
          <mc:Choice Requires="wps">
            <w:drawing>
              <wp:anchor distT="0" distB="0" distL="114300" distR="114300" simplePos="0" relativeHeight="251659264" behindDoc="0" locked="0" layoutInCell="1" allowOverlap="1" wp14:anchorId="16A4B7D7" wp14:editId="482D7D49">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361397">
                            <w:r>
                              <w:t>07</w:t>
                            </w:r>
                            <w:r w:rsidR="00792252">
                              <w:t xml:space="preserve">. </w:t>
                            </w:r>
                            <w:r>
                              <w:t>Juli</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4B7D7"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361397">
                      <w:r>
                        <w:t>07</w:t>
                      </w:r>
                      <w:r w:rsidR="00792252">
                        <w:t xml:space="preserve">. </w:t>
                      </w:r>
                      <w:r>
                        <w:t>Juli</w:t>
                      </w:r>
                      <w:r w:rsidR="00792252">
                        <w:t xml:space="preserve"> 2021</w:t>
                      </w:r>
                    </w:p>
                  </w:txbxContent>
                </v:textbox>
              </v:shape>
            </w:pict>
          </mc:Fallback>
        </mc:AlternateContent>
      </w:r>
      <w:r w:rsidR="005C17C9" w:rsidRPr="00E73971">
        <w:rPr>
          <w:szCs w:val="44"/>
        </w:rPr>
        <w:t xml:space="preserve">Bonde: </w:t>
      </w:r>
      <w:r w:rsidR="009734A2">
        <w:rPr>
          <w:szCs w:val="44"/>
        </w:rPr>
        <w:t xml:space="preserve">Wälder leiden </w:t>
      </w:r>
      <w:r w:rsidR="0074139C">
        <w:rPr>
          <w:szCs w:val="44"/>
        </w:rPr>
        <w:br/>
      </w:r>
      <w:r w:rsidR="009734A2">
        <w:rPr>
          <w:szCs w:val="44"/>
        </w:rPr>
        <w:t>massiv unter der Klimakrise</w:t>
      </w:r>
      <w:r w:rsidR="00651256" w:rsidRPr="00E73971">
        <w:rPr>
          <w:szCs w:val="44"/>
        </w:rPr>
        <w:t xml:space="preserve"> </w:t>
      </w:r>
    </w:p>
    <w:p w:rsidR="00792252" w:rsidRPr="00BF12CE" w:rsidRDefault="002F7B2E" w:rsidP="00AF2188">
      <w:pPr>
        <w:pStyle w:val="2bold"/>
        <w:rPr>
          <w:rStyle w:val="TitelZchn"/>
          <w:rFonts w:cs="Times New Roman"/>
          <w:b/>
          <w:bCs w:val="0"/>
          <w:kern w:val="0"/>
          <w:sz w:val="20"/>
          <w:szCs w:val="20"/>
        </w:rPr>
      </w:pPr>
      <w:r>
        <w:t>„</w:t>
      </w:r>
      <w:proofErr w:type="spellStart"/>
      <w:r w:rsidRPr="00C608E8">
        <w:rPr>
          <w:i/>
        </w:rPr>
        <w:t>Circular</w:t>
      </w:r>
      <w:proofErr w:type="spellEnd"/>
      <w:r w:rsidRPr="00C608E8">
        <w:rPr>
          <w:i/>
        </w:rPr>
        <w:t xml:space="preserve"> Economy</w:t>
      </w:r>
      <w:r>
        <w:t xml:space="preserve"> für mehr Klimaschutz“ – </w:t>
      </w:r>
      <w:r>
        <w:br/>
        <w:t>DBU-Jahrespressekonferenz</w:t>
      </w:r>
    </w:p>
    <w:p w:rsidR="004910F4" w:rsidRDefault="004910F4" w:rsidP="004910F4">
      <w:pPr>
        <w:pStyle w:val="Default"/>
      </w:pPr>
    </w:p>
    <w:p w:rsidR="004910F4" w:rsidRDefault="004910F4" w:rsidP="00B12226">
      <w:pPr>
        <w:pStyle w:val="Textbold"/>
      </w:pPr>
      <w:r w:rsidRPr="00B12226">
        <w:t>Osnabrück</w:t>
      </w:r>
      <w:r>
        <w:t xml:space="preserve">. </w:t>
      </w:r>
      <w:r w:rsidR="00D257AF">
        <w:t xml:space="preserve">Der Generalsekretär der Deutschen Bundesstiftung Umwelt (DBU), Alexander Bonde, hat heute (Mittwoch) auf der Jahrespressekonferenz (JPK) der Stiftung vor </w:t>
      </w:r>
      <w:r w:rsidR="009734A2">
        <w:t xml:space="preserve">den Auswirkungen eines </w:t>
      </w:r>
      <w:r w:rsidR="00D257AF">
        <w:t>vierten Dürrejahr</w:t>
      </w:r>
      <w:r w:rsidR="009734A2">
        <w:t>es</w:t>
      </w:r>
      <w:r w:rsidR="00D257AF">
        <w:t xml:space="preserve"> in Folge gewarnt. „</w:t>
      </w:r>
      <w:r w:rsidR="009734A2">
        <w:t xml:space="preserve">Der Wald </w:t>
      </w:r>
      <w:r w:rsidR="00394649">
        <w:t>könnte zum</w:t>
      </w:r>
      <w:r w:rsidR="009734A2">
        <w:t xml:space="preserve"> ersten Opfer der Klimakrise werden. </w:t>
      </w:r>
      <w:r w:rsidR="00914139">
        <w:t>Wir müssen den Klimawandel viel entschlossener und schneller stoppen</w:t>
      </w:r>
      <w:r w:rsidR="00D257AF">
        <w:t xml:space="preserve">“, so Bonde. </w:t>
      </w:r>
      <w:r w:rsidR="001D4426">
        <w:t>De</w:t>
      </w:r>
      <w:r w:rsidR="00651256">
        <w:t xml:space="preserve">nn die </w:t>
      </w:r>
      <w:r w:rsidR="001D4426">
        <w:t>Ökosystemleistungen</w:t>
      </w:r>
      <w:r w:rsidR="00651256">
        <w:t xml:space="preserve"> des Waldes</w:t>
      </w:r>
      <w:r w:rsidR="001D4426">
        <w:t xml:space="preserve"> </w:t>
      </w:r>
      <w:r w:rsidR="00651256">
        <w:t>von Kohlenstoffspeicherung</w:t>
      </w:r>
      <w:r w:rsidR="00914139">
        <w:t xml:space="preserve"> über</w:t>
      </w:r>
      <w:r w:rsidR="004B52F4">
        <w:t xml:space="preserve"> Holz </w:t>
      </w:r>
      <w:r w:rsidR="00914139">
        <w:t>und</w:t>
      </w:r>
      <w:r w:rsidR="00651256">
        <w:t xml:space="preserve"> Biodiversität bis zur Sauerstoffproduktion seien „unentbehrlich für den Klimaschutz</w:t>
      </w:r>
      <w:r w:rsidR="00E73971">
        <w:t>“</w:t>
      </w:r>
      <w:r w:rsidR="00D8582A">
        <w:t xml:space="preserve">. </w:t>
      </w:r>
      <w:r w:rsidR="00914139">
        <w:t>Doch</w:t>
      </w:r>
      <w:r w:rsidR="00D8582A">
        <w:t xml:space="preserve"> die Bestände seien „in teils desolatem Zustand“. Ein Schlüssel für Weg</w:t>
      </w:r>
      <w:r w:rsidR="00914139">
        <w:t>e</w:t>
      </w:r>
      <w:r w:rsidR="00D8582A">
        <w:t xml:space="preserve"> aus der Klimakrise </w:t>
      </w:r>
      <w:r w:rsidR="00146F4C">
        <w:t>ist laut Bonde</w:t>
      </w:r>
      <w:r w:rsidR="00D8582A">
        <w:t xml:space="preserve"> die </w:t>
      </w:r>
      <w:proofErr w:type="spellStart"/>
      <w:r w:rsidR="00D8582A" w:rsidRPr="00D8582A">
        <w:rPr>
          <w:i/>
        </w:rPr>
        <w:t>Circular</w:t>
      </w:r>
      <w:proofErr w:type="spellEnd"/>
      <w:r w:rsidR="00D8582A" w:rsidRPr="00D8582A">
        <w:rPr>
          <w:i/>
        </w:rPr>
        <w:t xml:space="preserve"> Economy</w:t>
      </w:r>
      <w:r w:rsidR="00D8582A">
        <w:t>: „</w:t>
      </w:r>
      <w:r w:rsidR="000C555B">
        <w:t>Materialkreisläufe sind Klimaretter. Sie sparen Treibhausgas</w:t>
      </w:r>
      <w:r w:rsidR="0074139C">
        <w:t>-E</w:t>
      </w:r>
      <w:r w:rsidR="000C555B">
        <w:t>missionen und Rohstoffe.</w:t>
      </w:r>
      <w:r w:rsidR="00D8582A">
        <w:t>“</w:t>
      </w:r>
    </w:p>
    <w:p w:rsidR="00B345F0" w:rsidRPr="004910F4" w:rsidRDefault="000C555B" w:rsidP="00B12226">
      <w:r>
        <w:t>Die Lage in den Wäldern zeig</w:t>
      </w:r>
      <w:r w:rsidR="00914139">
        <w:t>e</w:t>
      </w:r>
      <w:r>
        <w:t xml:space="preserve">, </w:t>
      </w:r>
      <w:r w:rsidR="00146F4C">
        <w:t>„</w:t>
      </w:r>
      <w:r>
        <w:t>dass die Klimakrise in Deutschland angekommen ist</w:t>
      </w:r>
      <w:r w:rsidR="00146F4C">
        <w:t xml:space="preserve">“. </w:t>
      </w:r>
      <w:r w:rsidR="003A7131">
        <w:t xml:space="preserve">Der aktuelle Dürremonitor des Helmholtz-Zentrums für Umweltforschung (UFZ) sei ein akutes Alarmzeichen. „Umso mehr, weil </w:t>
      </w:r>
      <w:r>
        <w:t>die Dürre-Folgen</w:t>
      </w:r>
      <w:r w:rsidR="003A7131">
        <w:t xml:space="preserve"> der Vorjahre längst nicht </w:t>
      </w:r>
      <w:r>
        <w:t>behoben sind</w:t>
      </w:r>
      <w:r w:rsidR="003A7131">
        <w:t xml:space="preserve">“, </w:t>
      </w:r>
      <w:r w:rsidR="00146F4C">
        <w:t>sagte er.</w:t>
      </w:r>
      <w:r w:rsidR="003A7131">
        <w:t xml:space="preserve"> </w:t>
      </w:r>
      <w:r w:rsidR="00B11B5C">
        <w:t>Boden</w:t>
      </w:r>
      <w:r w:rsidR="003A7131">
        <w:t xml:space="preserve">wasserspeicher seien </w:t>
      </w:r>
      <w:r w:rsidR="002D30E1">
        <w:t>kaum gefüllt</w:t>
      </w:r>
      <w:r w:rsidR="00146F4C">
        <w:t>. „V</w:t>
      </w:r>
      <w:r w:rsidR="003A7131">
        <w:t xml:space="preserve">or allem in den ostdeutschen Bundesländern herrscht </w:t>
      </w:r>
      <w:r w:rsidR="00B11B5C">
        <w:t xml:space="preserve">wegen extremer Dürre </w:t>
      </w:r>
      <w:r w:rsidR="003A7131">
        <w:t xml:space="preserve">sprichwörtlich Alarmstufe </w:t>
      </w:r>
      <w:r w:rsidR="00B11B5C">
        <w:t>Rot</w:t>
      </w:r>
      <w:r w:rsidR="00914139">
        <w:t>“, sagte der DBU-Generalsekretär.</w:t>
      </w:r>
      <w:r w:rsidR="00B11B5C">
        <w:t xml:space="preserve"> </w:t>
      </w:r>
      <w:r w:rsidR="00914139">
        <w:t>Selbst</w:t>
      </w:r>
      <w:r>
        <w:t xml:space="preserve"> in Regionen mit hohen Niederschlägen im Frühjahr habe sich die Lage bei</w:t>
      </w:r>
      <w:r w:rsidR="009734A2">
        <w:t>m</w:t>
      </w:r>
      <w:r>
        <w:t xml:space="preserve"> Grundwasser nicht erholt.</w:t>
      </w:r>
    </w:p>
    <w:p w:rsidR="004910F4" w:rsidRDefault="007377A4" w:rsidP="00380294">
      <w:pPr>
        <w:pStyle w:val="KeinLeerraum"/>
      </w:pPr>
      <w:r>
        <w:t>Eine immense Entlastung der Atmosphäre</w:t>
      </w:r>
    </w:p>
    <w:p w:rsidR="00380294" w:rsidRDefault="00E73971" w:rsidP="00B12226">
      <w:r>
        <w:t>Die Waldzustandserhebung 2020, wonach von 11,4 Millionen Hektar Wald in Deutschland rund 280.000 Hektar Schadensfläche seien, „bereite</w:t>
      </w:r>
      <w:r w:rsidR="007377A4">
        <w:t>t</w:t>
      </w:r>
      <w:r>
        <w:t xml:space="preserve"> mir große Sorgen“, so Bonde. </w:t>
      </w:r>
      <w:r w:rsidR="00451795">
        <w:t xml:space="preserve">Nur jeder fünfte Baum zeige keine Schadsymptome. </w:t>
      </w:r>
      <w:r w:rsidR="00146F4C">
        <w:t>„</w:t>
      </w:r>
      <w:r w:rsidR="00451795">
        <w:t>Es steh</w:t>
      </w:r>
      <w:r w:rsidR="00146F4C">
        <w:t>t</w:t>
      </w:r>
      <w:r w:rsidR="00451795">
        <w:t xml:space="preserve"> viel auf dem Spiel.</w:t>
      </w:r>
      <w:r w:rsidR="00146F4C">
        <w:t>“</w:t>
      </w:r>
      <w:r w:rsidR="00451795">
        <w:t xml:space="preserve"> Denn Jahr für Jahr speichere der Wald </w:t>
      </w:r>
      <w:r w:rsidR="007377A4">
        <w:t xml:space="preserve">als Klimahelfer </w:t>
      </w:r>
      <w:r w:rsidR="00451795">
        <w:t xml:space="preserve">bundesweit mehr als 60 Millionen Tonnen Kohlenstoff, eine </w:t>
      </w:r>
      <w:r w:rsidR="007377A4">
        <w:t>immense</w:t>
      </w:r>
      <w:r w:rsidR="00451795">
        <w:t xml:space="preserve"> Entlastung der Atmosphäre. </w:t>
      </w:r>
      <w:r>
        <w:t xml:space="preserve">Neben Trockenstress bedrohten Käferbefall und Extremwetter wie Stürme die Bestände. </w:t>
      </w:r>
      <w:r w:rsidR="00451795">
        <w:t>Bonde: „</w:t>
      </w:r>
      <w:r>
        <w:t xml:space="preserve">Ein Erhalt der Wälder </w:t>
      </w:r>
      <w:r w:rsidR="00451795">
        <w:t xml:space="preserve">ist </w:t>
      </w:r>
      <w:r>
        <w:t>lebenswichtig –</w:t>
      </w:r>
      <w:r w:rsidR="007377A4">
        <w:t xml:space="preserve"> </w:t>
      </w:r>
      <w:r>
        <w:t xml:space="preserve">für Natur- und Umweltschutz </w:t>
      </w:r>
      <w:r w:rsidR="007377A4">
        <w:t>sowie</w:t>
      </w:r>
      <w:r>
        <w:t xml:space="preserve"> für die Waldbewirtschaftung. </w:t>
      </w:r>
      <w:r w:rsidR="00451795">
        <w:t>Wir müssen</w:t>
      </w:r>
      <w:r>
        <w:t xml:space="preserve"> beide</w:t>
      </w:r>
      <w:r w:rsidR="002D30E1">
        <w:t>s</w:t>
      </w:r>
      <w:r>
        <w:t xml:space="preserve"> in Einklang bringen.</w:t>
      </w:r>
      <w:r w:rsidR="00146F4C">
        <w:t>“</w:t>
      </w:r>
      <w:r w:rsidR="00451795">
        <w:t xml:space="preserve"> </w:t>
      </w:r>
      <w:r w:rsidR="00146F4C">
        <w:t>Notwendig seien</w:t>
      </w:r>
      <w:r w:rsidR="000C555B">
        <w:t xml:space="preserve"> mehr</w:t>
      </w:r>
      <w:r w:rsidR="00451795">
        <w:t xml:space="preserve"> wilde </w:t>
      </w:r>
      <w:r w:rsidR="00451795">
        <w:lastRenderedPageBreak/>
        <w:t>Wälder</w:t>
      </w:r>
      <w:r w:rsidR="00982B21">
        <w:t>, aber</w:t>
      </w:r>
      <w:r w:rsidR="0015455F">
        <w:t xml:space="preserve"> auch</w:t>
      </w:r>
      <w:r w:rsidR="00451795">
        <w:t xml:space="preserve"> nachhaltige Holznutzung in langlebigen Produkten und als Kohlenstoffspeicher.</w:t>
      </w:r>
      <w:r w:rsidR="002D30E1">
        <w:t xml:space="preserve"> Als Beispiele </w:t>
      </w:r>
      <w:r w:rsidR="009734A2">
        <w:t xml:space="preserve">für </w:t>
      </w:r>
      <w:r w:rsidR="0015455F">
        <w:t>Lösungen</w:t>
      </w:r>
      <w:r w:rsidR="009734A2">
        <w:t xml:space="preserve"> </w:t>
      </w:r>
      <w:r w:rsidR="002D30E1">
        <w:t xml:space="preserve">nannte Bonde DBU-Projekte </w:t>
      </w:r>
      <w:r w:rsidR="00FB4973">
        <w:t>für</w:t>
      </w:r>
      <w:r w:rsidR="002D30E1">
        <w:t xml:space="preserve"> „Holz von Hier“, die Wiedervernässung von Waldmooren und die Förderung von Biodiversität auf sogenannten Windwurfflächen.</w:t>
      </w:r>
    </w:p>
    <w:p w:rsidR="004B52F4" w:rsidRPr="00380294" w:rsidRDefault="007377A4" w:rsidP="004B52F4">
      <w:pPr>
        <w:pStyle w:val="KeinLeerraum"/>
      </w:pPr>
      <w:r>
        <w:t>DBU Naturerbe will Ökosysteme wiederherstellen – auch im Wald</w:t>
      </w:r>
    </w:p>
    <w:p w:rsidR="00FB063D" w:rsidRPr="000A1F93" w:rsidRDefault="00451795" w:rsidP="00FB063D">
      <w:pPr>
        <w:rPr>
          <w:szCs w:val="18"/>
        </w:rPr>
      </w:pPr>
      <w:bookmarkStart w:id="0" w:name="_Hlk76476185"/>
      <w:bookmarkStart w:id="1" w:name="_Hlk76480243"/>
      <w:r>
        <w:t xml:space="preserve">Wie Entwicklung von </w:t>
      </w:r>
      <w:r w:rsidR="00073BB6">
        <w:t xml:space="preserve">natürlichen </w:t>
      </w:r>
      <w:r>
        <w:t xml:space="preserve">Waldflächen funktioniert, erläuterte Susanne Belting von der Stiftungstochter DBU Naturerbe. </w:t>
      </w:r>
      <w:r w:rsidR="001C04D5">
        <w:t>„</w:t>
      </w:r>
      <w:r w:rsidR="00073BB6">
        <w:t>Auf unseren 71 Flächen mit rund 70.000 Hektar wollen wir</w:t>
      </w:r>
      <w:r w:rsidR="001C04D5" w:rsidRPr="007E5BC7">
        <w:rPr>
          <w:szCs w:val="18"/>
        </w:rPr>
        <w:t xml:space="preserve"> Ökosysteme wiederherstellen – auch im Wald</w:t>
      </w:r>
      <w:r w:rsidR="001C04D5">
        <w:rPr>
          <w:szCs w:val="18"/>
        </w:rPr>
        <w:t>“, so Belting</w:t>
      </w:r>
      <w:r w:rsidR="001C04D5" w:rsidRPr="007E5BC7">
        <w:rPr>
          <w:szCs w:val="18"/>
        </w:rPr>
        <w:t xml:space="preserve">. </w:t>
      </w:r>
      <w:r w:rsidR="001C04D5">
        <w:rPr>
          <w:szCs w:val="18"/>
        </w:rPr>
        <w:t>„</w:t>
      </w:r>
      <w:r w:rsidR="001C04D5" w:rsidRPr="007E5BC7">
        <w:rPr>
          <w:szCs w:val="18"/>
        </w:rPr>
        <w:t>Wir verzichten auf Aufforstungen und setzen auf Naturverjüngung.</w:t>
      </w:r>
      <w:r w:rsidR="001C04D5">
        <w:rPr>
          <w:szCs w:val="18"/>
        </w:rPr>
        <w:t>“</w:t>
      </w:r>
      <w:r w:rsidR="001C04D5" w:rsidRPr="007E5BC7">
        <w:rPr>
          <w:szCs w:val="18"/>
        </w:rPr>
        <w:t xml:space="preserve"> </w:t>
      </w:r>
      <w:r w:rsidR="001C04D5">
        <w:rPr>
          <w:szCs w:val="18"/>
        </w:rPr>
        <w:t xml:space="preserve">So </w:t>
      </w:r>
      <w:r w:rsidR="00073BB6">
        <w:rPr>
          <w:szCs w:val="18"/>
        </w:rPr>
        <w:t>verwirkliche</w:t>
      </w:r>
      <w:r w:rsidR="001C04D5">
        <w:rPr>
          <w:szCs w:val="18"/>
        </w:rPr>
        <w:t xml:space="preserve"> das DBU Naturerbe </w:t>
      </w:r>
      <w:r w:rsidR="0015455F">
        <w:rPr>
          <w:szCs w:val="18"/>
        </w:rPr>
        <w:t>bereits</w:t>
      </w:r>
      <w:r w:rsidR="001C04D5">
        <w:rPr>
          <w:szCs w:val="18"/>
        </w:rPr>
        <w:t xml:space="preserve"> Ziele der </w:t>
      </w:r>
      <w:r w:rsidR="0015455F">
        <w:rPr>
          <w:szCs w:val="18"/>
        </w:rPr>
        <w:t>neuen</w:t>
      </w:r>
      <w:r w:rsidR="001C04D5" w:rsidRPr="007E5BC7">
        <w:rPr>
          <w:szCs w:val="18"/>
        </w:rPr>
        <w:t xml:space="preserve"> UN-Dekade für </w:t>
      </w:r>
      <w:r w:rsidR="0015455F">
        <w:rPr>
          <w:szCs w:val="18"/>
        </w:rPr>
        <w:t xml:space="preserve">die </w:t>
      </w:r>
      <w:r w:rsidR="001C04D5" w:rsidRPr="007E5BC7">
        <w:rPr>
          <w:szCs w:val="18"/>
        </w:rPr>
        <w:t>Wiederherstellung von Ökosystemen</w:t>
      </w:r>
      <w:r w:rsidR="0015455F">
        <w:rPr>
          <w:szCs w:val="18"/>
        </w:rPr>
        <w:t>, darunter</w:t>
      </w:r>
      <w:r w:rsidR="001C04D5">
        <w:rPr>
          <w:szCs w:val="18"/>
        </w:rPr>
        <w:t xml:space="preserve"> strukturreiche Wälder </w:t>
      </w:r>
      <w:r w:rsidR="00073BB6">
        <w:rPr>
          <w:szCs w:val="18"/>
        </w:rPr>
        <w:t>mit verschiedenen Baumarten und Altersklassen</w:t>
      </w:r>
      <w:bookmarkStart w:id="2" w:name="_Hlk76384062"/>
      <w:r w:rsidR="00E35733">
        <w:rPr>
          <w:szCs w:val="18"/>
        </w:rPr>
        <w:t xml:space="preserve">: </w:t>
      </w:r>
      <w:r w:rsidR="001C04D5">
        <w:rPr>
          <w:szCs w:val="18"/>
        </w:rPr>
        <w:t xml:space="preserve">Rund 32 Prozent der Waldbestände des DBU Naturerbe, ungefähr 17.000 Hektar, befinden sich </w:t>
      </w:r>
      <w:r w:rsidR="00E35733">
        <w:rPr>
          <w:szCs w:val="18"/>
        </w:rPr>
        <w:t xml:space="preserve">in natürlicher Entwicklung. </w:t>
      </w:r>
      <w:bookmarkEnd w:id="1"/>
      <w:bookmarkEnd w:id="0"/>
      <w:r w:rsidR="00FB063D" w:rsidRPr="000A1F93">
        <w:rPr>
          <w:szCs w:val="18"/>
        </w:rPr>
        <w:t xml:space="preserve">Die Trockenheit trifft jedoch auch das DBU Naturerbe. Der Zustand der Bäume deckt sich mit den Daten des Waldzustandsberichtes: Laub- und Nadelholzbestände sind </w:t>
      </w:r>
      <w:r w:rsidR="00C769E0">
        <w:rPr>
          <w:szCs w:val="18"/>
        </w:rPr>
        <w:t xml:space="preserve">teils </w:t>
      </w:r>
      <w:r w:rsidR="00FB063D" w:rsidRPr="000A1F93">
        <w:rPr>
          <w:szCs w:val="18"/>
        </w:rPr>
        <w:t>abgestorben</w:t>
      </w:r>
      <w:r w:rsidR="00C769E0">
        <w:rPr>
          <w:szCs w:val="18"/>
        </w:rPr>
        <w:t xml:space="preserve">, und </w:t>
      </w:r>
      <w:r w:rsidR="00FB063D" w:rsidRPr="000A1F93">
        <w:rPr>
          <w:szCs w:val="18"/>
        </w:rPr>
        <w:t>Fichten</w:t>
      </w:r>
      <w:r w:rsidR="00C769E0">
        <w:rPr>
          <w:szCs w:val="18"/>
        </w:rPr>
        <w:t xml:space="preserve"> sind</w:t>
      </w:r>
      <w:r w:rsidR="00FB063D" w:rsidRPr="000A1F93">
        <w:rPr>
          <w:szCs w:val="18"/>
        </w:rPr>
        <w:t xml:space="preserve"> am stärksten betroffen.</w:t>
      </w:r>
    </w:p>
    <w:p w:rsidR="004B52F4" w:rsidRPr="0015455F" w:rsidRDefault="007377A4" w:rsidP="00FB063D">
      <w:pPr>
        <w:rPr>
          <w:i/>
        </w:rPr>
      </w:pPr>
      <w:proofErr w:type="spellStart"/>
      <w:r w:rsidRPr="0015455F">
        <w:rPr>
          <w:i/>
        </w:rPr>
        <w:t>Circular</w:t>
      </w:r>
      <w:proofErr w:type="spellEnd"/>
      <w:r w:rsidRPr="0015455F">
        <w:rPr>
          <w:i/>
        </w:rPr>
        <w:t xml:space="preserve"> Economy als Initialzündung für mehr Umweltschutz</w:t>
      </w:r>
    </w:p>
    <w:p w:rsidR="004B52F4" w:rsidRDefault="00F307BC" w:rsidP="00D8582A">
      <w:pPr>
        <w:rPr>
          <w:szCs w:val="18"/>
        </w:rPr>
      </w:pPr>
      <w:r>
        <w:rPr>
          <w:szCs w:val="18"/>
        </w:rPr>
        <w:t>„</w:t>
      </w:r>
      <w:r w:rsidR="004D1B28">
        <w:rPr>
          <w:szCs w:val="18"/>
        </w:rPr>
        <w:t>Wir müssen Wald und Klima schützen</w:t>
      </w:r>
      <w:r w:rsidR="009734A2">
        <w:rPr>
          <w:szCs w:val="18"/>
        </w:rPr>
        <w:t xml:space="preserve"> und mit </w:t>
      </w:r>
      <w:r w:rsidR="005F748D">
        <w:rPr>
          <w:szCs w:val="18"/>
        </w:rPr>
        <w:t>Lösungen bei</w:t>
      </w:r>
      <w:r w:rsidR="009734A2">
        <w:rPr>
          <w:szCs w:val="18"/>
        </w:rPr>
        <w:t xml:space="preserve"> den </w:t>
      </w:r>
      <w:r w:rsidR="003B389B">
        <w:rPr>
          <w:szCs w:val="18"/>
        </w:rPr>
        <w:t>Haupt-</w:t>
      </w:r>
      <w:r w:rsidR="009734A2">
        <w:rPr>
          <w:szCs w:val="18"/>
        </w:rPr>
        <w:t>Emissionsquellen ansetzen</w:t>
      </w:r>
      <w:r w:rsidR="004D1B28">
        <w:rPr>
          <w:szCs w:val="18"/>
        </w:rPr>
        <w:t>“</w:t>
      </w:r>
      <w:r w:rsidR="009734A2">
        <w:rPr>
          <w:szCs w:val="18"/>
        </w:rPr>
        <w:t xml:space="preserve">, </w:t>
      </w:r>
      <w:r w:rsidR="005F748D">
        <w:rPr>
          <w:szCs w:val="18"/>
        </w:rPr>
        <w:t>sagte Bonde</w:t>
      </w:r>
      <w:r w:rsidR="009734A2">
        <w:rPr>
          <w:szCs w:val="18"/>
        </w:rPr>
        <w:t>.</w:t>
      </w:r>
      <w:r w:rsidR="004D1B28">
        <w:rPr>
          <w:szCs w:val="18"/>
        </w:rPr>
        <w:t xml:space="preserve"> </w:t>
      </w:r>
      <w:r w:rsidR="006D1F2A">
        <w:rPr>
          <w:szCs w:val="18"/>
        </w:rPr>
        <w:t>Die</w:t>
      </w:r>
      <w:r w:rsidR="004D1B28">
        <w:rPr>
          <w:szCs w:val="18"/>
        </w:rPr>
        <w:t xml:space="preserve"> </w:t>
      </w:r>
      <w:proofErr w:type="spellStart"/>
      <w:r w:rsidR="004D1B28" w:rsidRPr="004D1B28">
        <w:rPr>
          <w:i/>
          <w:szCs w:val="18"/>
        </w:rPr>
        <w:t>Circular</w:t>
      </w:r>
      <w:proofErr w:type="spellEnd"/>
      <w:r w:rsidR="004D1B28" w:rsidRPr="004D1B28">
        <w:rPr>
          <w:i/>
          <w:szCs w:val="18"/>
        </w:rPr>
        <w:t xml:space="preserve"> Economy</w:t>
      </w:r>
      <w:r w:rsidR="004D1B28">
        <w:rPr>
          <w:szCs w:val="18"/>
        </w:rPr>
        <w:t xml:space="preserve"> </w:t>
      </w:r>
      <w:r w:rsidR="006D1F2A">
        <w:rPr>
          <w:szCs w:val="18"/>
        </w:rPr>
        <w:t xml:space="preserve">sei </w:t>
      </w:r>
      <w:r w:rsidR="009734A2">
        <w:rPr>
          <w:szCs w:val="18"/>
        </w:rPr>
        <w:t xml:space="preserve">ein </w:t>
      </w:r>
      <w:r w:rsidR="004D1B28">
        <w:rPr>
          <w:szCs w:val="18"/>
        </w:rPr>
        <w:t xml:space="preserve">entscheidender Schlüssel zum Erfolg. Kreislaufführung </w:t>
      </w:r>
      <w:r w:rsidR="000C555B">
        <w:rPr>
          <w:szCs w:val="18"/>
        </w:rPr>
        <w:t xml:space="preserve">von Ressourcen </w:t>
      </w:r>
      <w:r w:rsidR="004D1B28">
        <w:rPr>
          <w:szCs w:val="18"/>
        </w:rPr>
        <w:t xml:space="preserve">sei das Gebot der Stunde. </w:t>
      </w:r>
      <w:r w:rsidR="000C555B">
        <w:rPr>
          <w:szCs w:val="18"/>
        </w:rPr>
        <w:t xml:space="preserve">„Mehr als die Hälfte der globalen Treibhausgas-Emissionen lassen sich auf </w:t>
      </w:r>
      <w:r w:rsidR="003B389B">
        <w:rPr>
          <w:szCs w:val="18"/>
        </w:rPr>
        <w:t>A</w:t>
      </w:r>
      <w:r w:rsidR="000C555B">
        <w:rPr>
          <w:szCs w:val="18"/>
        </w:rPr>
        <w:t xml:space="preserve">bbau und </w:t>
      </w:r>
      <w:r w:rsidR="003B389B">
        <w:rPr>
          <w:szCs w:val="18"/>
        </w:rPr>
        <w:t>B</w:t>
      </w:r>
      <w:r w:rsidR="000C555B">
        <w:rPr>
          <w:szCs w:val="18"/>
        </w:rPr>
        <w:t xml:space="preserve">earbeitung </w:t>
      </w:r>
      <w:r w:rsidR="003B389B">
        <w:rPr>
          <w:szCs w:val="18"/>
        </w:rPr>
        <w:t xml:space="preserve">von Rohstoffen </w:t>
      </w:r>
      <w:r w:rsidR="000C555B">
        <w:rPr>
          <w:szCs w:val="18"/>
        </w:rPr>
        <w:t>zurückführen</w:t>
      </w:r>
      <w:r w:rsidR="003B389B">
        <w:rPr>
          <w:szCs w:val="18"/>
        </w:rPr>
        <w:t>“, sagte er.</w:t>
      </w:r>
      <w:r w:rsidR="000C555B">
        <w:rPr>
          <w:szCs w:val="18"/>
        </w:rPr>
        <w:t xml:space="preserve"> </w:t>
      </w:r>
      <w:r w:rsidR="003B389B">
        <w:rPr>
          <w:szCs w:val="18"/>
        </w:rPr>
        <w:t>„</w:t>
      </w:r>
      <w:r w:rsidR="004D1B28">
        <w:rPr>
          <w:szCs w:val="18"/>
        </w:rPr>
        <w:t>Wenn die Kreislaufführung von Materialien aller Art geling</w:t>
      </w:r>
      <w:r w:rsidR="000C555B">
        <w:rPr>
          <w:szCs w:val="18"/>
        </w:rPr>
        <w:t>t</w:t>
      </w:r>
      <w:r w:rsidR="004D1B28">
        <w:rPr>
          <w:szCs w:val="18"/>
        </w:rPr>
        <w:t xml:space="preserve">, </w:t>
      </w:r>
      <w:r w:rsidR="009734A2">
        <w:rPr>
          <w:szCs w:val="18"/>
        </w:rPr>
        <w:t xml:space="preserve">kommen wir im Klimaschutz </w:t>
      </w:r>
      <w:r w:rsidR="003B389B">
        <w:rPr>
          <w:szCs w:val="18"/>
        </w:rPr>
        <w:t>erheblich</w:t>
      </w:r>
      <w:r w:rsidR="009734A2">
        <w:rPr>
          <w:szCs w:val="18"/>
        </w:rPr>
        <w:t xml:space="preserve"> voran</w:t>
      </w:r>
      <w:r w:rsidR="003B389B">
        <w:rPr>
          <w:szCs w:val="18"/>
        </w:rPr>
        <w:t>.</w:t>
      </w:r>
      <w:r w:rsidR="004D1B28">
        <w:rPr>
          <w:szCs w:val="18"/>
        </w:rPr>
        <w:t xml:space="preserve">“ Der Raubbau an Rohstoffen </w:t>
      </w:r>
      <w:r w:rsidR="003B389B">
        <w:rPr>
          <w:szCs w:val="18"/>
        </w:rPr>
        <w:t>könne</w:t>
      </w:r>
      <w:r w:rsidR="004D1B28">
        <w:rPr>
          <w:szCs w:val="18"/>
        </w:rPr>
        <w:t xml:space="preserve"> dadurch enorm verringert werden. </w:t>
      </w:r>
      <w:r w:rsidR="003B389B">
        <w:rPr>
          <w:szCs w:val="18"/>
        </w:rPr>
        <w:t>„</w:t>
      </w:r>
      <w:r w:rsidR="004D1B28">
        <w:rPr>
          <w:szCs w:val="18"/>
        </w:rPr>
        <w:t xml:space="preserve">Umweltbelastung und Kohlenstoffdioxid-Emissionen nehmen </w:t>
      </w:r>
      <w:r w:rsidR="005F748D">
        <w:rPr>
          <w:szCs w:val="18"/>
        </w:rPr>
        <w:t xml:space="preserve">dann </w:t>
      </w:r>
      <w:r w:rsidR="009734A2">
        <w:rPr>
          <w:szCs w:val="18"/>
        </w:rPr>
        <w:t xml:space="preserve">deutlich </w:t>
      </w:r>
      <w:r w:rsidR="004D1B28">
        <w:rPr>
          <w:szCs w:val="18"/>
        </w:rPr>
        <w:t>ab</w:t>
      </w:r>
      <w:r w:rsidR="003B389B">
        <w:rPr>
          <w:szCs w:val="18"/>
        </w:rPr>
        <w:t xml:space="preserve">“, so Bonde. </w:t>
      </w:r>
      <w:proofErr w:type="spellStart"/>
      <w:r w:rsidR="004D1B28" w:rsidRPr="002D30E1">
        <w:rPr>
          <w:i/>
          <w:szCs w:val="18"/>
        </w:rPr>
        <w:t>Circular</w:t>
      </w:r>
      <w:proofErr w:type="spellEnd"/>
      <w:r w:rsidR="004D1B28" w:rsidRPr="002D30E1">
        <w:rPr>
          <w:i/>
          <w:szCs w:val="18"/>
        </w:rPr>
        <w:t xml:space="preserve"> Economy</w:t>
      </w:r>
      <w:r w:rsidR="004D1B28">
        <w:rPr>
          <w:szCs w:val="18"/>
        </w:rPr>
        <w:t xml:space="preserve"> sei „eine Initialzündung für mehr Umweltschutz“ – als umfassende Kreislaufwirtschaft vom nachhaltigen Produktdesign über Müllvermeidung bis hin zum Wiederverwenden, Teilen, Reparieren und Recyceln.</w:t>
      </w:r>
    </w:p>
    <w:p w:rsidR="004B52F4" w:rsidRPr="00380294" w:rsidRDefault="00366D14" w:rsidP="004B52F4">
      <w:pPr>
        <w:pStyle w:val="KeinLeerraum"/>
      </w:pPr>
      <w:r>
        <w:t>Heizungspumpen und Seltenerd-Metalle wie Neodym vor dem Schrottplatz retten</w:t>
      </w:r>
    </w:p>
    <w:p w:rsidR="006605E0" w:rsidRPr="006605E0" w:rsidRDefault="002D30E1" w:rsidP="00106DF4">
      <w:pPr>
        <w:rPr>
          <w:b/>
          <w:i/>
          <w:szCs w:val="18"/>
          <w:u w:val="single"/>
        </w:rPr>
      </w:pPr>
      <w:proofErr w:type="spellStart"/>
      <w:r w:rsidRPr="00C608E8">
        <w:rPr>
          <w:i/>
          <w:szCs w:val="18"/>
        </w:rPr>
        <w:t>Circular</w:t>
      </w:r>
      <w:proofErr w:type="spellEnd"/>
      <w:r w:rsidRPr="00C608E8">
        <w:rPr>
          <w:i/>
          <w:szCs w:val="18"/>
        </w:rPr>
        <w:t xml:space="preserve"> Economy</w:t>
      </w:r>
      <w:r>
        <w:rPr>
          <w:szCs w:val="18"/>
        </w:rPr>
        <w:t xml:space="preserve"> </w:t>
      </w:r>
      <w:r w:rsidR="003B389B">
        <w:rPr>
          <w:szCs w:val="18"/>
        </w:rPr>
        <w:t>sei ein</w:t>
      </w:r>
      <w:r w:rsidR="00366D14">
        <w:rPr>
          <w:szCs w:val="18"/>
        </w:rPr>
        <w:t xml:space="preserve"> </w:t>
      </w:r>
      <w:r w:rsidR="009734A2">
        <w:rPr>
          <w:szCs w:val="18"/>
        </w:rPr>
        <w:t>wichtige</w:t>
      </w:r>
      <w:r w:rsidR="003B389B">
        <w:rPr>
          <w:szCs w:val="18"/>
        </w:rPr>
        <w:t>r</w:t>
      </w:r>
      <w:r w:rsidR="009734A2">
        <w:rPr>
          <w:szCs w:val="18"/>
        </w:rPr>
        <w:t xml:space="preserve"> Arbeitsbereich der DBU</w:t>
      </w:r>
      <w:r w:rsidR="009B31F3">
        <w:rPr>
          <w:szCs w:val="18"/>
        </w:rPr>
        <w:t>,</w:t>
      </w:r>
      <w:r w:rsidR="003B389B">
        <w:rPr>
          <w:szCs w:val="18"/>
        </w:rPr>
        <w:t xml:space="preserve"> betonte Bonde und verwies beispielhaft auf</w:t>
      </w:r>
      <w:r w:rsidR="009B31F3">
        <w:rPr>
          <w:szCs w:val="18"/>
        </w:rPr>
        <w:t xml:space="preserve"> zwei</w:t>
      </w:r>
      <w:r w:rsidR="003B389B">
        <w:rPr>
          <w:szCs w:val="18"/>
        </w:rPr>
        <w:t xml:space="preserve"> seitens der</w:t>
      </w:r>
      <w:r w:rsidR="009B31F3">
        <w:rPr>
          <w:szCs w:val="18"/>
        </w:rPr>
        <w:t xml:space="preserve"> DBU geförderte Projekte</w:t>
      </w:r>
      <w:r w:rsidR="00C608E8">
        <w:rPr>
          <w:szCs w:val="18"/>
        </w:rPr>
        <w:t>: Heizungspumpen – und darin enthaltenen Magnete aus Seltenerd-Metallen wie Neodym – werden weiterverwertet</w:t>
      </w:r>
      <w:r w:rsidR="009B31F3">
        <w:rPr>
          <w:szCs w:val="18"/>
        </w:rPr>
        <w:t xml:space="preserve"> statt verschrottet</w:t>
      </w:r>
      <w:r w:rsidR="00C608E8">
        <w:rPr>
          <w:szCs w:val="18"/>
        </w:rPr>
        <w:t xml:space="preserve">. </w:t>
      </w:r>
      <w:r w:rsidR="009B31F3">
        <w:rPr>
          <w:szCs w:val="18"/>
        </w:rPr>
        <w:t xml:space="preserve">Das lohnt sich bei einem jährlichen Austausch von etwa </w:t>
      </w:r>
      <w:r w:rsidR="006D1F2A">
        <w:rPr>
          <w:szCs w:val="18"/>
        </w:rPr>
        <w:t>eine</w:t>
      </w:r>
      <w:r w:rsidR="009B31F3">
        <w:rPr>
          <w:szCs w:val="18"/>
        </w:rPr>
        <w:t>r</w:t>
      </w:r>
      <w:r w:rsidR="006D1F2A">
        <w:rPr>
          <w:szCs w:val="18"/>
        </w:rPr>
        <w:t xml:space="preserve"> Million Altpumpen</w:t>
      </w:r>
      <w:r w:rsidR="009734A2">
        <w:rPr>
          <w:szCs w:val="18"/>
        </w:rPr>
        <w:t xml:space="preserve"> in Deutschland</w:t>
      </w:r>
      <w:r w:rsidR="003B389B">
        <w:rPr>
          <w:szCs w:val="18"/>
        </w:rPr>
        <w:t xml:space="preserve"> – überdies, weil d</w:t>
      </w:r>
      <w:r w:rsidR="00F91C6A">
        <w:rPr>
          <w:szCs w:val="18"/>
        </w:rPr>
        <w:t>ie Produktion von Neodym zehn Mal mehr Treibhausgas-Emissionen als Kupfer</w:t>
      </w:r>
      <w:r w:rsidR="003B389B">
        <w:rPr>
          <w:szCs w:val="18"/>
        </w:rPr>
        <w:t xml:space="preserve"> verursacht und</w:t>
      </w:r>
      <w:r w:rsidR="00366D14">
        <w:rPr>
          <w:szCs w:val="18"/>
        </w:rPr>
        <w:t xml:space="preserve"> </w:t>
      </w:r>
      <w:r w:rsidR="00F91C6A">
        <w:rPr>
          <w:szCs w:val="18"/>
        </w:rPr>
        <w:t>die Abhängigkeit groß</w:t>
      </w:r>
      <w:r w:rsidR="003B389B">
        <w:rPr>
          <w:szCs w:val="18"/>
        </w:rPr>
        <w:t xml:space="preserve"> ist</w:t>
      </w:r>
      <w:r w:rsidR="00F91C6A">
        <w:rPr>
          <w:szCs w:val="18"/>
        </w:rPr>
        <w:t xml:space="preserve">: 97 Prozent des Metalls stammen </w:t>
      </w:r>
      <w:r w:rsidR="003B389B">
        <w:rPr>
          <w:szCs w:val="18"/>
        </w:rPr>
        <w:t xml:space="preserve">nämlich </w:t>
      </w:r>
      <w:r w:rsidR="00F91C6A">
        <w:rPr>
          <w:szCs w:val="18"/>
        </w:rPr>
        <w:t xml:space="preserve">aus China. </w:t>
      </w:r>
      <w:r w:rsidR="00366D14">
        <w:rPr>
          <w:szCs w:val="18"/>
        </w:rPr>
        <w:t xml:space="preserve">Ein anderes </w:t>
      </w:r>
      <w:r w:rsidR="009734A2">
        <w:rPr>
          <w:szCs w:val="18"/>
        </w:rPr>
        <w:t>DBU-</w:t>
      </w:r>
      <w:r w:rsidR="00366D14">
        <w:rPr>
          <w:szCs w:val="18"/>
        </w:rPr>
        <w:t xml:space="preserve">Projekt </w:t>
      </w:r>
      <w:r w:rsidR="009B31F3">
        <w:rPr>
          <w:szCs w:val="18"/>
        </w:rPr>
        <w:t>soll</w:t>
      </w:r>
      <w:r w:rsidR="00366D14">
        <w:rPr>
          <w:szCs w:val="18"/>
        </w:rPr>
        <w:t xml:space="preserve"> die Rohstoff-Vergeudung bei Einweg</w:t>
      </w:r>
      <w:r w:rsidR="00FB5F4A">
        <w:rPr>
          <w:szCs w:val="18"/>
        </w:rPr>
        <w:t>-F</w:t>
      </w:r>
      <w:r w:rsidR="00366D14">
        <w:rPr>
          <w:szCs w:val="18"/>
        </w:rPr>
        <w:t>euerzeugen eindämmen.</w:t>
      </w:r>
      <w:r w:rsidR="006D1F2A">
        <w:rPr>
          <w:szCs w:val="18"/>
        </w:rPr>
        <w:t xml:space="preserve"> </w:t>
      </w:r>
      <w:r w:rsidR="00F95C81">
        <w:rPr>
          <w:szCs w:val="18"/>
        </w:rPr>
        <w:t xml:space="preserve">Das Potenzial ist riesig: </w:t>
      </w:r>
      <w:r w:rsidR="009B31F3">
        <w:rPr>
          <w:szCs w:val="18"/>
        </w:rPr>
        <w:t>I</w:t>
      </w:r>
      <w:r w:rsidR="006D1F2A">
        <w:rPr>
          <w:szCs w:val="18"/>
        </w:rPr>
        <w:t xml:space="preserve">n der EU werden jedes Jahr rund eine Milliarde </w:t>
      </w:r>
      <w:r w:rsidR="00366D14">
        <w:rPr>
          <w:szCs w:val="18"/>
        </w:rPr>
        <w:t>davon</w:t>
      </w:r>
      <w:r w:rsidR="006D1F2A">
        <w:rPr>
          <w:szCs w:val="18"/>
        </w:rPr>
        <w:t xml:space="preserve"> verkauft, darunter 160 Millionen in Deutschland – hintereinander gelegt so viel wie der Durchmesser der Erde.</w:t>
      </w:r>
      <w:r w:rsidR="003A71AB">
        <w:rPr>
          <w:szCs w:val="18"/>
        </w:rPr>
        <w:br/>
      </w:r>
      <w:r w:rsidR="003A71AB" w:rsidRPr="009B1F11">
        <w:rPr>
          <w:b/>
          <w:sz w:val="14"/>
          <w:szCs w:val="14"/>
        </w:rPr>
        <w:t xml:space="preserve">Die Jahrespressekonferenz gibt es auch als Aufzeichnung: </w:t>
      </w:r>
      <w:hyperlink r:id="rId10" w:history="1">
        <w:r w:rsidR="003A71AB" w:rsidRPr="009B1F11">
          <w:rPr>
            <w:rStyle w:val="Hyperlink"/>
            <w:b/>
            <w:sz w:val="14"/>
            <w:szCs w:val="14"/>
          </w:rPr>
          <w:t>https://youtu.be/0GqETjkuFqE</w:t>
        </w:r>
      </w:hyperlink>
      <w:r w:rsidR="003A71AB" w:rsidRPr="009B1F11">
        <w:rPr>
          <w:b/>
          <w:sz w:val="14"/>
          <w:szCs w:val="14"/>
        </w:rPr>
        <w:t xml:space="preserve"> </w:t>
      </w:r>
      <w:r w:rsidR="003A71AB" w:rsidRPr="009B1F11">
        <w:rPr>
          <w:b/>
          <w:sz w:val="14"/>
          <w:szCs w:val="14"/>
        </w:rPr>
        <w:br/>
      </w:r>
      <w:r w:rsidR="006B652C">
        <w:rPr>
          <w:szCs w:val="18"/>
        </w:rPr>
        <w:lastRenderedPageBreak/>
        <w:br/>
      </w:r>
      <w:r w:rsidR="004604B6" w:rsidRPr="006605E0">
        <w:rPr>
          <w:b/>
          <w:i/>
          <w:szCs w:val="18"/>
          <w:u w:val="single"/>
        </w:rPr>
        <w:t>Hintergrund:</w:t>
      </w:r>
    </w:p>
    <w:p w:rsidR="006605E0" w:rsidRPr="005278D2" w:rsidRDefault="006605E0" w:rsidP="005278D2">
      <w:pPr>
        <w:pStyle w:val="Listenabsatz"/>
        <w:numPr>
          <w:ilvl w:val="0"/>
          <w:numId w:val="8"/>
        </w:numPr>
        <w:rPr>
          <w:b/>
          <w:bCs/>
          <w:szCs w:val="18"/>
        </w:rPr>
      </w:pPr>
      <w:r w:rsidRPr="005278D2">
        <w:rPr>
          <w:b/>
          <w:bCs/>
          <w:szCs w:val="18"/>
        </w:rPr>
        <w:t>Wald:</w:t>
      </w:r>
    </w:p>
    <w:p w:rsidR="006605E0" w:rsidRPr="00345574" w:rsidRDefault="006605E0" w:rsidP="006605E0">
      <w:pPr>
        <w:pStyle w:val="Listenabsatz"/>
        <w:numPr>
          <w:ilvl w:val="0"/>
          <w:numId w:val="7"/>
        </w:numPr>
        <w:spacing w:after="240" w:line="300" w:lineRule="atLeast"/>
        <w:rPr>
          <w:rFonts w:ascii="Verdana" w:hAnsi="Verdana"/>
          <w:b/>
          <w:bCs/>
          <w:sz w:val="18"/>
          <w:szCs w:val="18"/>
        </w:rPr>
      </w:pPr>
      <w:r>
        <w:rPr>
          <w:rFonts w:ascii="Verdana" w:hAnsi="Verdana"/>
          <w:b/>
          <w:bCs/>
          <w:sz w:val="18"/>
          <w:szCs w:val="18"/>
        </w:rPr>
        <w:t>AZ 23634: Projekt DSS-WAMOS (</w:t>
      </w:r>
      <w:proofErr w:type="spellStart"/>
      <w:r>
        <w:rPr>
          <w:rFonts w:ascii="Verdana" w:hAnsi="Verdana"/>
          <w:b/>
          <w:bCs/>
          <w:sz w:val="18"/>
          <w:szCs w:val="18"/>
        </w:rPr>
        <w:t>Decision</w:t>
      </w:r>
      <w:proofErr w:type="spellEnd"/>
      <w:r>
        <w:rPr>
          <w:rFonts w:ascii="Verdana" w:hAnsi="Verdana"/>
          <w:b/>
          <w:bCs/>
          <w:sz w:val="18"/>
          <w:szCs w:val="18"/>
        </w:rPr>
        <w:t>-Support-System Wald-Moor-Schutz)</w:t>
      </w:r>
      <w:r>
        <w:rPr>
          <w:rFonts w:ascii="Verdana" w:hAnsi="Verdana"/>
          <w:b/>
          <w:bCs/>
          <w:sz w:val="18"/>
          <w:szCs w:val="18"/>
        </w:rPr>
        <w:br/>
      </w:r>
      <w:r>
        <w:rPr>
          <w:rFonts w:ascii="Verdana" w:hAnsi="Verdana"/>
          <w:b/>
          <w:bCs/>
          <w:sz w:val="18"/>
          <w:szCs w:val="18"/>
        </w:rPr>
        <w:br/>
      </w:r>
      <w:r>
        <w:rPr>
          <w:rFonts w:ascii="Verdana" w:hAnsi="Verdana"/>
          <w:bCs/>
          <w:sz w:val="18"/>
          <w:szCs w:val="18"/>
        </w:rPr>
        <w:t xml:space="preserve">Mit diesem Projekt hat die Deutsche Bundesstiftung Umwelt ein Vorhaben gefördert, um schrittweise ein entwässertes und deshalb klimaschädliches </w:t>
      </w:r>
      <w:proofErr w:type="spellStart"/>
      <w:r>
        <w:rPr>
          <w:rFonts w:ascii="Verdana" w:hAnsi="Verdana"/>
          <w:bCs/>
          <w:sz w:val="18"/>
          <w:szCs w:val="18"/>
        </w:rPr>
        <w:t>Waldmoor</w:t>
      </w:r>
      <w:proofErr w:type="spellEnd"/>
      <w:r>
        <w:rPr>
          <w:rFonts w:ascii="Verdana" w:hAnsi="Verdana"/>
          <w:bCs/>
          <w:sz w:val="18"/>
          <w:szCs w:val="18"/>
        </w:rPr>
        <w:t xml:space="preserve"> wieder in ein nasses und klimaschützendes Areal zu verwandeln. </w:t>
      </w:r>
      <w:r w:rsidR="00345574">
        <w:rPr>
          <w:rFonts w:ascii="Verdana" w:hAnsi="Verdana"/>
          <w:bCs/>
          <w:sz w:val="18"/>
          <w:szCs w:val="18"/>
        </w:rPr>
        <w:t xml:space="preserve">Wälder und Waldmoore sind äußerst klimarelevant. Eine große Rolle spielt dabei, Wasser in der Landschaft und also auch im Wald zu halten. </w:t>
      </w:r>
      <w:r>
        <w:rPr>
          <w:rFonts w:ascii="Verdana" w:hAnsi="Verdana"/>
          <w:bCs/>
          <w:sz w:val="18"/>
          <w:szCs w:val="18"/>
        </w:rPr>
        <w:t>Das DSS-WAMOS soll eine Managementstrategie für derartige Waldmoore auf den Weg bringen</w:t>
      </w:r>
      <w:r w:rsidR="00345574">
        <w:rPr>
          <w:rFonts w:ascii="Verdana" w:hAnsi="Verdana"/>
          <w:bCs/>
          <w:sz w:val="18"/>
          <w:szCs w:val="18"/>
        </w:rPr>
        <w:t>. Es wurde ein digitales Entscheidungshilfesystem entwickelt, das zusammen mit Forsteinrichtungen in Brandenburg, Niedersachsen, Bayern und Mecklenburg-Vorpommern in der Praxis erprobt wurde</w:t>
      </w:r>
      <w:r w:rsidR="00345574">
        <w:rPr>
          <w:rFonts w:ascii="Verdana" w:hAnsi="Verdana"/>
          <w:bCs/>
          <w:sz w:val="18"/>
          <w:szCs w:val="18"/>
        </w:rPr>
        <w:br/>
      </w:r>
    </w:p>
    <w:p w:rsidR="006605E0" w:rsidRPr="004244BB" w:rsidRDefault="00345574" w:rsidP="00892472">
      <w:pPr>
        <w:pStyle w:val="Listenabsatz"/>
        <w:numPr>
          <w:ilvl w:val="0"/>
          <w:numId w:val="7"/>
        </w:numPr>
        <w:spacing w:after="240" w:line="300" w:lineRule="atLeast"/>
        <w:rPr>
          <w:rFonts w:ascii="Verdana" w:hAnsi="Verdana"/>
          <w:bCs/>
          <w:sz w:val="18"/>
          <w:szCs w:val="18"/>
          <w:lang w:eastAsia="de-DE"/>
        </w:rPr>
      </w:pPr>
      <w:r w:rsidRPr="004244BB">
        <w:rPr>
          <w:rFonts w:ascii="Verdana" w:hAnsi="Verdana"/>
          <w:b/>
          <w:bCs/>
          <w:sz w:val="18"/>
          <w:szCs w:val="18"/>
        </w:rPr>
        <w:t>AZ 35631: Erhalt von Biodiversität auf Windwurfflächen</w:t>
      </w:r>
      <w:r w:rsidRPr="004244BB">
        <w:rPr>
          <w:rFonts w:ascii="Verdana" w:hAnsi="Verdana"/>
          <w:b/>
          <w:bCs/>
          <w:sz w:val="18"/>
          <w:szCs w:val="18"/>
        </w:rPr>
        <w:br/>
      </w:r>
      <w:r w:rsidRPr="004244BB">
        <w:rPr>
          <w:rFonts w:ascii="Verdana" w:hAnsi="Verdana"/>
          <w:b/>
          <w:bCs/>
          <w:sz w:val="18"/>
          <w:szCs w:val="18"/>
        </w:rPr>
        <w:br/>
      </w:r>
      <w:r w:rsidRPr="004244BB">
        <w:rPr>
          <w:rFonts w:ascii="Verdana" w:hAnsi="Verdana"/>
          <w:bCs/>
          <w:sz w:val="18"/>
          <w:szCs w:val="18"/>
        </w:rPr>
        <w:t xml:space="preserve">Trockenheit, Schädlingsbefall und Stürme: All das hat den Wäldern in den vergangenen Jahren sehr zugesetzt. Eine Folge: Totholz. Die DBU fördert </w:t>
      </w:r>
      <w:r w:rsidR="004244BB" w:rsidRPr="004244BB">
        <w:rPr>
          <w:rFonts w:ascii="Verdana" w:hAnsi="Verdana"/>
          <w:bCs/>
          <w:sz w:val="18"/>
          <w:szCs w:val="18"/>
        </w:rPr>
        <w:t xml:space="preserve">mit 197.000 Euro </w:t>
      </w:r>
      <w:r w:rsidRPr="004244BB">
        <w:rPr>
          <w:rFonts w:ascii="Verdana" w:hAnsi="Verdana"/>
          <w:bCs/>
          <w:sz w:val="18"/>
          <w:szCs w:val="18"/>
        </w:rPr>
        <w:t>ein Projekt, das in Zusammenarbeit mit der Julius-Maximilians-Universität Würzburg</w:t>
      </w:r>
      <w:r w:rsidR="004244BB" w:rsidRPr="004244BB">
        <w:rPr>
          <w:rFonts w:ascii="Verdana" w:hAnsi="Verdana"/>
          <w:bCs/>
          <w:sz w:val="18"/>
          <w:szCs w:val="18"/>
        </w:rPr>
        <w:t xml:space="preserve"> Buchenwälder in Bayern, darunter de</w:t>
      </w:r>
      <w:r w:rsidR="00EA1614">
        <w:rPr>
          <w:rFonts w:ascii="Verdana" w:hAnsi="Verdana"/>
          <w:bCs/>
          <w:sz w:val="18"/>
          <w:szCs w:val="18"/>
        </w:rPr>
        <w:t>n</w:t>
      </w:r>
      <w:r w:rsidR="004244BB" w:rsidRPr="004244BB">
        <w:rPr>
          <w:rFonts w:ascii="Verdana" w:hAnsi="Verdana"/>
          <w:bCs/>
          <w:sz w:val="18"/>
          <w:szCs w:val="18"/>
        </w:rPr>
        <w:t xml:space="preserve"> Steigerwald, unter die Lupe nimmt – und zwar jene Flächen, die besonders von </w:t>
      </w:r>
      <w:proofErr w:type="spellStart"/>
      <w:r w:rsidR="004244BB" w:rsidRPr="004244BB">
        <w:rPr>
          <w:rFonts w:ascii="Verdana" w:hAnsi="Verdana"/>
          <w:bCs/>
          <w:sz w:val="18"/>
          <w:szCs w:val="18"/>
        </w:rPr>
        <w:t>Windwurf</w:t>
      </w:r>
      <w:proofErr w:type="spellEnd"/>
      <w:r w:rsidR="004244BB" w:rsidRPr="004244BB">
        <w:rPr>
          <w:rFonts w:ascii="Verdana" w:hAnsi="Verdana"/>
          <w:bCs/>
          <w:sz w:val="18"/>
          <w:szCs w:val="18"/>
        </w:rPr>
        <w:t>, also umgeknickten Bäumen, betroffen waren. Getestet werden sollen unterschiedliche Verfahren zum Umgang mit solchen Arealen – verbunden auch mit der Frage, inwieweit Totholz einen Beitrag zu mehr Biodiversität und Artenvielfalt leisten kann (</w:t>
      </w:r>
      <w:hyperlink r:id="rId11" w:history="1">
        <w:r w:rsidR="006605E0" w:rsidRPr="004244BB">
          <w:rPr>
            <w:rStyle w:val="Hyperlink"/>
            <w:rFonts w:ascii="Verdana" w:hAnsi="Verdana"/>
            <w:bCs/>
            <w:sz w:val="18"/>
            <w:szCs w:val="18"/>
            <w:lang w:eastAsia="de-DE"/>
          </w:rPr>
          <w:t xml:space="preserve">Nachhaltigerer Umgang </w:t>
        </w:r>
        <w:r w:rsidR="006605E0" w:rsidRPr="004244BB">
          <w:rPr>
            <w:rStyle w:val="Hyperlink"/>
            <w:rFonts w:ascii="Verdana" w:hAnsi="Verdana"/>
            <w:bCs/>
            <w:sz w:val="18"/>
            <w:szCs w:val="18"/>
            <w:lang w:eastAsia="de-DE"/>
          </w:rPr>
          <w:t>m</w:t>
        </w:r>
        <w:r w:rsidR="006605E0" w:rsidRPr="004244BB">
          <w:rPr>
            <w:rStyle w:val="Hyperlink"/>
            <w:rFonts w:ascii="Verdana" w:hAnsi="Verdana"/>
            <w:bCs/>
            <w:sz w:val="18"/>
            <w:szCs w:val="18"/>
            <w:lang w:eastAsia="de-DE"/>
          </w:rPr>
          <w:t>it Sturmschäden in Wäldern</w:t>
        </w:r>
      </w:hyperlink>
      <w:r w:rsidR="006605E0" w:rsidRPr="004244BB">
        <w:rPr>
          <w:rFonts w:ascii="Verdana" w:hAnsi="Verdana"/>
          <w:bCs/>
          <w:sz w:val="18"/>
          <w:szCs w:val="18"/>
          <w:lang w:eastAsia="de-DE"/>
        </w:rPr>
        <w:t>)</w:t>
      </w:r>
      <w:r w:rsidR="004244BB">
        <w:rPr>
          <w:rFonts w:ascii="Verdana" w:hAnsi="Verdana"/>
          <w:bCs/>
          <w:sz w:val="18"/>
          <w:szCs w:val="18"/>
          <w:lang w:eastAsia="de-DE"/>
        </w:rPr>
        <w:br/>
      </w:r>
    </w:p>
    <w:p w:rsidR="00D5406E" w:rsidRPr="00D5406E" w:rsidRDefault="006605E0" w:rsidP="00D5406E">
      <w:pPr>
        <w:pStyle w:val="Listenabsatz"/>
        <w:numPr>
          <w:ilvl w:val="0"/>
          <w:numId w:val="7"/>
        </w:numPr>
        <w:spacing w:after="240" w:line="300" w:lineRule="atLeast"/>
        <w:ind w:left="714" w:hanging="357"/>
        <w:rPr>
          <w:rFonts w:ascii="Verdana" w:hAnsi="Verdana"/>
          <w:sz w:val="18"/>
          <w:szCs w:val="18"/>
        </w:rPr>
      </w:pPr>
      <w:r>
        <w:rPr>
          <w:rFonts w:ascii="Verdana" w:hAnsi="Verdana"/>
          <w:b/>
          <w:sz w:val="18"/>
          <w:szCs w:val="18"/>
        </w:rPr>
        <w:t>„Holz von Hier“</w:t>
      </w:r>
      <w:r>
        <w:rPr>
          <w:rFonts w:ascii="Verdana" w:hAnsi="Verdana"/>
          <w:b/>
          <w:sz w:val="18"/>
          <w:szCs w:val="18"/>
        </w:rPr>
        <w:br/>
      </w:r>
      <w:r>
        <w:rPr>
          <w:rFonts w:ascii="Verdana" w:hAnsi="Verdana"/>
          <w:b/>
          <w:sz w:val="18"/>
          <w:szCs w:val="18"/>
        </w:rPr>
        <w:br/>
      </w:r>
      <w:r>
        <w:rPr>
          <w:rFonts w:ascii="Verdana" w:hAnsi="Verdana"/>
          <w:sz w:val="18"/>
          <w:szCs w:val="18"/>
        </w:rPr>
        <w:t>Die DBU hat schon früh verschiedene Projekte der Initiative „Holz von Hier“ (HVH) unterstützt. Deren Bestreben ist es, regionale und nachhaltige Holzproduktion sowie Holzverarbeitung zu fördern. Nur wenn das gesamte Holz aus nachhaltiger Forstwirtschaft stammt, darf man das Siegel verwenden. Ein Kriterium unter anderen: kurze Transportwege des Holzes vom Wald über alle Verarbeitungsschritte bis zum fertigen Produkt</w:t>
      </w:r>
      <w:r>
        <w:rPr>
          <w:rFonts w:ascii="Verdana" w:hAnsi="Verdana"/>
          <w:sz w:val="18"/>
          <w:szCs w:val="18"/>
        </w:rPr>
        <w:br/>
      </w:r>
      <w:hyperlink r:id="rId12" w:history="1">
        <w:r w:rsidRPr="009211E3">
          <w:rPr>
            <w:rStyle w:val="Hyperlink"/>
            <w:rFonts w:ascii="Verdana" w:hAnsi="Verdana"/>
            <w:sz w:val="18"/>
            <w:szCs w:val="18"/>
          </w:rPr>
          <w:t>https://www.dbu.de/708ibook83380_38810_2486.html</w:t>
        </w:r>
      </w:hyperlink>
      <w:r>
        <w:rPr>
          <w:rFonts w:ascii="Verdana" w:hAnsi="Verdana"/>
          <w:sz w:val="18"/>
          <w:szCs w:val="18"/>
        </w:rPr>
        <w:t xml:space="preserve"> </w:t>
      </w:r>
      <w:r>
        <w:rPr>
          <w:rFonts w:ascii="Verdana" w:hAnsi="Verdana"/>
          <w:sz w:val="18"/>
          <w:szCs w:val="18"/>
        </w:rPr>
        <w:br/>
      </w:r>
      <w:hyperlink r:id="rId13" w:history="1">
        <w:r w:rsidRPr="009211E3">
          <w:rPr>
            <w:rStyle w:val="Hyperlink"/>
            <w:rFonts w:ascii="Verdana" w:hAnsi="Verdana"/>
            <w:sz w:val="18"/>
            <w:szCs w:val="18"/>
          </w:rPr>
          <w:t>https://www.dbu.de/projekt_33732/01_db_2848.html</w:t>
        </w:r>
      </w:hyperlink>
      <w:r>
        <w:rPr>
          <w:rFonts w:ascii="Verdana" w:hAnsi="Verdana"/>
          <w:sz w:val="18"/>
          <w:szCs w:val="18"/>
        </w:rPr>
        <w:t xml:space="preserve"> </w:t>
      </w:r>
      <w:r>
        <w:rPr>
          <w:rFonts w:ascii="Verdana" w:hAnsi="Verdana"/>
          <w:sz w:val="18"/>
          <w:szCs w:val="18"/>
        </w:rPr>
        <w:br/>
      </w:r>
      <w:hyperlink r:id="rId14" w:history="1">
        <w:r w:rsidRPr="009211E3">
          <w:rPr>
            <w:rStyle w:val="Hyperlink"/>
            <w:rFonts w:ascii="Verdana" w:hAnsi="Verdana"/>
            <w:sz w:val="18"/>
            <w:szCs w:val="18"/>
          </w:rPr>
          <w:t>https://www.dbu.de/OPAC/ab/DBU-Abschlussbericht-AZ-33732_01-Hauptbericht.pdf</w:t>
        </w:r>
      </w:hyperlink>
      <w:r>
        <w:rPr>
          <w:rFonts w:ascii="Verdana" w:hAnsi="Verdana"/>
          <w:sz w:val="18"/>
          <w:szCs w:val="18"/>
        </w:rPr>
        <w:t xml:space="preserve"> </w:t>
      </w:r>
      <w:r>
        <w:rPr>
          <w:rFonts w:ascii="Verdana" w:hAnsi="Verdana"/>
          <w:sz w:val="18"/>
          <w:szCs w:val="18"/>
        </w:rPr>
        <w:br/>
      </w:r>
      <w:hyperlink r:id="rId15" w:history="1">
        <w:r w:rsidRPr="009211E3">
          <w:rPr>
            <w:rStyle w:val="Hyperlink"/>
            <w:rFonts w:ascii="Verdana" w:hAnsi="Verdana"/>
            <w:sz w:val="18"/>
            <w:szCs w:val="18"/>
          </w:rPr>
          <w:t>https://www.holz-von-hier.eu/unterstuetzer/</w:t>
        </w:r>
      </w:hyperlink>
      <w:r>
        <w:rPr>
          <w:rFonts w:ascii="Verdana" w:hAnsi="Verdana"/>
          <w:sz w:val="18"/>
          <w:szCs w:val="18"/>
        </w:rPr>
        <w:t xml:space="preserve"> </w:t>
      </w:r>
      <w:r>
        <w:rPr>
          <w:rFonts w:ascii="Verdana" w:hAnsi="Verdana"/>
          <w:sz w:val="18"/>
          <w:szCs w:val="18"/>
        </w:rPr>
        <w:br/>
      </w:r>
      <w:hyperlink r:id="rId16" w:history="1">
        <w:r w:rsidRPr="009211E3">
          <w:rPr>
            <w:rStyle w:val="Hyperlink"/>
            <w:rFonts w:ascii="Verdana" w:hAnsi="Verdana"/>
            <w:sz w:val="18"/>
            <w:szCs w:val="18"/>
          </w:rPr>
          <w:t>https://www.holz-von-hier.eu/projekte/save-umweltfootprint-fuer-holzprodukte/</w:t>
        </w:r>
      </w:hyperlink>
      <w:r>
        <w:rPr>
          <w:rFonts w:ascii="Verdana" w:hAnsi="Verdana"/>
          <w:sz w:val="18"/>
          <w:szCs w:val="18"/>
        </w:rPr>
        <w:t xml:space="preserve"> </w:t>
      </w:r>
      <w:r>
        <w:rPr>
          <w:rFonts w:ascii="Verdana" w:hAnsi="Verdana"/>
          <w:sz w:val="18"/>
          <w:szCs w:val="18"/>
        </w:rPr>
        <w:br/>
      </w:r>
      <w:hyperlink r:id="rId17" w:history="1">
        <w:r w:rsidRPr="009211E3">
          <w:rPr>
            <w:rStyle w:val="Hyperlink"/>
            <w:rFonts w:ascii="Verdana" w:hAnsi="Verdana"/>
            <w:sz w:val="18"/>
            <w:szCs w:val="18"/>
          </w:rPr>
          <w:t>https://www.umweltbundesamt.de/umwelttipps-fuer-den-alltag/siegelkunde/holz-von-hier</w:t>
        </w:r>
      </w:hyperlink>
      <w:r w:rsidR="00D5406E">
        <w:rPr>
          <w:rFonts w:ascii="Verdana" w:hAnsi="Verdana"/>
          <w:sz w:val="18"/>
          <w:szCs w:val="18"/>
        </w:rPr>
        <w:br/>
      </w:r>
      <w:r w:rsidR="00D5406E">
        <w:rPr>
          <w:rFonts w:ascii="Verdana" w:hAnsi="Verdana"/>
          <w:sz w:val="18"/>
          <w:szCs w:val="18"/>
        </w:rPr>
        <w:lastRenderedPageBreak/>
        <w:br/>
      </w:r>
    </w:p>
    <w:p w:rsidR="006605E0" w:rsidRPr="005278D2" w:rsidRDefault="006605E0" w:rsidP="005278D2">
      <w:pPr>
        <w:pStyle w:val="Listenabsatz"/>
        <w:numPr>
          <w:ilvl w:val="0"/>
          <w:numId w:val="8"/>
        </w:numPr>
        <w:rPr>
          <w:b/>
          <w:szCs w:val="18"/>
        </w:rPr>
      </w:pPr>
      <w:r w:rsidRPr="005278D2">
        <w:rPr>
          <w:b/>
          <w:szCs w:val="18"/>
        </w:rPr>
        <w:t xml:space="preserve"> </w:t>
      </w:r>
      <w:proofErr w:type="spellStart"/>
      <w:r w:rsidRPr="005278D2">
        <w:rPr>
          <w:b/>
          <w:i/>
          <w:szCs w:val="18"/>
        </w:rPr>
        <w:t>Circular</w:t>
      </w:r>
      <w:proofErr w:type="spellEnd"/>
      <w:r w:rsidRPr="005278D2">
        <w:rPr>
          <w:b/>
          <w:i/>
          <w:szCs w:val="18"/>
        </w:rPr>
        <w:t xml:space="preserve"> Economy</w:t>
      </w:r>
      <w:r w:rsidRPr="005278D2">
        <w:rPr>
          <w:b/>
          <w:szCs w:val="18"/>
        </w:rPr>
        <w:t>:</w:t>
      </w:r>
    </w:p>
    <w:p w:rsidR="006605E0" w:rsidRDefault="006605E0" w:rsidP="006605E0">
      <w:pPr>
        <w:rPr>
          <w:b/>
          <w:bCs/>
          <w:szCs w:val="18"/>
          <w:u w:val="single"/>
        </w:rPr>
      </w:pPr>
    </w:p>
    <w:p w:rsidR="006605E0" w:rsidRPr="00635B61" w:rsidRDefault="006605E0" w:rsidP="006605E0">
      <w:pPr>
        <w:pStyle w:val="Listenabsatz"/>
        <w:numPr>
          <w:ilvl w:val="0"/>
          <w:numId w:val="6"/>
        </w:numPr>
        <w:spacing w:after="240" w:line="300" w:lineRule="atLeast"/>
        <w:rPr>
          <w:rFonts w:ascii="Verdana" w:hAnsi="Verdana"/>
          <w:b/>
          <w:bCs/>
          <w:sz w:val="18"/>
          <w:szCs w:val="18"/>
          <w:u w:val="single"/>
        </w:rPr>
      </w:pPr>
      <w:r>
        <w:rPr>
          <w:rFonts w:ascii="Verdana" w:hAnsi="Verdana"/>
          <w:b/>
          <w:bCs/>
          <w:sz w:val="18"/>
          <w:szCs w:val="18"/>
        </w:rPr>
        <w:t>AZ 34799: Erfolgversprechende Kreislaufführung von magnetischen Materialien (Jahresbericht 2020, S. 35f.), Förderzeitraum November 2018 bis November 2020</w:t>
      </w:r>
      <w:r>
        <w:rPr>
          <w:rFonts w:ascii="Verdana" w:hAnsi="Verdana"/>
          <w:b/>
          <w:bCs/>
          <w:sz w:val="18"/>
          <w:szCs w:val="18"/>
        </w:rPr>
        <w:br/>
      </w:r>
      <w:r>
        <w:rPr>
          <w:rFonts w:ascii="Verdana" w:hAnsi="Verdana"/>
          <w:b/>
          <w:bCs/>
          <w:sz w:val="18"/>
          <w:szCs w:val="18"/>
        </w:rPr>
        <w:br/>
      </w:r>
      <w:r>
        <w:rPr>
          <w:rFonts w:ascii="Verdana" w:hAnsi="Verdana"/>
          <w:bCs/>
          <w:sz w:val="18"/>
          <w:szCs w:val="18"/>
        </w:rPr>
        <w:t xml:space="preserve">Projektträger ist die Technische Universität Clausthal. Die </w:t>
      </w:r>
      <w:r w:rsidR="00B36FED">
        <w:rPr>
          <w:rFonts w:ascii="Verdana" w:hAnsi="Verdana"/>
          <w:bCs/>
          <w:sz w:val="18"/>
          <w:szCs w:val="18"/>
        </w:rPr>
        <w:t>DBU</w:t>
      </w:r>
      <w:r>
        <w:rPr>
          <w:rFonts w:ascii="Verdana" w:hAnsi="Verdana"/>
          <w:bCs/>
          <w:sz w:val="18"/>
          <w:szCs w:val="18"/>
        </w:rPr>
        <w:t xml:space="preserve"> hat das Vorhaben mit rund 125.000 Euro gefördert. </w:t>
      </w:r>
      <w:r w:rsidR="00B36FED">
        <w:rPr>
          <w:rFonts w:ascii="Verdana" w:hAnsi="Verdana"/>
          <w:bCs/>
          <w:sz w:val="18"/>
          <w:szCs w:val="18"/>
        </w:rPr>
        <w:t>Im Zentrum steht das</w:t>
      </w:r>
      <w:r>
        <w:rPr>
          <w:rFonts w:ascii="Verdana" w:hAnsi="Verdana"/>
          <w:bCs/>
          <w:sz w:val="18"/>
          <w:szCs w:val="18"/>
        </w:rPr>
        <w:t xml:space="preserve"> Recycling magnetische</w:t>
      </w:r>
      <w:r w:rsidR="00B36FED">
        <w:rPr>
          <w:rFonts w:ascii="Verdana" w:hAnsi="Verdana"/>
          <w:bCs/>
          <w:sz w:val="18"/>
          <w:szCs w:val="18"/>
        </w:rPr>
        <w:t>r</w:t>
      </w:r>
      <w:r>
        <w:rPr>
          <w:rFonts w:ascii="Verdana" w:hAnsi="Verdana"/>
          <w:bCs/>
          <w:sz w:val="18"/>
          <w:szCs w:val="18"/>
        </w:rPr>
        <w:t xml:space="preserve"> Materialien aus Generatoren von Windkraftanlagen, Elektromotoren und Elektronikschrott – und die Weiter- und Wiederverwertung zum Beispiel in E-Bikes. Konkret handelte es sich um sogenannte Neodym-Magnete. Neodym ist ein Seltenerd-Metall und eine teure Ressource. Die Gewinnung ist wegen der radioaktiven Begleitelemente, die in den Lagerstätten vorkommen, mit hohen Umweltrisiken verbunden. Überdies steht Neodym im Fokus wirtschaftspolitischer Einflussnahme. Eine Kreislaufführung würde erheblich zur Linderung der Probleme beitragen</w:t>
      </w:r>
      <w:r>
        <w:rPr>
          <w:rFonts w:ascii="Verdana" w:hAnsi="Verdana"/>
          <w:bCs/>
          <w:sz w:val="18"/>
          <w:szCs w:val="18"/>
        </w:rPr>
        <w:br/>
      </w:r>
    </w:p>
    <w:p w:rsidR="006605E0" w:rsidRPr="00FA0064" w:rsidRDefault="006605E0" w:rsidP="006605E0">
      <w:pPr>
        <w:pStyle w:val="Listenabsatz"/>
        <w:numPr>
          <w:ilvl w:val="0"/>
          <w:numId w:val="6"/>
        </w:numPr>
        <w:spacing w:after="240" w:line="300" w:lineRule="atLeast"/>
        <w:rPr>
          <w:rFonts w:ascii="Verdana" w:hAnsi="Verdana"/>
          <w:b/>
          <w:bCs/>
          <w:sz w:val="18"/>
          <w:szCs w:val="18"/>
          <w:u w:val="single"/>
        </w:rPr>
      </w:pPr>
      <w:r>
        <w:rPr>
          <w:rFonts w:ascii="Verdana" w:hAnsi="Verdana"/>
          <w:b/>
          <w:bCs/>
          <w:sz w:val="18"/>
          <w:szCs w:val="18"/>
        </w:rPr>
        <w:t>AZ 34829: Kreislaufführung von Einweg-Feuerzeugen (laufendes Projekt)</w:t>
      </w:r>
      <w:r>
        <w:rPr>
          <w:rFonts w:ascii="Verdana" w:hAnsi="Verdana"/>
          <w:b/>
          <w:bCs/>
          <w:sz w:val="18"/>
          <w:szCs w:val="18"/>
        </w:rPr>
        <w:br/>
      </w:r>
      <w:r>
        <w:rPr>
          <w:rFonts w:ascii="Verdana" w:hAnsi="Verdana"/>
          <w:b/>
          <w:bCs/>
          <w:sz w:val="18"/>
          <w:szCs w:val="18"/>
        </w:rPr>
        <w:br/>
      </w:r>
      <w:r w:rsidR="00B36FED">
        <w:rPr>
          <w:rFonts w:ascii="Verdana" w:hAnsi="Verdana"/>
          <w:bCs/>
          <w:sz w:val="18"/>
          <w:szCs w:val="18"/>
        </w:rPr>
        <w:t xml:space="preserve">Sie finden sich in Supermärkten, aber auch in fast jedem Kiosk um die Ecke: </w:t>
      </w:r>
      <w:r>
        <w:rPr>
          <w:rFonts w:ascii="Verdana" w:hAnsi="Verdana"/>
          <w:bCs/>
          <w:sz w:val="18"/>
          <w:szCs w:val="18"/>
        </w:rPr>
        <w:t xml:space="preserve">Einweg-Feuerzeuge. Eine kurze Zeit werden sie genutzt, dann entsorgt. Dabei gehen jedoch wertvolle Rohstoffe verloren. Ein von der </w:t>
      </w:r>
      <w:r w:rsidR="00B36FED">
        <w:rPr>
          <w:rFonts w:ascii="Verdana" w:hAnsi="Verdana"/>
          <w:bCs/>
          <w:sz w:val="18"/>
          <w:szCs w:val="18"/>
        </w:rPr>
        <w:t>DBU</w:t>
      </w:r>
      <w:r>
        <w:rPr>
          <w:rFonts w:ascii="Verdana" w:hAnsi="Verdana"/>
          <w:bCs/>
          <w:sz w:val="18"/>
          <w:szCs w:val="18"/>
        </w:rPr>
        <w:t xml:space="preserve"> gefördertes Projekt in Zusammenarbeit mit der Ostfalia Hochschule für angewandte Wissenschaften in Wolfsburg und LDR Löschmittel-Recycling und Umweltdienste in Harsefeld will das ändern. Das Ziel: Aufbereitungsprozesse für die ausgedienten Feuerzeuge zu entwickeln. Die Herausforderung: </w:t>
      </w:r>
      <w:proofErr w:type="spellStart"/>
      <w:r>
        <w:rPr>
          <w:rFonts w:ascii="Verdana" w:hAnsi="Verdana"/>
          <w:bCs/>
          <w:sz w:val="18"/>
          <w:szCs w:val="18"/>
        </w:rPr>
        <w:t>Restgase</w:t>
      </w:r>
      <w:proofErr w:type="spellEnd"/>
      <w:r>
        <w:rPr>
          <w:rFonts w:ascii="Verdana" w:hAnsi="Verdana"/>
          <w:bCs/>
          <w:sz w:val="18"/>
          <w:szCs w:val="18"/>
        </w:rPr>
        <w:t xml:space="preserve"> (Butan) aufzufangen</w:t>
      </w:r>
      <w:r w:rsidR="00165E3D">
        <w:rPr>
          <w:rFonts w:ascii="Verdana" w:hAnsi="Verdana"/>
          <w:bCs/>
          <w:sz w:val="18"/>
          <w:szCs w:val="18"/>
        </w:rPr>
        <w:t xml:space="preserve"> sowie</w:t>
      </w:r>
      <w:r>
        <w:rPr>
          <w:rFonts w:ascii="Verdana" w:hAnsi="Verdana"/>
          <w:bCs/>
          <w:sz w:val="18"/>
          <w:szCs w:val="18"/>
        </w:rPr>
        <w:t xml:space="preserve"> teils hochwertige Kunststoffe und Metalle für eine Kreislaufführung zu erhalten (</w:t>
      </w:r>
      <w:hyperlink r:id="rId18" w:history="1">
        <w:r w:rsidRPr="00FA0064">
          <w:rPr>
            <w:rStyle w:val="Hyperlink"/>
            <w:rFonts w:ascii="Verdana" w:hAnsi="Verdana"/>
            <w:sz w:val="18"/>
            <w:szCs w:val="18"/>
          </w:rPr>
          <w:t>„Recyceln statt wegwerfen: Zweites Leben für Feuerzeuge“</w:t>
        </w:r>
      </w:hyperlink>
      <w:r>
        <w:rPr>
          <w:rFonts w:ascii="Verdana" w:hAnsi="Verdana"/>
          <w:bCs/>
          <w:sz w:val="18"/>
          <w:szCs w:val="18"/>
        </w:rPr>
        <w:t>)</w:t>
      </w:r>
      <w:r>
        <w:rPr>
          <w:rFonts w:ascii="Verdana" w:hAnsi="Verdana"/>
          <w:b/>
          <w:bCs/>
          <w:sz w:val="18"/>
          <w:szCs w:val="18"/>
        </w:rPr>
        <w:br/>
      </w:r>
      <w:r>
        <w:rPr>
          <w:rFonts w:ascii="Verdana" w:hAnsi="Verdana"/>
          <w:b/>
          <w:bCs/>
          <w:sz w:val="18"/>
          <w:szCs w:val="18"/>
        </w:rPr>
        <w:br/>
      </w:r>
    </w:p>
    <w:p w:rsidR="00BA7369" w:rsidRPr="00B36FED" w:rsidRDefault="006605E0" w:rsidP="00E332D7">
      <w:pPr>
        <w:pStyle w:val="Listenabsatz"/>
        <w:numPr>
          <w:ilvl w:val="0"/>
          <w:numId w:val="6"/>
        </w:numPr>
        <w:rPr>
          <w:rFonts w:ascii="Verdana" w:hAnsi="Verdana"/>
          <w:szCs w:val="14"/>
        </w:rPr>
      </w:pPr>
      <w:r w:rsidRPr="00B36FED">
        <w:rPr>
          <w:b/>
          <w:bCs/>
          <w:szCs w:val="18"/>
        </w:rPr>
        <w:t>AZ 33943: Spotlight-Projekt „</w:t>
      </w:r>
      <w:proofErr w:type="spellStart"/>
      <w:r w:rsidRPr="00B36FED">
        <w:rPr>
          <w:b/>
          <w:bCs/>
          <w:szCs w:val="18"/>
        </w:rPr>
        <w:t>HeizKreis</w:t>
      </w:r>
      <w:proofErr w:type="spellEnd"/>
      <w:r w:rsidRPr="00B36FED">
        <w:rPr>
          <w:b/>
          <w:bCs/>
          <w:szCs w:val="18"/>
        </w:rPr>
        <w:t>“</w:t>
      </w:r>
      <w:r w:rsidRPr="00B36FED">
        <w:rPr>
          <w:b/>
          <w:bCs/>
          <w:szCs w:val="18"/>
        </w:rPr>
        <w:br/>
      </w:r>
      <w:r w:rsidR="00D5406E" w:rsidRPr="00B36FED">
        <w:rPr>
          <w:szCs w:val="18"/>
        </w:rPr>
        <w:br/>
      </w:r>
      <w:r w:rsidR="00B36FED" w:rsidRPr="00B36FED">
        <w:rPr>
          <w:szCs w:val="18"/>
        </w:rPr>
        <w:t>Jahr für Jahr werden</w:t>
      </w:r>
      <w:r w:rsidR="00D5406E" w:rsidRPr="00B36FED">
        <w:rPr>
          <w:szCs w:val="18"/>
        </w:rPr>
        <w:t xml:space="preserve"> Heizungspumpen</w:t>
      </w:r>
      <w:r w:rsidR="00B36FED" w:rsidRPr="00B36FED">
        <w:rPr>
          <w:szCs w:val="18"/>
        </w:rPr>
        <w:t xml:space="preserve"> in großen Mengen ausgetauscht und einfach entsorgt.</w:t>
      </w:r>
      <w:r w:rsidR="00D5406E" w:rsidRPr="00B36FED">
        <w:rPr>
          <w:szCs w:val="18"/>
        </w:rPr>
        <w:t xml:space="preserve"> </w:t>
      </w:r>
      <w:r w:rsidR="00B36FED" w:rsidRPr="00B36FED">
        <w:rPr>
          <w:szCs w:val="18"/>
        </w:rPr>
        <w:t>Doch</w:t>
      </w:r>
      <w:r w:rsidR="00D5406E" w:rsidRPr="00B36FED">
        <w:rPr>
          <w:szCs w:val="18"/>
        </w:rPr>
        <w:t xml:space="preserve"> sie enthalten kostbare Seltene Erden-Magnete. Seltene Erden wiederum zählen zu den begehrtesten Rohstoffen der Welt, ein Großteil wird für die Herstellung von Magneten verwendet</w:t>
      </w:r>
      <w:r w:rsidR="00B36FED" w:rsidRPr="00B36FED">
        <w:rPr>
          <w:szCs w:val="18"/>
        </w:rPr>
        <w:t>, etwa i</w:t>
      </w:r>
      <w:r w:rsidR="00D5406E" w:rsidRPr="00B36FED">
        <w:rPr>
          <w:szCs w:val="18"/>
        </w:rPr>
        <w:t>n den Rotoren von H</w:t>
      </w:r>
      <w:r w:rsidR="00B36FED" w:rsidRPr="00B36FED">
        <w:rPr>
          <w:szCs w:val="18"/>
        </w:rPr>
        <w:t>eizungs</w:t>
      </w:r>
      <w:r w:rsidR="00D5406E" w:rsidRPr="00B36FED">
        <w:rPr>
          <w:szCs w:val="18"/>
        </w:rPr>
        <w:t>pumpen</w:t>
      </w:r>
      <w:r w:rsidR="00B36FED" w:rsidRPr="00B36FED">
        <w:rPr>
          <w:szCs w:val="18"/>
        </w:rPr>
        <w:t>. Um dieses Material – das seine magnetische Kraft nicht verliert –</w:t>
      </w:r>
      <w:r w:rsidR="00E61C70">
        <w:rPr>
          <w:szCs w:val="18"/>
        </w:rPr>
        <w:t xml:space="preserve"> </w:t>
      </w:r>
      <w:r w:rsidR="00B36FED" w:rsidRPr="00B36FED">
        <w:rPr>
          <w:szCs w:val="18"/>
        </w:rPr>
        <w:t>zu bewahren, hat d</w:t>
      </w:r>
      <w:r w:rsidR="00D5406E" w:rsidRPr="00B36FED">
        <w:rPr>
          <w:szCs w:val="18"/>
        </w:rPr>
        <w:t xml:space="preserve">ie </w:t>
      </w:r>
      <w:r w:rsidR="00B36FED" w:rsidRPr="00B36FED">
        <w:rPr>
          <w:szCs w:val="18"/>
        </w:rPr>
        <w:t>DBU</w:t>
      </w:r>
      <w:r w:rsidR="00D5406E" w:rsidRPr="00B36FED">
        <w:rPr>
          <w:szCs w:val="18"/>
        </w:rPr>
        <w:t xml:space="preserve"> ein</w:t>
      </w:r>
      <w:r w:rsidR="00B36FED" w:rsidRPr="00B36FED">
        <w:rPr>
          <w:szCs w:val="18"/>
        </w:rPr>
        <w:t xml:space="preserve"> </w:t>
      </w:r>
      <w:r w:rsidR="00D5406E" w:rsidRPr="00B36FED">
        <w:rPr>
          <w:szCs w:val="18"/>
        </w:rPr>
        <w:t>Projekt gefördert</w:t>
      </w:r>
      <w:r w:rsidR="00B36FED" w:rsidRPr="00B36FED">
        <w:rPr>
          <w:szCs w:val="18"/>
        </w:rPr>
        <w:t xml:space="preserve">, damit Heizungspumpen Teil eines geschlossenen </w:t>
      </w:r>
      <w:r w:rsidR="007B356B">
        <w:rPr>
          <w:szCs w:val="18"/>
        </w:rPr>
        <w:t>K</w:t>
      </w:r>
      <w:bookmarkStart w:id="3" w:name="_GoBack"/>
      <w:bookmarkEnd w:id="3"/>
      <w:r w:rsidR="00B36FED" w:rsidRPr="00B36FED">
        <w:rPr>
          <w:szCs w:val="18"/>
        </w:rPr>
        <w:t>reislaufwirtschaftssystems werden – statt auf der Müllhalde zu landen (</w:t>
      </w:r>
      <w:hyperlink r:id="rId19" w:history="1">
        <w:r w:rsidR="00B36FED" w:rsidRPr="00B36FED">
          <w:rPr>
            <w:rStyle w:val="Hyperlink"/>
            <w:szCs w:val="18"/>
          </w:rPr>
          <w:t>https://www.dbu.de/29</w:t>
        </w:r>
        <w:r w:rsidR="00B36FED" w:rsidRPr="00B36FED">
          <w:rPr>
            <w:rStyle w:val="Hyperlink"/>
            <w:szCs w:val="18"/>
          </w:rPr>
          <w:t>8</w:t>
        </w:r>
        <w:r w:rsidR="00B36FED" w:rsidRPr="00B36FED">
          <w:rPr>
            <w:rStyle w:val="Hyperlink"/>
            <w:szCs w:val="18"/>
          </w:rPr>
          <w:t>5ibook83457_38668_.html</w:t>
        </w:r>
      </w:hyperlink>
      <w:r w:rsidR="00B36FED" w:rsidRPr="00B36FED">
        <w:rPr>
          <w:szCs w:val="18"/>
        </w:rPr>
        <w:t>)</w:t>
      </w:r>
      <w:r w:rsidR="00B36FED">
        <w:rPr>
          <w:szCs w:val="18"/>
        </w:rPr>
        <w:br/>
      </w:r>
      <w:r w:rsidR="00B36FED">
        <w:rPr>
          <w:szCs w:val="18"/>
        </w:rPr>
        <w:br/>
      </w:r>
      <w:r w:rsidR="00366D14" w:rsidRPr="00B36FED">
        <w:rPr>
          <w:b/>
          <w:sz w:val="14"/>
          <w:szCs w:val="14"/>
        </w:rPr>
        <w:br/>
      </w:r>
      <w:bookmarkEnd w:id="2"/>
      <w:r w:rsidR="00380294" w:rsidRPr="00B36FED">
        <w:rPr>
          <w:rFonts w:ascii="Verdana" w:hAnsi="Verdana"/>
          <w:b/>
          <w:bCs/>
          <w:sz w:val="14"/>
          <w:szCs w:val="14"/>
        </w:rPr>
        <w:t xml:space="preserve">Fotos nach IPTC-Standard zur kostenfreien Veröffentlichung unter </w:t>
      </w:r>
      <w:r w:rsidR="00380294" w:rsidRPr="00B36FED">
        <w:rPr>
          <w:rFonts w:ascii="Verdana" w:hAnsi="Verdana"/>
          <w:b/>
          <w:bCs/>
          <w:color w:val="0000FF"/>
          <w:sz w:val="14"/>
          <w:szCs w:val="14"/>
        </w:rPr>
        <w:t xml:space="preserve">www.dbu.de </w:t>
      </w:r>
      <w:r w:rsidR="00380294" w:rsidRPr="00B36FED">
        <w:rPr>
          <w:rFonts w:ascii="Verdana" w:hAnsi="Verdana"/>
          <w:sz w:val="14"/>
          <w:szCs w:val="14"/>
        </w:rPr>
        <w:t>Wann immer das generische Maskulinum verwendet wird, dient dies lediglich der besseren Lesbarkeit. Gemeint sein können aber alle Geschlechter.</w:t>
      </w:r>
    </w:p>
    <w:sectPr w:rsidR="00BA7369" w:rsidRPr="00B36FED" w:rsidSect="00BA7369">
      <w:headerReference w:type="even" r:id="rId20"/>
      <w:headerReference w:type="default" r:id="rId21"/>
      <w:footerReference w:type="default" r:id="rId22"/>
      <w:headerReference w:type="first" r:id="rId23"/>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D4" w:rsidRDefault="00787AD4" w:rsidP="00E46043">
      <w:r>
        <w:separator/>
      </w:r>
    </w:p>
  </w:endnote>
  <w:endnote w:type="continuationSeparator" w:id="0">
    <w:p w:rsidR="00787AD4" w:rsidRDefault="00787AD4"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B2" w:rsidRDefault="00396D75">
    <w:pPr>
      <w:pStyle w:val="Fuzeile"/>
    </w:pPr>
    <w:r>
      <w:rPr>
        <w:noProof/>
      </w:rPr>
      <mc:AlternateContent>
        <mc:Choice Requires="wps">
          <w:drawing>
            <wp:anchor distT="0" distB="0" distL="114300" distR="114300" simplePos="0" relativeHeight="251663360" behindDoc="0" locked="0" layoutInCell="1" allowOverlap="1" wp14:anchorId="1906BE57" wp14:editId="32C0D72A">
              <wp:simplePos x="0" y="0"/>
              <wp:positionH relativeFrom="column">
                <wp:posOffset>-189132</wp:posOffset>
              </wp:positionH>
              <wp:positionV relativeFrom="paragraph">
                <wp:posOffset>-857738</wp:posOffset>
              </wp:positionV>
              <wp:extent cx="7239000" cy="47432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743205"/>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410"/>
                            <w:gridCol w:w="2410"/>
                          </w:tblGrid>
                          <w:tr w:rsidR="00882F40" w:rsidRPr="00C159DF" w:rsidTr="00F35A04">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361397">
                                  <w:rPr>
                                    <w:b/>
                                    <w:sz w:val="12"/>
                                    <w:szCs w:val="12"/>
                                  </w:rPr>
                                  <w:t>081</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Kerstin Heemann/Sophie Scherler</w:t>
                                </w:r>
                              </w:p>
                              <w:p w:rsidR="002868FD" w:rsidRPr="002868FD" w:rsidRDefault="002868FD" w:rsidP="002868FD">
                                <w:pPr>
                                  <w:spacing w:after="0" w:line="240" w:lineRule="auto"/>
                                  <w:rPr>
                                    <w:sz w:val="12"/>
                                    <w:szCs w:val="12"/>
                                  </w:rPr>
                                </w:pPr>
                                <w:r w:rsidRPr="002868FD">
                                  <w:rPr>
                                    <w:sz w:val="12"/>
                                    <w:szCs w:val="12"/>
                                  </w:rPr>
                                  <w:t>Katja Behrendt/Michelle Liedtke</w:t>
                                </w:r>
                              </w:p>
                              <w:p w:rsidR="00882F40" w:rsidRPr="009D4E36" w:rsidRDefault="00F62899"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DBU-Pressestelle</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C52860">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9633-521</w:t>
                                </w:r>
                              </w:p>
                              <w:p w:rsidR="00C52860" w:rsidRPr="002868FD" w:rsidRDefault="00882F40" w:rsidP="00C52860">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C52860" w:rsidRPr="002868FD">
                                    <w:rPr>
                                      <w:rStyle w:val="Hyperlink"/>
                                      <w:sz w:val="12"/>
                                      <w:szCs w:val="12"/>
                                    </w:rPr>
                                    <w:t>presse@dbu.de</w:t>
                                  </w:r>
                                </w:hyperlink>
                              </w:p>
                              <w:p w:rsidR="002868FD" w:rsidRPr="002868FD" w:rsidRDefault="00142E4C" w:rsidP="002868FD">
                                <w:pPr>
                                  <w:tabs>
                                    <w:tab w:val="left" w:pos="743"/>
                                  </w:tabs>
                                  <w:spacing w:after="0" w:line="240" w:lineRule="auto"/>
                                  <w:rPr>
                                    <w:rStyle w:val="Hyperlink"/>
                                    <w:sz w:val="12"/>
                                    <w:szCs w:val="12"/>
                                  </w:rPr>
                                </w:pPr>
                                <w:hyperlink r:id="rId2" w:history="1">
                                  <w:r w:rsidR="002868FD" w:rsidRPr="002868FD">
                                    <w:rPr>
                                      <w:rStyle w:val="Hyperlink"/>
                                      <w:sz w:val="12"/>
                                      <w:szCs w:val="12"/>
                                    </w:rPr>
                                    <w:t>www.dbu.de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410" w:type="dxa"/>
                              </w:tcPr>
                              <w:p w:rsidR="00074682" w:rsidRDefault="00074682" w:rsidP="00074682">
                                <w:pPr>
                                  <w:tabs>
                                    <w:tab w:val="left" w:pos="601"/>
                                    <w:tab w:val="left" w:pos="1168"/>
                                  </w:tabs>
                                  <w:spacing w:before="120" w:after="0" w:line="240" w:lineRule="auto"/>
                                  <w:rPr>
                                    <w:sz w:val="12"/>
                                    <w:szCs w:val="12"/>
                                  </w:rPr>
                                </w:pPr>
                                <w:r>
                                  <w:rPr>
                                    <w:noProof/>
                                    <w:sz w:val="12"/>
                                    <w:szCs w:val="12"/>
                                  </w:rPr>
                                  <w:drawing>
                                    <wp:inline distT="0" distB="0" distL="0" distR="0" wp14:anchorId="46977C9E" wp14:editId="3C949D21">
                                      <wp:extent cx="167005" cy="167005"/>
                                      <wp:effectExtent l="0" t="0" r="4445" b="4445"/>
                                      <wp:docPr id="11" name="Grafik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Pr>
                                    <w:sz w:val="12"/>
                                    <w:szCs w:val="12"/>
                                  </w:rPr>
                                  <w:t xml:space="preserve"> </w:t>
                                </w:r>
                                <w:r>
                                  <w:rPr>
                                    <w:sz w:val="12"/>
                                    <w:szCs w:val="12"/>
                                  </w:rPr>
                                  <w:tab/>
                                </w:r>
                                <w:r>
                                  <w:rPr>
                                    <w:noProof/>
                                    <w:sz w:val="12"/>
                                    <w:szCs w:val="12"/>
                                  </w:rPr>
                                  <w:drawing>
                                    <wp:inline distT="0" distB="0" distL="0" distR="0" wp14:anchorId="2C5CCBC3" wp14:editId="7F01CA55">
                                      <wp:extent cx="159385" cy="128905"/>
                                      <wp:effectExtent l="0" t="0" r="0" b="4445"/>
                                      <wp:docPr id="13" name="Grafik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 cy="128905"/>
                                              </a:xfrm>
                                              <a:prstGeom prst="rect">
                                                <a:avLst/>
                                              </a:prstGeom>
                                              <a:noFill/>
                                              <a:ln>
                                                <a:noFill/>
                                              </a:ln>
                                            </pic:spPr>
                                          </pic:pic>
                                        </a:graphicData>
                                      </a:graphic>
                                    </wp:inline>
                                  </w:drawing>
                                </w:r>
                                <w:r>
                                  <w:rPr>
                                    <w:sz w:val="12"/>
                                    <w:szCs w:val="12"/>
                                  </w:rPr>
                                  <w:tab/>
                                </w:r>
                                <w:r>
                                  <w:rPr>
                                    <w:noProof/>
                                    <w:sz w:val="12"/>
                                    <w:szCs w:val="12"/>
                                  </w:rPr>
                                  <w:drawing>
                                    <wp:inline distT="0" distB="0" distL="0" distR="0" wp14:anchorId="02BC1E90" wp14:editId="05ED1B36">
                                      <wp:extent cx="519430" cy="114300"/>
                                      <wp:effectExtent l="0" t="0" r="0" b="0"/>
                                      <wp:docPr id="14" name="Grafik 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 cy="114300"/>
                                              </a:xfrm>
                                              <a:prstGeom prst="rect">
                                                <a:avLst/>
                                              </a:prstGeom>
                                              <a:noFill/>
                                              <a:ln>
                                                <a:noFill/>
                                              </a:ln>
                                            </pic:spPr>
                                          </pic:pic>
                                        </a:graphicData>
                                      </a:graphic>
                                    </wp:inline>
                                  </w:drawing>
                                </w:r>
                              </w:p>
                              <w:p w:rsidR="00074682" w:rsidRDefault="00074682" w:rsidP="00074682">
                                <w:pPr>
                                  <w:tabs>
                                    <w:tab w:val="left" w:pos="601"/>
                                    <w:tab w:val="left" w:pos="1168"/>
                                  </w:tabs>
                                  <w:spacing w:before="240" w:after="0" w:line="240" w:lineRule="auto"/>
                                  <w:rPr>
                                    <w:sz w:val="12"/>
                                    <w:szCs w:val="12"/>
                                  </w:rPr>
                                </w:pPr>
                                <w:r>
                                  <w:rPr>
                                    <w:noProof/>
                                    <w:sz w:val="12"/>
                                    <w:szCs w:val="12"/>
                                  </w:rPr>
                                  <w:drawing>
                                    <wp:inline distT="0" distB="0" distL="0" distR="0" wp14:anchorId="74399020" wp14:editId="5F5B2495">
                                      <wp:extent cx="178435" cy="17843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sz w:val="12"/>
                                    <w:szCs w:val="12"/>
                                  </w:rPr>
                                  <w:tab/>
                                </w:r>
                                <w:r>
                                  <w:rPr>
                                    <w:noProof/>
                                    <w:sz w:val="12"/>
                                    <w:szCs w:val="12"/>
                                  </w:rPr>
                                  <w:drawing>
                                    <wp:inline distT="0" distB="0" distL="0" distR="0" wp14:anchorId="46975AB2" wp14:editId="377F2E17">
                                      <wp:extent cx="183515" cy="183515"/>
                                      <wp:effectExtent l="0" t="0" r="6985" b="6985"/>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pic:spPr>
                                          </pic:pic>
                                        </a:graphicData>
                                      </a:graphic>
                                    </wp:inline>
                                  </w:drawing>
                                </w:r>
                                <w:r>
                                  <w:rPr>
                                    <w:sz w:val="12"/>
                                    <w:szCs w:val="12"/>
                                  </w:rPr>
                                  <w:tab/>
                                </w:r>
                                <w:r>
                                  <w:rPr>
                                    <w:noProof/>
                                    <w:sz w:val="12"/>
                                    <w:szCs w:val="12"/>
                                  </w:rPr>
                                  <w:drawing>
                                    <wp:inline distT="0" distB="0" distL="0" distR="0" wp14:anchorId="2517F083" wp14:editId="2272A85C">
                                      <wp:extent cx="205105" cy="176530"/>
                                      <wp:effectExtent l="0" t="0" r="4445" b="0"/>
                                      <wp:docPr id="16" name="Grafik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 cy="176530"/>
                                              </a:xfrm>
                                              <a:prstGeom prst="rect">
                                                <a:avLst/>
                                              </a:prstGeom>
                                              <a:noFill/>
                                              <a:ln>
                                                <a:noFill/>
                                              </a:ln>
                                            </pic:spPr>
                                          </pic:pic>
                                        </a:graphicData>
                                      </a:graphic>
                                    </wp:inline>
                                  </w:drawing>
                                </w:r>
                                <w:r>
                                  <w:rPr>
                                    <w:sz w:val="12"/>
                                    <w:szCs w:val="12"/>
                                  </w:rPr>
                                  <w:t xml:space="preserve">     </w:t>
                                </w:r>
                                <w:r>
                                  <w:rPr>
                                    <w:noProof/>
                                    <w:sz w:val="12"/>
                                    <w:szCs w:val="12"/>
                                  </w:rPr>
                                  <w:drawing>
                                    <wp:inline distT="0" distB="0" distL="0" distR="0" wp14:anchorId="23B191F0" wp14:editId="6E3866B9">
                                      <wp:extent cx="178435" cy="178435"/>
                                      <wp:effectExtent l="0" t="0" r="0" b="0"/>
                                      <wp:docPr id="18" name="Grafik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p w:rsidR="00882F40" w:rsidRPr="009D4E36" w:rsidRDefault="00074682" w:rsidP="00A3756C">
                                <w:pPr>
                                  <w:spacing w:before="40" w:after="60" w:line="240" w:lineRule="auto"/>
                                  <w:rPr>
                                    <w:b/>
                                    <w:bCs/>
                                    <w:sz w:val="12"/>
                                    <w:szCs w:val="12"/>
                                  </w:rPr>
                                </w:pPr>
                                <w:r>
                                  <w:rPr>
                                    <w:sz w:val="8"/>
                                    <w:szCs w:val="8"/>
                                  </w:rPr>
                                  <w:t xml:space="preserve"> </w:t>
                                </w:r>
                                <w:r w:rsidRPr="007304B5">
                                  <w:rPr>
                                    <w:sz w:val="8"/>
                                    <w:szCs w:val="8"/>
                                  </w:rPr>
                                  <w:t>DBU</w:t>
                                </w:r>
                                <w:r w:rsidRPr="007304B5">
                                  <w:rPr>
                                    <w:sz w:val="8"/>
                                    <w:szCs w:val="8"/>
                                  </w:rPr>
                                  <w:tab/>
                                </w:r>
                                <w:r>
                                  <w:rPr>
                                    <w:sz w:val="8"/>
                                    <w:szCs w:val="8"/>
                                  </w:rPr>
                                  <w:t xml:space="preserve">                                 </w:t>
                                </w:r>
                                <w:r w:rsidRPr="007304B5">
                                  <w:rPr>
                                    <w:sz w:val="8"/>
                                    <w:szCs w:val="8"/>
                                  </w:rPr>
                                  <w:t>Naturerbe</w:t>
                                </w:r>
                              </w:p>
                            </w:tc>
                            <w:tc>
                              <w:tcPr>
                                <w:tcW w:w="2410" w:type="dxa"/>
                              </w:tcPr>
                              <w:p w:rsidR="00882F40" w:rsidRPr="009D4E36" w:rsidRDefault="00882F40" w:rsidP="004D4BEF">
                                <w:pPr>
                                  <w:spacing w:after="0" w:line="240" w:lineRule="auto"/>
                                  <w:rPr>
                                    <w:sz w:val="12"/>
                                    <w:szCs w:val="12"/>
                                  </w:rPr>
                                </w:pPr>
                                <w:r w:rsidRPr="009D4E36">
                                  <w:rPr>
                                    <w:sz w:val="12"/>
                                    <w:szCs w:val="12"/>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6BE57" id="_x0000_t202" coordsize="21600,21600" o:spt="202" path="m,l,21600r21600,l21600,xe">
              <v:stroke joinstyle="miter"/>
              <v:path gradientshapeok="t" o:connecttype="rect"/>
            </v:shapetype>
            <v:shape id="Textfeld 5" o:spid="_x0000_s1028" type="#_x0000_t202" style="position:absolute;margin-left:-14.9pt;margin-top:-67.55pt;width:570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410"/>
                      <w:gridCol w:w="2410"/>
                    </w:tblGrid>
                    <w:tr w:rsidR="00882F40" w:rsidRPr="00C159DF" w:rsidTr="00F35A04">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361397">
                            <w:rPr>
                              <w:b/>
                              <w:sz w:val="12"/>
                              <w:szCs w:val="12"/>
                            </w:rPr>
                            <w:t>081</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Kerstin Heemann/Sophie Scherler</w:t>
                          </w:r>
                        </w:p>
                        <w:p w:rsidR="002868FD" w:rsidRPr="002868FD" w:rsidRDefault="002868FD" w:rsidP="002868FD">
                          <w:pPr>
                            <w:spacing w:after="0" w:line="240" w:lineRule="auto"/>
                            <w:rPr>
                              <w:sz w:val="12"/>
                              <w:szCs w:val="12"/>
                            </w:rPr>
                          </w:pPr>
                          <w:r w:rsidRPr="002868FD">
                            <w:rPr>
                              <w:sz w:val="12"/>
                              <w:szCs w:val="12"/>
                            </w:rPr>
                            <w:t>Katja Behrendt/Michelle Liedtke</w:t>
                          </w:r>
                        </w:p>
                        <w:p w:rsidR="00882F40" w:rsidRPr="009D4E36" w:rsidRDefault="00F62899"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DBU-Pressestelle</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C52860">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9633-521</w:t>
                          </w:r>
                        </w:p>
                        <w:p w:rsidR="00C52860" w:rsidRPr="002868FD" w:rsidRDefault="00882F40" w:rsidP="00C52860">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6" w:history="1">
                            <w:r w:rsidR="00C52860" w:rsidRPr="002868FD">
                              <w:rPr>
                                <w:rStyle w:val="Hyperlink"/>
                                <w:sz w:val="12"/>
                                <w:szCs w:val="12"/>
                              </w:rPr>
                              <w:t>presse@dbu.de</w:t>
                            </w:r>
                          </w:hyperlink>
                        </w:p>
                        <w:p w:rsidR="002868FD" w:rsidRPr="002868FD" w:rsidRDefault="00142E4C" w:rsidP="002868FD">
                          <w:pPr>
                            <w:tabs>
                              <w:tab w:val="left" w:pos="743"/>
                            </w:tabs>
                            <w:spacing w:after="0" w:line="240" w:lineRule="auto"/>
                            <w:rPr>
                              <w:rStyle w:val="Hyperlink"/>
                              <w:sz w:val="12"/>
                              <w:szCs w:val="12"/>
                            </w:rPr>
                          </w:pPr>
                          <w:hyperlink r:id="rId17" w:history="1">
                            <w:r w:rsidR="002868FD" w:rsidRPr="002868FD">
                              <w:rPr>
                                <w:rStyle w:val="Hyperlink"/>
                                <w:sz w:val="12"/>
                                <w:szCs w:val="12"/>
                              </w:rPr>
                              <w:t>www.dbu.de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410" w:type="dxa"/>
                        </w:tcPr>
                        <w:p w:rsidR="00074682" w:rsidRDefault="00074682" w:rsidP="00074682">
                          <w:pPr>
                            <w:tabs>
                              <w:tab w:val="left" w:pos="601"/>
                              <w:tab w:val="left" w:pos="1168"/>
                            </w:tabs>
                            <w:spacing w:before="120" w:after="0" w:line="240" w:lineRule="auto"/>
                            <w:rPr>
                              <w:sz w:val="12"/>
                              <w:szCs w:val="12"/>
                            </w:rPr>
                          </w:pPr>
                          <w:r>
                            <w:rPr>
                              <w:noProof/>
                              <w:sz w:val="12"/>
                              <w:szCs w:val="12"/>
                            </w:rPr>
                            <w:drawing>
                              <wp:inline distT="0" distB="0" distL="0" distR="0" wp14:anchorId="46977C9E" wp14:editId="3C949D21">
                                <wp:extent cx="167005" cy="167005"/>
                                <wp:effectExtent l="0" t="0" r="4445" b="4445"/>
                                <wp:docPr id="11" name="Grafik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Pr>
                              <w:sz w:val="12"/>
                              <w:szCs w:val="12"/>
                            </w:rPr>
                            <w:t xml:space="preserve"> </w:t>
                          </w:r>
                          <w:r>
                            <w:rPr>
                              <w:sz w:val="12"/>
                              <w:szCs w:val="12"/>
                            </w:rPr>
                            <w:tab/>
                          </w:r>
                          <w:r>
                            <w:rPr>
                              <w:noProof/>
                              <w:sz w:val="12"/>
                              <w:szCs w:val="12"/>
                            </w:rPr>
                            <w:drawing>
                              <wp:inline distT="0" distB="0" distL="0" distR="0" wp14:anchorId="2C5CCBC3" wp14:editId="7F01CA55">
                                <wp:extent cx="159385" cy="128905"/>
                                <wp:effectExtent l="0" t="0" r="0" b="4445"/>
                                <wp:docPr id="13" name="Grafik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 cy="128905"/>
                                        </a:xfrm>
                                        <a:prstGeom prst="rect">
                                          <a:avLst/>
                                        </a:prstGeom>
                                        <a:noFill/>
                                        <a:ln>
                                          <a:noFill/>
                                        </a:ln>
                                      </pic:spPr>
                                    </pic:pic>
                                  </a:graphicData>
                                </a:graphic>
                              </wp:inline>
                            </w:drawing>
                          </w:r>
                          <w:r>
                            <w:rPr>
                              <w:sz w:val="12"/>
                              <w:szCs w:val="12"/>
                            </w:rPr>
                            <w:tab/>
                          </w:r>
                          <w:r>
                            <w:rPr>
                              <w:noProof/>
                              <w:sz w:val="12"/>
                              <w:szCs w:val="12"/>
                            </w:rPr>
                            <w:drawing>
                              <wp:inline distT="0" distB="0" distL="0" distR="0" wp14:anchorId="02BC1E90" wp14:editId="05ED1B36">
                                <wp:extent cx="519430" cy="114300"/>
                                <wp:effectExtent l="0" t="0" r="0" b="0"/>
                                <wp:docPr id="14" name="Grafik 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 cy="114300"/>
                                        </a:xfrm>
                                        <a:prstGeom prst="rect">
                                          <a:avLst/>
                                        </a:prstGeom>
                                        <a:noFill/>
                                        <a:ln>
                                          <a:noFill/>
                                        </a:ln>
                                      </pic:spPr>
                                    </pic:pic>
                                  </a:graphicData>
                                </a:graphic>
                              </wp:inline>
                            </w:drawing>
                          </w:r>
                        </w:p>
                        <w:p w:rsidR="00074682" w:rsidRDefault="00074682" w:rsidP="00074682">
                          <w:pPr>
                            <w:tabs>
                              <w:tab w:val="left" w:pos="601"/>
                              <w:tab w:val="left" w:pos="1168"/>
                            </w:tabs>
                            <w:spacing w:before="240" w:after="0" w:line="240" w:lineRule="auto"/>
                            <w:rPr>
                              <w:sz w:val="12"/>
                              <w:szCs w:val="12"/>
                            </w:rPr>
                          </w:pPr>
                          <w:r>
                            <w:rPr>
                              <w:noProof/>
                              <w:sz w:val="12"/>
                              <w:szCs w:val="12"/>
                            </w:rPr>
                            <w:drawing>
                              <wp:inline distT="0" distB="0" distL="0" distR="0" wp14:anchorId="74399020" wp14:editId="5F5B2495">
                                <wp:extent cx="178435" cy="17843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sz w:val="12"/>
                              <w:szCs w:val="12"/>
                            </w:rPr>
                            <w:tab/>
                          </w:r>
                          <w:r>
                            <w:rPr>
                              <w:noProof/>
                              <w:sz w:val="12"/>
                              <w:szCs w:val="12"/>
                            </w:rPr>
                            <w:drawing>
                              <wp:inline distT="0" distB="0" distL="0" distR="0" wp14:anchorId="46975AB2" wp14:editId="377F2E17">
                                <wp:extent cx="183515" cy="183515"/>
                                <wp:effectExtent l="0" t="0" r="6985" b="6985"/>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pic:spPr>
                                    </pic:pic>
                                  </a:graphicData>
                                </a:graphic>
                              </wp:inline>
                            </w:drawing>
                          </w:r>
                          <w:r>
                            <w:rPr>
                              <w:sz w:val="12"/>
                              <w:szCs w:val="12"/>
                            </w:rPr>
                            <w:tab/>
                          </w:r>
                          <w:r>
                            <w:rPr>
                              <w:noProof/>
                              <w:sz w:val="12"/>
                              <w:szCs w:val="12"/>
                            </w:rPr>
                            <w:drawing>
                              <wp:inline distT="0" distB="0" distL="0" distR="0" wp14:anchorId="2517F083" wp14:editId="2272A85C">
                                <wp:extent cx="205105" cy="176530"/>
                                <wp:effectExtent l="0" t="0" r="4445" b="0"/>
                                <wp:docPr id="16" name="Grafik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 cy="176530"/>
                                        </a:xfrm>
                                        <a:prstGeom prst="rect">
                                          <a:avLst/>
                                        </a:prstGeom>
                                        <a:noFill/>
                                        <a:ln>
                                          <a:noFill/>
                                        </a:ln>
                                      </pic:spPr>
                                    </pic:pic>
                                  </a:graphicData>
                                </a:graphic>
                              </wp:inline>
                            </w:drawing>
                          </w:r>
                          <w:r>
                            <w:rPr>
                              <w:sz w:val="12"/>
                              <w:szCs w:val="12"/>
                            </w:rPr>
                            <w:t xml:space="preserve">     </w:t>
                          </w:r>
                          <w:r>
                            <w:rPr>
                              <w:noProof/>
                              <w:sz w:val="12"/>
                              <w:szCs w:val="12"/>
                            </w:rPr>
                            <w:drawing>
                              <wp:inline distT="0" distB="0" distL="0" distR="0" wp14:anchorId="23B191F0" wp14:editId="6E3866B9">
                                <wp:extent cx="178435" cy="178435"/>
                                <wp:effectExtent l="0" t="0" r="0" b="0"/>
                                <wp:docPr id="18" name="Grafik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p w:rsidR="00882F40" w:rsidRPr="009D4E36" w:rsidRDefault="00074682" w:rsidP="00A3756C">
                          <w:pPr>
                            <w:spacing w:before="40" w:after="60" w:line="240" w:lineRule="auto"/>
                            <w:rPr>
                              <w:b/>
                              <w:bCs/>
                              <w:sz w:val="12"/>
                              <w:szCs w:val="12"/>
                            </w:rPr>
                          </w:pPr>
                          <w:r>
                            <w:rPr>
                              <w:sz w:val="8"/>
                              <w:szCs w:val="8"/>
                            </w:rPr>
                            <w:t xml:space="preserve"> </w:t>
                          </w:r>
                          <w:r w:rsidRPr="007304B5">
                            <w:rPr>
                              <w:sz w:val="8"/>
                              <w:szCs w:val="8"/>
                            </w:rPr>
                            <w:t>DBU</w:t>
                          </w:r>
                          <w:r w:rsidRPr="007304B5">
                            <w:rPr>
                              <w:sz w:val="8"/>
                              <w:szCs w:val="8"/>
                            </w:rPr>
                            <w:tab/>
                          </w:r>
                          <w:r>
                            <w:rPr>
                              <w:sz w:val="8"/>
                              <w:szCs w:val="8"/>
                            </w:rPr>
                            <w:t xml:space="preserve">                                 </w:t>
                          </w:r>
                          <w:r w:rsidRPr="007304B5">
                            <w:rPr>
                              <w:sz w:val="8"/>
                              <w:szCs w:val="8"/>
                            </w:rPr>
                            <w:t>Naturerbe</w:t>
                          </w:r>
                        </w:p>
                      </w:tc>
                      <w:tc>
                        <w:tcPr>
                          <w:tcW w:w="2410" w:type="dxa"/>
                        </w:tcPr>
                        <w:p w:rsidR="00882F40" w:rsidRPr="009D4E36" w:rsidRDefault="00882F40" w:rsidP="004D4BEF">
                          <w:pPr>
                            <w:spacing w:after="0" w:line="240" w:lineRule="auto"/>
                            <w:rPr>
                              <w:sz w:val="12"/>
                              <w:szCs w:val="12"/>
                            </w:rPr>
                          </w:pPr>
                          <w:r w:rsidRPr="009D4E36">
                            <w:rPr>
                              <w:sz w:val="12"/>
                              <w:szCs w:val="12"/>
                            </w:rPr>
                            <w:t xml:space="preserve"> </w:t>
                          </w:r>
                        </w:p>
                      </w:tc>
                    </w:tr>
                  </w:tbl>
                  <w:p w:rsidR="005459B2" w:rsidRPr="00C159DF" w:rsidRDefault="005459B2" w:rsidP="005459B2">
                    <w:pPr>
                      <w:spacing w:after="0" w:line="240" w:lineRule="auto"/>
                      <w:rPr>
                        <w:sz w:val="16"/>
                        <w:szCs w:val="16"/>
                      </w:rPr>
                    </w:pPr>
                  </w:p>
                </w:txbxContent>
              </v:textbox>
            </v:shape>
          </w:pict>
        </mc:Fallback>
      </mc:AlternateContent>
    </w:r>
  </w:p>
  <w:p w:rsidR="005459B2" w:rsidRDefault="00545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D4" w:rsidRDefault="00787AD4" w:rsidP="00E46043">
      <w:r>
        <w:separator/>
      </w:r>
    </w:p>
  </w:footnote>
  <w:footnote w:type="continuationSeparator" w:id="0">
    <w:p w:rsidR="00787AD4" w:rsidRDefault="00787AD4"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562F55">
          <w:rPr>
            <w:noProof/>
          </w:rPr>
          <w:t>1</w:t>
        </w:r>
        <w:r>
          <w:fldChar w:fldCharType="end"/>
        </w:r>
      </w:p>
    </w:sdtContent>
  </w:sdt>
  <w:p w:rsidR="005459B2" w:rsidRDefault="005459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2B0B2BA5" wp14:editId="6696140F">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142E4C"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142E4C">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B2BA5"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142E4C"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142E4C">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6404FEB"/>
    <w:multiLevelType w:val="hybridMultilevel"/>
    <w:tmpl w:val="F3E41048"/>
    <w:lvl w:ilvl="0" w:tplc="175ED1A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433F0DE0"/>
    <w:multiLevelType w:val="hybridMultilevel"/>
    <w:tmpl w:val="AA727116"/>
    <w:lvl w:ilvl="0" w:tplc="49326AB2">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abstractNum w:abstractNumId="7" w15:restartNumberingAfterBreak="0">
    <w:nsid w:val="723F2FF1"/>
    <w:multiLevelType w:val="hybridMultilevel"/>
    <w:tmpl w:val="1D546862"/>
    <w:lvl w:ilvl="0" w:tplc="243C5902">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97"/>
    <w:rsid w:val="0001044B"/>
    <w:rsid w:val="00032DA6"/>
    <w:rsid w:val="00063B0C"/>
    <w:rsid w:val="00073BB6"/>
    <w:rsid w:val="00074682"/>
    <w:rsid w:val="000857C7"/>
    <w:rsid w:val="00086C7C"/>
    <w:rsid w:val="00096049"/>
    <w:rsid w:val="000C30B7"/>
    <w:rsid w:val="000C555B"/>
    <w:rsid w:val="000E3823"/>
    <w:rsid w:val="00106DF4"/>
    <w:rsid w:val="0011047C"/>
    <w:rsid w:val="00123C0C"/>
    <w:rsid w:val="00126936"/>
    <w:rsid w:val="00142E4C"/>
    <w:rsid w:val="00144963"/>
    <w:rsid w:val="00146F4C"/>
    <w:rsid w:val="0015455F"/>
    <w:rsid w:val="0016419D"/>
    <w:rsid w:val="001648AB"/>
    <w:rsid w:val="00165E3D"/>
    <w:rsid w:val="00175AFD"/>
    <w:rsid w:val="001A27FE"/>
    <w:rsid w:val="001A3B0A"/>
    <w:rsid w:val="001A62AF"/>
    <w:rsid w:val="001A659E"/>
    <w:rsid w:val="001B3C90"/>
    <w:rsid w:val="001C04D5"/>
    <w:rsid w:val="001C3E7E"/>
    <w:rsid w:val="001D2FFD"/>
    <w:rsid w:val="001D4426"/>
    <w:rsid w:val="001D7EF3"/>
    <w:rsid w:val="001F16A6"/>
    <w:rsid w:val="001F3EDF"/>
    <w:rsid w:val="002034F7"/>
    <w:rsid w:val="0021067A"/>
    <w:rsid w:val="00212306"/>
    <w:rsid w:val="00217BD9"/>
    <w:rsid w:val="002278E3"/>
    <w:rsid w:val="00237218"/>
    <w:rsid w:val="00240826"/>
    <w:rsid w:val="002752A4"/>
    <w:rsid w:val="002868FD"/>
    <w:rsid w:val="002877DB"/>
    <w:rsid w:val="00291CF6"/>
    <w:rsid w:val="002A0860"/>
    <w:rsid w:val="002B60C0"/>
    <w:rsid w:val="002C4355"/>
    <w:rsid w:val="002C5EA7"/>
    <w:rsid w:val="002D30E1"/>
    <w:rsid w:val="002F0326"/>
    <w:rsid w:val="002F7B2E"/>
    <w:rsid w:val="00305B78"/>
    <w:rsid w:val="003119C4"/>
    <w:rsid w:val="00331A14"/>
    <w:rsid w:val="00345574"/>
    <w:rsid w:val="00361397"/>
    <w:rsid w:val="00364CBC"/>
    <w:rsid w:val="00366D14"/>
    <w:rsid w:val="00373C81"/>
    <w:rsid w:val="0037599F"/>
    <w:rsid w:val="00380294"/>
    <w:rsid w:val="003829B4"/>
    <w:rsid w:val="003945A5"/>
    <w:rsid w:val="00394649"/>
    <w:rsid w:val="00396D75"/>
    <w:rsid w:val="003A7131"/>
    <w:rsid w:val="003A71AB"/>
    <w:rsid w:val="003B389B"/>
    <w:rsid w:val="003F3EE6"/>
    <w:rsid w:val="0040597C"/>
    <w:rsid w:val="00406230"/>
    <w:rsid w:val="004244BB"/>
    <w:rsid w:val="00434462"/>
    <w:rsid w:val="00451795"/>
    <w:rsid w:val="004604B6"/>
    <w:rsid w:val="00484118"/>
    <w:rsid w:val="004910F4"/>
    <w:rsid w:val="004B27AD"/>
    <w:rsid w:val="004B3574"/>
    <w:rsid w:val="004B52F4"/>
    <w:rsid w:val="004B70BB"/>
    <w:rsid w:val="004C2A86"/>
    <w:rsid w:val="004D197C"/>
    <w:rsid w:val="004D1B28"/>
    <w:rsid w:val="004D3C32"/>
    <w:rsid w:val="004D4BEF"/>
    <w:rsid w:val="004F5091"/>
    <w:rsid w:val="0051766C"/>
    <w:rsid w:val="005278D2"/>
    <w:rsid w:val="005435B8"/>
    <w:rsid w:val="005459B2"/>
    <w:rsid w:val="005606E7"/>
    <w:rsid w:val="00562F55"/>
    <w:rsid w:val="00574399"/>
    <w:rsid w:val="005C17C9"/>
    <w:rsid w:val="005D0297"/>
    <w:rsid w:val="005E2B12"/>
    <w:rsid w:val="005F748D"/>
    <w:rsid w:val="00622B3B"/>
    <w:rsid w:val="006338A4"/>
    <w:rsid w:val="00636DD9"/>
    <w:rsid w:val="00644816"/>
    <w:rsid w:val="00644B1B"/>
    <w:rsid w:val="006464B9"/>
    <w:rsid w:val="00650C47"/>
    <w:rsid w:val="00651256"/>
    <w:rsid w:val="006574C0"/>
    <w:rsid w:val="006605E0"/>
    <w:rsid w:val="00667F53"/>
    <w:rsid w:val="0068168F"/>
    <w:rsid w:val="00690E60"/>
    <w:rsid w:val="006B652C"/>
    <w:rsid w:val="006C16F8"/>
    <w:rsid w:val="006D1F2A"/>
    <w:rsid w:val="00702C75"/>
    <w:rsid w:val="0070338B"/>
    <w:rsid w:val="0070474F"/>
    <w:rsid w:val="007377A4"/>
    <w:rsid w:val="0074139C"/>
    <w:rsid w:val="0074689F"/>
    <w:rsid w:val="00761B26"/>
    <w:rsid w:val="00762AA9"/>
    <w:rsid w:val="007768D5"/>
    <w:rsid w:val="0078320A"/>
    <w:rsid w:val="007861A5"/>
    <w:rsid w:val="00787AD4"/>
    <w:rsid w:val="00792252"/>
    <w:rsid w:val="007B356B"/>
    <w:rsid w:val="007C6323"/>
    <w:rsid w:val="007F54BE"/>
    <w:rsid w:val="007F5853"/>
    <w:rsid w:val="00800121"/>
    <w:rsid w:val="00802140"/>
    <w:rsid w:val="00806018"/>
    <w:rsid w:val="0080709C"/>
    <w:rsid w:val="008122F7"/>
    <w:rsid w:val="008162EB"/>
    <w:rsid w:val="0081790E"/>
    <w:rsid w:val="008206CE"/>
    <w:rsid w:val="00822ADC"/>
    <w:rsid w:val="0082332C"/>
    <w:rsid w:val="00836E52"/>
    <w:rsid w:val="00844936"/>
    <w:rsid w:val="0085191F"/>
    <w:rsid w:val="00877AA4"/>
    <w:rsid w:val="00882F40"/>
    <w:rsid w:val="00886DAC"/>
    <w:rsid w:val="008938AF"/>
    <w:rsid w:val="00897FE4"/>
    <w:rsid w:val="008B6E18"/>
    <w:rsid w:val="00914139"/>
    <w:rsid w:val="0091715C"/>
    <w:rsid w:val="009308E7"/>
    <w:rsid w:val="0094404E"/>
    <w:rsid w:val="009734A2"/>
    <w:rsid w:val="00982B21"/>
    <w:rsid w:val="0099058A"/>
    <w:rsid w:val="009A2A61"/>
    <w:rsid w:val="009A4866"/>
    <w:rsid w:val="009B0F23"/>
    <w:rsid w:val="009B1F11"/>
    <w:rsid w:val="009B31F3"/>
    <w:rsid w:val="009D4E36"/>
    <w:rsid w:val="009D79B3"/>
    <w:rsid w:val="00A141D0"/>
    <w:rsid w:val="00A16538"/>
    <w:rsid w:val="00A36601"/>
    <w:rsid w:val="00A3756C"/>
    <w:rsid w:val="00A755FB"/>
    <w:rsid w:val="00A85A0A"/>
    <w:rsid w:val="00A90E44"/>
    <w:rsid w:val="00AA09EF"/>
    <w:rsid w:val="00AB631A"/>
    <w:rsid w:val="00AC2D67"/>
    <w:rsid w:val="00AC33F6"/>
    <w:rsid w:val="00AF2188"/>
    <w:rsid w:val="00B11B5C"/>
    <w:rsid w:val="00B12226"/>
    <w:rsid w:val="00B136B9"/>
    <w:rsid w:val="00B21ED9"/>
    <w:rsid w:val="00B345F0"/>
    <w:rsid w:val="00B36FED"/>
    <w:rsid w:val="00B41C0F"/>
    <w:rsid w:val="00B86950"/>
    <w:rsid w:val="00B937C5"/>
    <w:rsid w:val="00B93F73"/>
    <w:rsid w:val="00B97160"/>
    <w:rsid w:val="00BA022C"/>
    <w:rsid w:val="00BA0839"/>
    <w:rsid w:val="00BA7369"/>
    <w:rsid w:val="00BC7C23"/>
    <w:rsid w:val="00BD43B0"/>
    <w:rsid w:val="00BF12CE"/>
    <w:rsid w:val="00C00774"/>
    <w:rsid w:val="00C159DF"/>
    <w:rsid w:val="00C34617"/>
    <w:rsid w:val="00C47469"/>
    <w:rsid w:val="00C52860"/>
    <w:rsid w:val="00C54EF6"/>
    <w:rsid w:val="00C608E8"/>
    <w:rsid w:val="00C6321A"/>
    <w:rsid w:val="00C769E0"/>
    <w:rsid w:val="00C861E8"/>
    <w:rsid w:val="00C90FB3"/>
    <w:rsid w:val="00C928C8"/>
    <w:rsid w:val="00CA0CAB"/>
    <w:rsid w:val="00CB60ED"/>
    <w:rsid w:val="00CC10C7"/>
    <w:rsid w:val="00CC786D"/>
    <w:rsid w:val="00CE32CD"/>
    <w:rsid w:val="00CE7A09"/>
    <w:rsid w:val="00D15391"/>
    <w:rsid w:val="00D20E89"/>
    <w:rsid w:val="00D257AF"/>
    <w:rsid w:val="00D3207C"/>
    <w:rsid w:val="00D4094E"/>
    <w:rsid w:val="00D512B7"/>
    <w:rsid w:val="00D5406E"/>
    <w:rsid w:val="00D56C8C"/>
    <w:rsid w:val="00D60CBD"/>
    <w:rsid w:val="00D654E6"/>
    <w:rsid w:val="00D6728F"/>
    <w:rsid w:val="00D854F6"/>
    <w:rsid w:val="00D8582A"/>
    <w:rsid w:val="00D94183"/>
    <w:rsid w:val="00D94BB7"/>
    <w:rsid w:val="00D95746"/>
    <w:rsid w:val="00DA3AC3"/>
    <w:rsid w:val="00DB164F"/>
    <w:rsid w:val="00E01F07"/>
    <w:rsid w:val="00E04BED"/>
    <w:rsid w:val="00E07F09"/>
    <w:rsid w:val="00E127AE"/>
    <w:rsid w:val="00E16FE4"/>
    <w:rsid w:val="00E35733"/>
    <w:rsid w:val="00E46043"/>
    <w:rsid w:val="00E534AB"/>
    <w:rsid w:val="00E61C70"/>
    <w:rsid w:val="00E73971"/>
    <w:rsid w:val="00E861DD"/>
    <w:rsid w:val="00E9740F"/>
    <w:rsid w:val="00EA1614"/>
    <w:rsid w:val="00EA221F"/>
    <w:rsid w:val="00EC70C0"/>
    <w:rsid w:val="00EE466F"/>
    <w:rsid w:val="00EF0B77"/>
    <w:rsid w:val="00F03D90"/>
    <w:rsid w:val="00F2078E"/>
    <w:rsid w:val="00F22A0B"/>
    <w:rsid w:val="00F24C60"/>
    <w:rsid w:val="00F307BC"/>
    <w:rsid w:val="00F35A04"/>
    <w:rsid w:val="00F51F4F"/>
    <w:rsid w:val="00F62899"/>
    <w:rsid w:val="00F728E8"/>
    <w:rsid w:val="00F805DD"/>
    <w:rsid w:val="00F817BD"/>
    <w:rsid w:val="00F91C6A"/>
    <w:rsid w:val="00F952D3"/>
    <w:rsid w:val="00F95C81"/>
    <w:rsid w:val="00FA6EA4"/>
    <w:rsid w:val="00FB063D"/>
    <w:rsid w:val="00FB4973"/>
    <w:rsid w:val="00FB5F4A"/>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D03950"/>
  <w15:docId w15:val="{A8B8EB37-BC92-4C82-999E-2C27AB70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B1222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paragraph" w:styleId="berschrift3">
    <w:name w:val="heading 3"/>
    <w:basedOn w:val="Standard"/>
    <w:link w:val="berschrift3Zchn"/>
    <w:uiPriority w:val="9"/>
    <w:semiHidden/>
    <w:unhideWhenUsed/>
    <w:qFormat/>
    <w:rsid w:val="006605E0"/>
    <w:pPr>
      <w:spacing w:before="100" w:beforeAutospacing="1" w:after="100" w:afterAutospacing="1" w:line="240" w:lineRule="auto"/>
      <w:textboxTightWrap w:val="none"/>
      <w:outlineLvl w:val="2"/>
    </w:pPr>
    <w:rPr>
      <w:rFonts w:ascii="Calibri" w:eastAsiaTheme="minorHAnsi" w:hAnsi="Calibri" w:cs="Calibri"/>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F728E8"/>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F728E8"/>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B1222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8B6E18"/>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character" w:customStyle="1" w:styleId="berschrift3Zchn">
    <w:name w:val="Überschrift 3 Zchn"/>
    <w:basedOn w:val="Absatz-Standardschriftart"/>
    <w:link w:val="berschrift3"/>
    <w:uiPriority w:val="9"/>
    <w:semiHidden/>
    <w:rsid w:val="006605E0"/>
    <w:rPr>
      <w:rFonts w:ascii="Calibri" w:eastAsiaTheme="minorHAnsi" w:hAnsi="Calibri" w:cs="Calibri"/>
      <w:b/>
      <w:bCs/>
      <w:sz w:val="27"/>
      <w:szCs w:val="27"/>
    </w:rPr>
  </w:style>
  <w:style w:type="paragraph" w:styleId="Listenabsatz">
    <w:name w:val="List Paragraph"/>
    <w:basedOn w:val="Standard"/>
    <w:uiPriority w:val="34"/>
    <w:qFormat/>
    <w:rsid w:val="006605E0"/>
    <w:pPr>
      <w:spacing w:after="0" w:line="240" w:lineRule="auto"/>
      <w:ind w:left="720"/>
      <w:contextualSpacing/>
      <w:textboxTightWrap w:val="none"/>
    </w:pPr>
    <w:rPr>
      <w:rFonts w:ascii="Calibri" w:eastAsiaTheme="minorHAnsi" w:hAnsi="Calibri" w:cs="Calibri"/>
      <w:sz w:val="22"/>
      <w:szCs w:val="22"/>
      <w:lang w:eastAsia="en-US"/>
    </w:rPr>
  </w:style>
  <w:style w:type="character" w:styleId="BesuchterLink">
    <w:name w:val="FollowedHyperlink"/>
    <w:basedOn w:val="Absatz-Standardschriftart"/>
    <w:semiHidden/>
    <w:unhideWhenUsed/>
    <w:rsid w:val="006605E0"/>
    <w:rPr>
      <w:color w:val="800080" w:themeColor="followedHyperlink"/>
      <w:u w:val="single"/>
    </w:rPr>
  </w:style>
  <w:style w:type="character" w:styleId="NichtaufgelsteErwhnung">
    <w:name w:val="Unresolved Mention"/>
    <w:basedOn w:val="Absatz-Standardschriftart"/>
    <w:uiPriority w:val="99"/>
    <w:semiHidden/>
    <w:unhideWhenUsed/>
    <w:rsid w:val="00D54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bu.de/projekt_33732/01_db_2848.html" TargetMode="External"/><Relationship Id="rId18" Type="http://schemas.openxmlformats.org/officeDocument/2006/relationships/hyperlink" Target="https://www.dbu.de/123artikel38625_2442.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bu.de/708ibook83380_38810_2486.html" TargetMode="External"/><Relationship Id="rId17" Type="http://schemas.openxmlformats.org/officeDocument/2006/relationships/hyperlink" Target="https://www.umweltbundesamt.de/umwelttipps-fuer-den-alltag/siegelkunde/holz-von-hi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lz-von-hier.eu/projekte/save-umweltfootprint-fuer-holzproduk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bu.de/123artikel38751_244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olz-von-hier.eu/unterstuetzer/" TargetMode="External"/><Relationship Id="rId23" Type="http://schemas.openxmlformats.org/officeDocument/2006/relationships/header" Target="header3.xml"/><Relationship Id="rId10" Type="http://schemas.openxmlformats.org/officeDocument/2006/relationships/hyperlink" Target="https://youtu.be/0GqETjkuFqE" TargetMode="External"/><Relationship Id="rId19" Type="http://schemas.openxmlformats.org/officeDocument/2006/relationships/hyperlink" Target="https://www.dbu.de/2985ibook83457_38668_.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bu.de/OPAC/ab/DBU-Abschlussbericht-AZ-33732_01-Hauptbericht.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17" Type="http://schemas.openxmlformats.org/officeDocument/2006/relationships/hyperlink" Target="http://www.dbu.de" TargetMode="External"/><Relationship Id="rId2" Type="http://schemas.openxmlformats.org/officeDocument/2006/relationships/hyperlink" Target="http://www.dbu.de" TargetMode="External"/><Relationship Id="rId16" Type="http://schemas.openxmlformats.org/officeDocument/2006/relationships/hyperlink" Target="mailto:presse@dbu.de" TargetMode="External"/><Relationship Id="rId1" Type="http://schemas.openxmlformats.org/officeDocument/2006/relationships/hyperlink" Target="mailto:presse@dbu.de" TargetMode="External"/><Relationship Id="rId6" Type="http://schemas.openxmlformats.org/officeDocument/2006/relationships/image" Target="media/image4.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https://www.instagram.com/dbu.naturerbe/"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us-Allg\Briefvorlagen_neu\DBU\PR_Pressemitteilung_blanko_DBU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65B0-374E-4142-985E-47722995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PR_Pressemitteilung_blanko_DBU_NE</Template>
  <TotalTime>0</TotalTime>
  <Pages>4</Pages>
  <Words>1456</Words>
  <Characters>9177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Jongebloed, Klaus</dc:creator>
  <cp:lastModifiedBy>Jongebloed, Klaus</cp:lastModifiedBy>
  <cp:revision>2</cp:revision>
  <cp:lastPrinted>2013-12-17T14:47:00Z</cp:lastPrinted>
  <dcterms:created xsi:type="dcterms:W3CDTF">2021-07-06T19:47:00Z</dcterms:created>
  <dcterms:modified xsi:type="dcterms:W3CDTF">2021-07-06T19:47:00Z</dcterms:modified>
</cp:coreProperties>
</file>