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pPr>
      <w:r>
        <w:t>Stark in Akustik und Optik</w:t>
      </w:r>
    </w:p>
    <w:p>
      <w:pPr>
        <w:autoSpaceDE w:val="0"/>
        <w:autoSpaceDN w:val="0"/>
        <w:adjustRightInd w:val="0"/>
        <w:rPr>
          <w:rFonts w:cs="Arial"/>
          <w:color w:val="231F20"/>
          <w:sz w:val="28"/>
          <w:szCs w:val="28"/>
        </w:rPr>
      </w:pPr>
      <w:r>
        <w:rPr>
          <w:rFonts w:cs="Arial"/>
          <w:color w:val="231F20"/>
          <w:sz w:val="28"/>
          <w:szCs w:val="28"/>
        </w:rPr>
        <w:t>Lindner erweitert das Glastürenangebot um ein flächenbündiges, 100 mm starkes Türblatt</w:t>
      </w:r>
    </w:p>
    <w:p>
      <w:pPr>
        <w:rPr>
          <w:rFonts w:eastAsiaTheme="minorEastAsia"/>
        </w:rPr>
      </w:pPr>
    </w:p>
    <w:p>
      <w:pPr>
        <w:rPr>
          <w:rFonts w:eastAsiaTheme="minorEastAsia"/>
        </w:rPr>
      </w:pPr>
      <w:r>
        <w:rPr>
          <w:rFonts w:eastAsiaTheme="minorEastAsia"/>
        </w:rPr>
        <w:t xml:space="preserve">Die doppelt verglaste Alu-Schallschutztür mit einer Türblattstärke von 100 mm besticht mit außerordentlich hohem Schallschutz und elegantem Design: Das beidseitig flächenbündige Türblatt besteht aus einer Glasfüllung aus Sicherheitsglas und einem auf Gehrung verbundenen Aluminium-Rohrrahmen. Die daraus resultierende Optik harmoniert ausgezeichnet mit den frontbündigen Glastrennwänden Lindner Life Stereo 125 und Lindner Life </w:t>
      </w:r>
      <w:proofErr w:type="spellStart"/>
      <w:r>
        <w:rPr>
          <w:rFonts w:eastAsiaTheme="minorEastAsia"/>
        </w:rPr>
        <w:t>Contour</w:t>
      </w:r>
      <w:proofErr w:type="spellEnd"/>
      <w:r>
        <w:rPr>
          <w:rFonts w:eastAsiaTheme="minorEastAsia"/>
        </w:rPr>
        <w:t xml:space="preserve"> 126. </w:t>
      </w:r>
    </w:p>
    <w:p>
      <w:pPr>
        <w:rPr>
          <w:rFonts w:eastAsiaTheme="minorEastAsia"/>
        </w:rPr>
      </w:pPr>
    </w:p>
    <w:p>
      <w:pPr>
        <w:rPr>
          <w:rFonts w:eastAsiaTheme="minorEastAsia"/>
        </w:rPr>
      </w:pPr>
      <w:r>
        <w:rPr>
          <w:rFonts w:eastAsiaTheme="minorEastAsia"/>
        </w:rPr>
        <w:t>Durch die Türblattstärke ergibt sich auch die Möglichkeit, technisch noch hochwertiger zu bauen – so werden besonders hohe Schalldämmwerte von bis zu 47 dB erreicht. Je nach Projektanforderung kann zwischen ein- und zweiflügeliger Ausführung gewählt werden. Darüber hinaus punktet das Türsystem im Bereich Nachhaltigkeit: Es besteht aus kreislauffähigen, leicht rückbaubaren Komponenten. Auf Wunsch ist hierzu eine fundierte Umweltproduktdeklaration nach ISO 14021 erhältlich.</w:t>
      </w:r>
    </w:p>
    <w:p>
      <w:pPr>
        <w:rPr>
          <w:rFonts w:eastAsiaTheme="minorEastAsia"/>
        </w:rPr>
      </w:pPr>
    </w:p>
    <w:p>
      <w:pPr>
        <w:rPr>
          <w:rFonts w:eastAsiaTheme="minorEastAsia"/>
        </w:rPr>
      </w:pPr>
    </w:p>
    <w:p>
      <w:pPr>
        <w:rPr>
          <w:rFonts w:eastAsiaTheme="minorEastAsia"/>
          <w:b/>
        </w:rPr>
      </w:pPr>
      <w:r>
        <w:rPr>
          <w:rFonts w:eastAsiaTheme="minorEastAsia"/>
          <w:b/>
        </w:rPr>
        <w:t>Tür mit Schallschutz für besondere Ansprüche</w:t>
      </w:r>
    </w:p>
    <w:p>
      <w:pPr>
        <w:rPr>
          <w:rFonts w:eastAsiaTheme="minorEastAsia"/>
        </w:rPr>
      </w:pPr>
      <w:r>
        <w:rPr>
          <w:rFonts w:eastAsiaTheme="minorEastAsia"/>
        </w:rPr>
        <w:t xml:space="preserve">Zahlreiche Oberflächenvarianten machen die Aluminium-Rohrrahmentür zur idealen Ergänzung für eine Vielzahl an Raumdesigns: Die Profile sind in Eloxal oder Pulverbeschichtung erhältlich, die Verglasung in </w:t>
      </w:r>
      <w:proofErr w:type="spellStart"/>
      <w:r>
        <w:rPr>
          <w:rFonts w:eastAsiaTheme="minorEastAsia"/>
        </w:rPr>
        <w:t>Klarglas</w:t>
      </w:r>
      <w:proofErr w:type="spellEnd"/>
      <w:r>
        <w:rPr>
          <w:rFonts w:eastAsiaTheme="minorEastAsia"/>
        </w:rPr>
        <w:t xml:space="preserve"> und </w:t>
      </w:r>
      <w:proofErr w:type="spellStart"/>
      <w:r>
        <w:rPr>
          <w:rFonts w:eastAsiaTheme="minorEastAsia"/>
        </w:rPr>
        <w:t>Weißglas</w:t>
      </w:r>
      <w:proofErr w:type="spellEnd"/>
      <w:r>
        <w:rPr>
          <w:rFonts w:eastAsiaTheme="minorEastAsia"/>
        </w:rPr>
        <w:t>. Egal, in welcher die ATB 100 zum Einsatz kommt, sie fügt sich schlicht und stilvoll in die Umgebung ein.</w:t>
      </w:r>
    </w:p>
    <w:p>
      <w:pPr>
        <w:rPr>
          <w:rFonts w:eastAsiaTheme="minorEastAsia"/>
        </w:rPr>
      </w:pPr>
    </w:p>
    <w:p>
      <w:pPr>
        <w:rPr>
          <w:rFonts w:eastAsiaTheme="minorEastAsia"/>
        </w:rPr>
      </w:pPr>
    </w:p>
    <w:p>
      <w:pPr>
        <w:spacing w:line="240" w:lineRule="auto"/>
      </w:pPr>
    </w:p>
    <w:p/>
    <w:p>
      <w:pPr>
        <w:rPr>
          <w:b/>
          <w:color w:val="E00428"/>
        </w:rPr>
      </w:pPr>
      <w:r>
        <w:rPr>
          <w:b/>
          <w:color w:val="E00428"/>
        </w:rPr>
        <w:t>Bilder</w:t>
      </w:r>
    </w:p>
    <w:p>
      <w:r>
        <w:rPr>
          <w:noProof/>
        </w:rPr>
        <w:drawing>
          <wp:inline distT="0" distB="0" distL="0" distR="0">
            <wp:extent cx="2399665" cy="1802130"/>
            <wp:effectExtent l="0" t="0" r="0" b="0"/>
            <wp:docPr id="2" name="Grafik 2" descr="C:\Users\crieger02\AppData\Local\Microsoft\Windows\INetCache\Content.Word\tuer_atb100_01-mit-AZ57-19-DF_Ty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rieger02\AppData\Local\Microsoft\Windows\INetCache\Content.Word\tuer_atb100_01-mit-AZ57-19-DF_Typ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802130"/>
                    </a:xfrm>
                    <a:prstGeom prst="rect">
                      <a:avLst/>
                    </a:prstGeom>
                    <a:noFill/>
                    <a:ln>
                      <a:noFill/>
                    </a:ln>
                  </pic:spPr>
                </pic:pic>
              </a:graphicData>
            </a:graphic>
          </wp:inline>
        </w:drawing>
      </w:r>
      <w:r>
        <w:rPr>
          <w:noProof/>
        </w:rPr>
        <w:t xml:space="preserve"> </w:t>
      </w:r>
    </w:p>
    <w:p>
      <w:pPr>
        <w:rPr>
          <w:b/>
          <w:sz w:val="18"/>
        </w:rPr>
      </w:pPr>
      <w:r>
        <w:rPr>
          <w:b/>
          <w:sz w:val="18"/>
        </w:rPr>
        <w:t xml:space="preserve">Lindner_ATB_100_.jpg </w:t>
      </w:r>
    </w:p>
    <w:p>
      <w:pPr>
        <w:rPr>
          <w:sz w:val="18"/>
        </w:rPr>
      </w:pPr>
      <w:r>
        <w:rPr>
          <w:sz w:val="18"/>
        </w:rPr>
        <w:t xml:space="preserve">Bildverweis: © www.Lindner-Group.com </w:t>
      </w:r>
    </w:p>
    <w:p>
      <w:pPr>
        <w:rPr>
          <w:sz w:val="18"/>
        </w:rPr>
      </w:pPr>
    </w:p>
    <w:p>
      <w:pPr>
        <w:rPr>
          <w:sz w:val="18"/>
        </w:rPr>
      </w:pPr>
    </w:p>
    <w:p>
      <w:pPr>
        <w:rPr>
          <w:sz w:val="18"/>
        </w:rPr>
      </w:pPr>
      <w:r>
        <w:rPr>
          <w:noProof/>
          <w:sz w:val="18"/>
        </w:rPr>
        <w:lastRenderedPageBreak/>
        <w:drawing>
          <wp:inline distT="0" distB="0" distL="0" distR="0">
            <wp:extent cx="1076960" cy="1722120"/>
            <wp:effectExtent l="0" t="0" r="8890" b="0"/>
            <wp:docPr id="3" name="Grafik 3" descr="C:\Users\crieger02\AppData\Local\Microsoft\Windows\INetCache\Content.Word\Lindner_ATB_100_IMG_3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rieger02\AppData\Local\Microsoft\Windows\INetCache\Content.Word\Lindner_ATB_100_IMG_31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960" cy="1722120"/>
                    </a:xfrm>
                    <a:prstGeom prst="rect">
                      <a:avLst/>
                    </a:prstGeom>
                    <a:noFill/>
                    <a:ln>
                      <a:noFill/>
                    </a:ln>
                  </pic:spPr>
                </pic:pic>
              </a:graphicData>
            </a:graphic>
          </wp:inline>
        </w:drawing>
      </w:r>
    </w:p>
    <w:p>
      <w:pPr>
        <w:rPr>
          <w:b/>
          <w:sz w:val="18"/>
        </w:rPr>
      </w:pPr>
      <w:r>
        <w:rPr>
          <w:b/>
          <w:sz w:val="18"/>
        </w:rPr>
        <w:t>Lindner_ATB_100_IMG_3192.jpg</w:t>
      </w:r>
    </w:p>
    <w:p>
      <w:pPr>
        <w:rPr>
          <w:sz w:val="18"/>
        </w:rPr>
      </w:pPr>
      <w:r>
        <w:rPr>
          <w:sz w:val="18"/>
        </w:rPr>
        <w:t xml:space="preserve">Bildverweis: © www.Lindner-Group.com </w:t>
      </w:r>
    </w:p>
    <w:p>
      <w:pPr>
        <w:rPr>
          <w:sz w:val="18"/>
        </w:rPr>
      </w:pPr>
    </w:p>
    <w:p>
      <w:pPr>
        <w:spacing w:line="240" w:lineRule="auto"/>
      </w:pPr>
      <w:bookmarkStart w:id="0" w:name="_GoBack"/>
      <w:bookmarkEnd w:id="0"/>
    </w:p>
    <w:p/>
    <w:p>
      <w:pPr>
        <w:rPr>
          <w:b/>
          <w:color w:val="E00428"/>
        </w:rPr>
      </w:pPr>
      <w:r>
        <w:rPr>
          <w:b/>
          <w:color w:val="E00428"/>
        </w:rPr>
        <w:t>Lindner Group</w:t>
      </w:r>
    </w:p>
    <w:p>
      <w:r>
        <w:t xml:space="preserve">Die Lindner Group ist Europas führender Komplettanbieter in den Bereichen Innenausbau, Gebäudetechnik, Fassaden und Isoliertechnik. Das Familienunternehmen verfügt über mehr als 55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
      <w:pPr>
        <w:rPr>
          <w:rFonts w:eastAsiaTheme="minorEastAsia"/>
          <w:b/>
          <w:color w:val="E40428"/>
        </w:rPr>
      </w:pPr>
      <w:r>
        <w:rPr>
          <w:rFonts w:eastAsiaTheme="minorEastAsia"/>
          <w:b/>
          <w:color w:val="E40428"/>
        </w:rPr>
        <w:t xml:space="preserve">Weitere Infos unter </w:t>
      </w:r>
      <w:hyperlink r:id="rId10" w:history="1">
        <w:r>
          <w:rPr>
            <w:rStyle w:val="Hyperlink"/>
            <w:rFonts w:eastAsiaTheme="minorEastAsia"/>
            <w:b/>
            <w:color w:val="E40428"/>
            <w:u w:val="none"/>
          </w:rPr>
          <w:t>www.Lindner-Group.com</w:t>
        </w:r>
      </w:hyperlink>
    </w:p>
    <w:p>
      <w:pPr>
        <w:pStyle w:val="EinfAbs"/>
        <w:rPr>
          <w:rFonts w:ascii="Arial" w:hAnsi="Arial" w:cs="Arial"/>
          <w:color w:val="auto"/>
          <w:sz w:val="20"/>
          <w:szCs w:val="16"/>
        </w:rPr>
      </w:pPr>
      <w:hyperlink r:id="rId11" w:history="1">
        <w:r>
          <w:rPr>
            <w:rStyle w:val="Hyperlink"/>
            <w:rFonts w:ascii="Arial" w:hAnsi="Arial" w:cs="Arial"/>
            <w:color w:val="auto"/>
            <w:sz w:val="20"/>
            <w:szCs w:val="16"/>
          </w:rPr>
          <w:t>XING</w:t>
        </w:r>
      </w:hyperlink>
      <w:r>
        <w:rPr>
          <w:rFonts w:ascii="Arial" w:hAnsi="Arial" w:cs="Arial"/>
          <w:color w:val="auto"/>
          <w:sz w:val="20"/>
          <w:szCs w:val="16"/>
        </w:rPr>
        <w:t xml:space="preserve"> | </w:t>
      </w:r>
      <w:hyperlink r:id="rId12" w:history="1">
        <w:r>
          <w:rPr>
            <w:rStyle w:val="Hyperlink"/>
            <w:rFonts w:ascii="Arial" w:hAnsi="Arial" w:cs="Arial"/>
            <w:color w:val="auto"/>
            <w:sz w:val="20"/>
            <w:szCs w:val="16"/>
          </w:rPr>
          <w:t>LinkedIn</w:t>
        </w:r>
      </w:hyperlink>
      <w:r>
        <w:rPr>
          <w:rFonts w:ascii="Arial" w:hAnsi="Arial" w:cs="Arial"/>
          <w:color w:val="auto"/>
          <w:sz w:val="20"/>
          <w:szCs w:val="16"/>
        </w:rPr>
        <w:t xml:space="preserve"> | </w:t>
      </w:r>
      <w:hyperlink r:id="rId13" w:history="1">
        <w:r>
          <w:rPr>
            <w:rStyle w:val="Hyperlink"/>
            <w:rFonts w:ascii="Arial" w:hAnsi="Arial" w:cs="Arial"/>
            <w:color w:val="auto"/>
            <w:sz w:val="20"/>
            <w:szCs w:val="16"/>
          </w:rPr>
          <w:t>Pinterest</w:t>
        </w:r>
      </w:hyperlink>
      <w:r>
        <w:rPr>
          <w:rFonts w:ascii="Arial" w:hAnsi="Arial" w:cs="Arial"/>
          <w:color w:val="auto"/>
          <w:sz w:val="20"/>
          <w:szCs w:val="16"/>
        </w:rPr>
        <w:t xml:space="preserve"> | </w:t>
      </w:r>
      <w:hyperlink r:id="rId14" w:history="1">
        <w:r>
          <w:rPr>
            <w:rStyle w:val="Hyperlink"/>
            <w:rFonts w:ascii="Arial" w:hAnsi="Arial" w:cs="Arial"/>
            <w:color w:val="auto"/>
            <w:sz w:val="20"/>
            <w:szCs w:val="16"/>
          </w:rPr>
          <w:t>Instagram</w:t>
        </w:r>
      </w:hyperlink>
      <w:r>
        <w:rPr>
          <w:rStyle w:val="Hyperlink"/>
          <w:rFonts w:ascii="Arial" w:hAnsi="Arial" w:cs="Arial"/>
          <w:color w:val="auto"/>
          <w:sz w:val="20"/>
          <w:szCs w:val="16"/>
          <w:u w:val="none"/>
        </w:rPr>
        <w:t xml:space="preserve"> | </w:t>
      </w:r>
      <w:hyperlink r:id="rId15" w:history="1">
        <w:r>
          <w:rPr>
            <w:rStyle w:val="Hyperlink"/>
            <w:rFonts w:ascii="Arial" w:hAnsi="Arial" w:cs="Arial"/>
            <w:color w:val="auto"/>
            <w:sz w:val="20"/>
            <w:szCs w:val="16"/>
          </w:rPr>
          <w:t>Facebook</w:t>
        </w:r>
      </w:hyperlink>
      <w:r>
        <w:rPr>
          <w:rStyle w:val="Hyperlink"/>
          <w:rFonts w:ascii="Arial" w:hAnsi="Arial" w:cs="Arial"/>
          <w:color w:val="auto"/>
          <w:sz w:val="20"/>
          <w:szCs w:val="16"/>
          <w:u w:val="none"/>
        </w:rPr>
        <w:t xml:space="preserve"> | </w:t>
      </w:r>
      <w:hyperlink r:id="rId16" w:history="1">
        <w:r>
          <w:rPr>
            <w:rStyle w:val="Hyperlink"/>
            <w:rFonts w:ascii="Arial" w:hAnsi="Arial" w:cs="Arial"/>
            <w:color w:val="auto"/>
            <w:sz w:val="20"/>
            <w:szCs w:val="16"/>
          </w:rPr>
          <w:t>YouTube</w:t>
        </w:r>
      </w:hyperlink>
    </w:p>
    <w:sectPr>
      <w:headerReference w:type="default" r:id="rId17"/>
      <w:footerReference w:type="default" r:id="rId18"/>
      <w:headerReference w:type="first" r:id="rId19"/>
      <w:footerReference w:type="first" r:id="rId20"/>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Arial" w:hAnsi="Arial"/>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nterest.de/lindner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lindner-grou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Lindner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g.com/companies/lindnergroup" TargetMode="External"/><Relationship Id="rId5" Type="http://schemas.openxmlformats.org/officeDocument/2006/relationships/webSettings" Target="webSettings.xml"/><Relationship Id="rId15" Type="http://schemas.openxmlformats.org/officeDocument/2006/relationships/hyperlink" Target="https://www.facebook.com/LindnerGroup.Karriere" TargetMode="External"/><Relationship Id="rId10" Type="http://schemas.openxmlformats.org/officeDocument/2006/relationships/hyperlink" Target="http://www.Lindner-Group.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stagram.com/lindner_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5C947-2A10-4633-9891-DE9F692F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2560</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6</cp:revision>
  <cp:lastPrinted>2023-12-05T14:54:00Z</cp:lastPrinted>
  <dcterms:created xsi:type="dcterms:W3CDTF">2023-12-04T15:23:00Z</dcterms:created>
  <dcterms:modified xsi:type="dcterms:W3CDTF">2023-12-05T14:55:00Z</dcterms:modified>
</cp:coreProperties>
</file>