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261D637A" w:rsidR="00CA79D7" w:rsidRPr="006456EA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613E6C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1550FE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613E6C">
        <w:rPr>
          <w:rFonts w:ascii="Source Sans Pro" w:hAnsi="Source Sans Pro" w:cs="Source Sans Pro"/>
          <w:caps/>
          <w:color w:val="0086A8"/>
          <w:sz w:val="22"/>
          <w:szCs w:val="22"/>
        </w:rPr>
        <w:t>2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3E8F9F57" w:rsidR="00CA79D7" w:rsidRDefault="00B0354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Standortverlagerungen zur Mitarbeiterbindung stützen Büromärkte</w:t>
      </w:r>
    </w:p>
    <w:p w14:paraId="743073FD" w14:textId="77777777" w:rsidR="003152C9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4C2804D7" w:rsidR="00CA79D7" w:rsidRPr="00CA79D7" w:rsidRDefault="009C11F2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364E95AE" wp14:editId="1D7A6B2A">
            <wp:extent cx="4166667" cy="2434442"/>
            <wp:effectExtent l="19050" t="19050" r="24765" b="234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P-Top-7-Büromärkte-Flächenumsatz-1Q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145" cy="244523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444769DA" w14:textId="4C287186" w:rsidR="007D5A52" w:rsidRDefault="00613E6C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01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>
        <w:rPr>
          <w:rFonts w:ascii="Source Sans Pro" w:hAnsi="Source Sans Pro" w:cs="Source Sans Pro"/>
          <w:color w:val="0087A8"/>
          <w:sz w:val="22"/>
          <w:szCs w:val="22"/>
        </w:rPr>
        <w:t>April</w:t>
      </w:r>
      <w:r w:rsidR="006C5831">
        <w:rPr>
          <w:rFonts w:ascii="Source Sans Pro" w:hAnsi="Source Sans Pro" w:cs="Source Sans Pro"/>
          <w:color w:val="0087A8"/>
          <w:sz w:val="22"/>
          <w:szCs w:val="22"/>
        </w:rPr>
        <w:t xml:space="preserve"> 2022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C654E1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C654E1" w:rsidRPr="00C654E1">
        <w:rPr>
          <w:rFonts w:ascii="Source Sans Pro" w:hAnsi="Source Sans Pro" w:cs="Source Sans Pro"/>
          <w:color w:val="auto"/>
          <w:sz w:val="22"/>
          <w:szCs w:val="22"/>
        </w:rPr>
        <w:t>Na</w:t>
      </w:r>
      <w:r w:rsidR="00C654E1">
        <w:rPr>
          <w:rFonts w:ascii="Source Sans Pro" w:hAnsi="Source Sans Pro" w:cs="Source Sans Pro"/>
          <w:sz w:val="22"/>
          <w:szCs w:val="22"/>
        </w:rPr>
        <w:t xml:space="preserve">chfrage nach Büroflächen an den deutschen Top-7-Standorten </w:t>
      </w:r>
      <w:r w:rsidR="001668E1">
        <w:rPr>
          <w:rFonts w:ascii="Source Sans Pro" w:hAnsi="Source Sans Pro" w:cs="Source Sans Pro"/>
          <w:sz w:val="22"/>
          <w:szCs w:val="22"/>
        </w:rPr>
        <w:t>war</w:t>
      </w:r>
      <w:r w:rsidR="00C654E1">
        <w:rPr>
          <w:rFonts w:ascii="Source Sans Pro" w:hAnsi="Source Sans Pro" w:cs="Source Sans Pro"/>
          <w:sz w:val="22"/>
          <w:szCs w:val="22"/>
        </w:rPr>
        <w:t xml:space="preserve"> definitiv vorhanden, </w:t>
      </w:r>
      <w:r w:rsidR="008A5E54">
        <w:rPr>
          <w:rFonts w:ascii="Source Sans Pro" w:hAnsi="Source Sans Pro" w:cs="Source Sans Pro"/>
          <w:sz w:val="22"/>
          <w:szCs w:val="22"/>
        </w:rPr>
        <w:t>zeigt das</w:t>
      </w:r>
      <w:r w:rsidR="00C654E1">
        <w:rPr>
          <w:rFonts w:ascii="Source Sans Pro" w:hAnsi="Source Sans Pro" w:cs="Source Sans Pro"/>
          <w:sz w:val="22"/>
          <w:szCs w:val="22"/>
        </w:rPr>
        <w:t xml:space="preserve"> Plus </w:t>
      </w:r>
      <w:r w:rsidR="001668E1">
        <w:rPr>
          <w:rFonts w:ascii="Source Sans Pro" w:hAnsi="Source Sans Pro" w:cs="Source Sans Pro"/>
          <w:sz w:val="22"/>
          <w:szCs w:val="22"/>
        </w:rPr>
        <w:t>des</w:t>
      </w:r>
      <w:r w:rsidR="00C654E1">
        <w:rPr>
          <w:rFonts w:ascii="Source Sans Pro" w:hAnsi="Source Sans Pro" w:cs="Source Sans Pro"/>
          <w:sz w:val="22"/>
          <w:szCs w:val="22"/>
        </w:rPr>
        <w:t xml:space="preserve"> Top-7-Flächenumsatz</w:t>
      </w:r>
      <w:r w:rsidR="001668E1">
        <w:rPr>
          <w:rFonts w:ascii="Source Sans Pro" w:hAnsi="Source Sans Pro" w:cs="Source Sans Pro"/>
          <w:sz w:val="22"/>
          <w:szCs w:val="22"/>
        </w:rPr>
        <w:t>es</w:t>
      </w:r>
      <w:r w:rsidR="00C654E1">
        <w:rPr>
          <w:rFonts w:ascii="Source Sans Pro" w:hAnsi="Source Sans Pro" w:cs="Source Sans Pro"/>
          <w:sz w:val="22"/>
          <w:szCs w:val="22"/>
        </w:rPr>
        <w:t xml:space="preserve"> von knapp einem Fünftel auf 785.600 m² i</w:t>
      </w:r>
      <w:r w:rsidR="005D1D6F">
        <w:rPr>
          <w:rFonts w:ascii="Source Sans Pro" w:hAnsi="Source Sans Pro" w:cs="Source Sans Pro"/>
          <w:sz w:val="22"/>
          <w:szCs w:val="22"/>
        </w:rPr>
        <w:t xml:space="preserve">m 1. Quartal 2022 </w:t>
      </w:r>
      <w:r w:rsidR="007E6244">
        <w:rPr>
          <w:rFonts w:ascii="Source Sans Pro" w:hAnsi="Source Sans Pro" w:cs="Source Sans Pro"/>
          <w:sz w:val="22"/>
          <w:szCs w:val="22"/>
        </w:rPr>
        <w:t>verglichen mit dem Vorjahreszeitraum</w:t>
      </w:r>
      <w:r w:rsidR="00C654E1">
        <w:rPr>
          <w:rFonts w:ascii="Source Sans Pro" w:hAnsi="Source Sans Pro" w:cs="Source Sans Pro"/>
          <w:sz w:val="22"/>
          <w:szCs w:val="22"/>
        </w:rPr>
        <w:t xml:space="preserve">. </w:t>
      </w:r>
      <w:r w:rsidR="00C654E1" w:rsidRPr="001668E1">
        <w:rPr>
          <w:rFonts w:ascii="Source Sans Pro" w:hAnsi="Source Sans Pro" w:cs="Source Sans Pro"/>
          <w:i/>
          <w:sz w:val="22"/>
          <w:szCs w:val="22"/>
        </w:rPr>
        <w:t>„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>Entscheidend für die Entwicklung an den einzelnen Standorten war, ob</w:t>
      </w:r>
      <w:r w:rsidR="00C654E1" w:rsidRPr="001668E1">
        <w:rPr>
          <w:rFonts w:ascii="Source Sans Pro" w:hAnsi="Source Sans Pro" w:cs="Source Sans Pro"/>
          <w:i/>
          <w:sz w:val="22"/>
          <w:szCs w:val="22"/>
        </w:rPr>
        <w:t xml:space="preserve"> Großverträge noch 2021 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oder zwischen Januar und März </w:t>
      </w:r>
      <w:r w:rsidR="00C654E1" w:rsidRPr="001668E1">
        <w:rPr>
          <w:rFonts w:ascii="Source Sans Pro" w:hAnsi="Source Sans Pro" w:cs="Source Sans Pro"/>
          <w:i/>
          <w:sz w:val="22"/>
          <w:szCs w:val="22"/>
        </w:rPr>
        <w:t>abgeschlossen wurden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. Ersteres gilt </w:t>
      </w:r>
      <w:r w:rsidR="009C51BD">
        <w:rPr>
          <w:rFonts w:ascii="Source Sans Pro" w:hAnsi="Source Sans Pro" w:cs="Source Sans Pro"/>
          <w:i/>
          <w:sz w:val="22"/>
          <w:szCs w:val="22"/>
        </w:rPr>
        <w:t xml:space="preserve">beispielsweise 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für </w:t>
      </w:r>
      <w:r w:rsidR="00C654E1" w:rsidRPr="001668E1">
        <w:rPr>
          <w:rFonts w:ascii="Source Sans Pro" w:hAnsi="Source Sans Pro" w:cs="Source Sans Pro"/>
          <w:i/>
          <w:sz w:val="22"/>
          <w:szCs w:val="22"/>
        </w:rPr>
        <w:t>Berlin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, </w:t>
      </w:r>
      <w:r w:rsidR="009C51BD">
        <w:rPr>
          <w:rFonts w:ascii="Source Sans Pro" w:hAnsi="Source Sans Pro" w:cs="Source Sans Pro"/>
          <w:i/>
          <w:sz w:val="22"/>
          <w:szCs w:val="22"/>
        </w:rPr>
        <w:t>wo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 der Flächenumsatz mit 115.000 m² unterdurchschnittlich ausfiel. Letzteres </w:t>
      </w:r>
      <w:r w:rsidR="00684F14">
        <w:rPr>
          <w:rFonts w:ascii="Source Sans Pro" w:hAnsi="Source Sans Pro" w:cs="Source Sans Pro"/>
          <w:i/>
          <w:sz w:val="22"/>
          <w:szCs w:val="22"/>
        </w:rPr>
        <w:t xml:space="preserve">wiederum 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>traf auf</w:t>
      </w:r>
      <w:r w:rsidR="00C654E1" w:rsidRPr="001668E1">
        <w:rPr>
          <w:rFonts w:ascii="Source Sans Pro" w:hAnsi="Source Sans Pro" w:cs="Source Sans Pro"/>
          <w:i/>
          <w:sz w:val="22"/>
          <w:szCs w:val="22"/>
        </w:rPr>
        <w:t xml:space="preserve"> Stuttgart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 zu mit einem überdurchschnittlichen </w:t>
      </w:r>
      <w:r w:rsidR="008C1EBB">
        <w:rPr>
          <w:rFonts w:ascii="Source Sans Pro" w:hAnsi="Source Sans Pro" w:cs="Source Sans Pro"/>
          <w:i/>
          <w:sz w:val="22"/>
          <w:szCs w:val="22"/>
        </w:rPr>
        <w:t>Zuwachs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 von 16</w:t>
      </w:r>
      <w:r w:rsidR="00445495">
        <w:rPr>
          <w:rFonts w:ascii="Source Sans Pro" w:hAnsi="Source Sans Pro" w:cs="Source Sans Pro"/>
          <w:i/>
          <w:sz w:val="22"/>
          <w:szCs w:val="22"/>
        </w:rPr>
        <w:t>7</w:t>
      </w:r>
      <w:r w:rsidR="001668E1" w:rsidRPr="001668E1">
        <w:rPr>
          <w:rFonts w:ascii="Source Sans Pro" w:hAnsi="Source Sans Pro" w:cs="Source Sans Pro"/>
          <w:i/>
          <w:sz w:val="22"/>
          <w:szCs w:val="22"/>
        </w:rPr>
        <w:t xml:space="preserve"> Prozent“,</w:t>
      </w:r>
      <w:r w:rsidR="001668E1">
        <w:rPr>
          <w:rFonts w:ascii="Source Sans Pro" w:hAnsi="Source Sans Pro" w:cs="Source Sans Pro"/>
          <w:sz w:val="22"/>
          <w:szCs w:val="22"/>
        </w:rPr>
        <w:t xml:space="preserve"> erläutert </w:t>
      </w:r>
      <w:r w:rsidR="001668E1" w:rsidRPr="001668E1">
        <w:rPr>
          <w:rFonts w:ascii="Source Sans Pro" w:hAnsi="Source Sans Pro" w:cs="Source Sans Pro"/>
          <w:b/>
          <w:sz w:val="22"/>
          <w:szCs w:val="22"/>
        </w:rPr>
        <w:t>Andreas Rehberg</w:t>
      </w:r>
      <w:r w:rsidR="001668E1">
        <w:rPr>
          <w:rFonts w:ascii="Source Sans Pro" w:hAnsi="Source Sans Pro" w:cs="Source Sans Pro"/>
          <w:sz w:val="22"/>
          <w:szCs w:val="22"/>
        </w:rPr>
        <w:t xml:space="preserve">, Sprecher von German Property Partners (GPP). Zu dem </w:t>
      </w:r>
      <w:r w:rsidR="00343846">
        <w:rPr>
          <w:rFonts w:ascii="Source Sans Pro" w:hAnsi="Source Sans Pro" w:cs="Source Sans Pro"/>
          <w:sz w:val="22"/>
          <w:szCs w:val="22"/>
        </w:rPr>
        <w:t xml:space="preserve">Gewerbeimmobiliennetzwerk gehören </w:t>
      </w:r>
      <w:r w:rsidR="00977A0F" w:rsidRPr="00977A0F">
        <w:rPr>
          <w:rFonts w:ascii="Source Sans Pro" w:hAnsi="Source Sans Pro" w:cs="Source Sans Pro"/>
          <w:sz w:val="22"/>
          <w:szCs w:val="22"/>
        </w:rPr>
        <w:t>Grossmann &amp; Berger, Anteon Immobilien, GREIF &amp; CONTZEN Immobilien, blackolive und E &amp; G Real Estate</w:t>
      </w:r>
      <w:r w:rsidR="00977A0F">
        <w:rPr>
          <w:rFonts w:ascii="Source Sans Pro" w:hAnsi="Source Sans Pro" w:cs="Source Sans Pro"/>
          <w:sz w:val="22"/>
          <w:szCs w:val="22"/>
        </w:rPr>
        <w:t>.</w:t>
      </w:r>
      <w:r w:rsidR="009C51BD">
        <w:rPr>
          <w:rFonts w:ascii="Source Sans Pro" w:hAnsi="Source Sans Pro" w:cs="Source Sans Pro"/>
          <w:sz w:val="22"/>
          <w:szCs w:val="22"/>
        </w:rPr>
        <w:t xml:space="preserve"> </w:t>
      </w:r>
      <w:r w:rsidR="009C51BD" w:rsidRPr="009C51BD">
        <w:rPr>
          <w:rFonts w:ascii="Source Sans Pro" w:hAnsi="Source Sans Pro" w:cs="Source Sans Pro"/>
          <w:i/>
          <w:sz w:val="22"/>
          <w:szCs w:val="22"/>
        </w:rPr>
        <w:t>„</w:t>
      </w:r>
      <w:r w:rsidR="008C1EBB">
        <w:rPr>
          <w:rFonts w:ascii="Source Sans Pro" w:hAnsi="Source Sans Pro" w:cs="Source Sans Pro"/>
          <w:i/>
          <w:sz w:val="22"/>
          <w:szCs w:val="22"/>
        </w:rPr>
        <w:t xml:space="preserve">Neben der noch immer anhaltenden flächendeckenden Pandemielage erschweren nun auch </w:t>
      </w:r>
      <w:r w:rsidR="009C51BD" w:rsidRPr="009C51BD">
        <w:rPr>
          <w:rFonts w:ascii="Source Sans Pro" w:hAnsi="Source Sans Pro" w:cs="Source Sans Pro"/>
          <w:i/>
          <w:sz w:val="22"/>
          <w:szCs w:val="22"/>
        </w:rPr>
        <w:t xml:space="preserve">die Ukraine-Krise </w:t>
      </w:r>
      <w:r w:rsidR="008C1EBB">
        <w:rPr>
          <w:rFonts w:ascii="Source Sans Pro" w:hAnsi="Source Sans Pro" w:cs="Source Sans Pro"/>
          <w:i/>
          <w:sz w:val="22"/>
          <w:szCs w:val="22"/>
        </w:rPr>
        <w:t>und</w:t>
      </w:r>
      <w:r w:rsidR="009C51BD" w:rsidRPr="009C51BD">
        <w:rPr>
          <w:rFonts w:ascii="Source Sans Pro" w:hAnsi="Source Sans Pro" w:cs="Source Sans Pro"/>
          <w:i/>
          <w:sz w:val="22"/>
          <w:szCs w:val="22"/>
        </w:rPr>
        <w:t xml:space="preserve"> die zunehmende Inflation </w:t>
      </w:r>
      <w:r w:rsidR="008C1EBB">
        <w:rPr>
          <w:rFonts w:ascii="Source Sans Pro" w:hAnsi="Source Sans Pro" w:cs="Source Sans Pro"/>
          <w:i/>
          <w:sz w:val="22"/>
          <w:szCs w:val="22"/>
        </w:rPr>
        <w:t xml:space="preserve">Vorhersagen für die </w:t>
      </w:r>
      <w:r w:rsidR="009C51BD" w:rsidRPr="009C51BD">
        <w:rPr>
          <w:rFonts w:ascii="Source Sans Pro" w:hAnsi="Source Sans Pro" w:cs="Source Sans Pro"/>
          <w:i/>
          <w:sz w:val="22"/>
          <w:szCs w:val="22"/>
        </w:rPr>
        <w:t>Top-7-Büromärkte.“</w:t>
      </w:r>
      <w:r w:rsidR="009C51BD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65E17CEF" w14:textId="77777777" w:rsidR="009C51BD" w:rsidRDefault="009C51BD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2B4A804" w14:textId="061408AF" w:rsidR="007D5A52" w:rsidRPr="006456EA" w:rsidRDefault="00B03542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flächenumsatz steigt an 5 standorten</w:t>
      </w:r>
    </w:p>
    <w:p w14:paraId="5F847AE9" w14:textId="098D0AB4" w:rsidR="00640E69" w:rsidRDefault="00684F14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Die Spanne der Flächenumsatzentwicklung war mit -28 % in Berlin bis +16</w:t>
      </w:r>
      <w:r w:rsidR="007E6244">
        <w:rPr>
          <w:rFonts w:ascii="Source Sans Pro" w:hAnsi="Source Sans Pro" w:cs="Source Sans Pro"/>
          <w:sz w:val="22"/>
          <w:szCs w:val="22"/>
        </w:rPr>
        <w:t>7</w:t>
      </w:r>
      <w:r>
        <w:rPr>
          <w:rFonts w:ascii="Source Sans Pro" w:hAnsi="Source Sans Pro" w:cs="Source Sans Pro"/>
          <w:sz w:val="22"/>
          <w:szCs w:val="22"/>
        </w:rPr>
        <w:t xml:space="preserve"> % in Stuttgart im 1. Quartal sehr groß. Außer der Hauptstadt verzeichnete auch der Büromarkt Köln ein Minus von 18 %. </w:t>
      </w:r>
      <w:r w:rsidR="00DF226F">
        <w:rPr>
          <w:rFonts w:ascii="Source Sans Pro" w:hAnsi="Source Sans Pro" w:cs="Source Sans Pro"/>
          <w:sz w:val="22"/>
          <w:szCs w:val="22"/>
        </w:rPr>
        <w:t xml:space="preserve">Anders als Köln mit zwei Abschlüssen im Großflächensegment </w:t>
      </w:r>
      <w:r w:rsidR="00245D99">
        <w:rPr>
          <w:rFonts w:ascii="Source Sans Pro" w:hAnsi="Source Sans Pro" w:cs="Source Sans Pro"/>
          <w:sz w:val="22"/>
          <w:szCs w:val="22"/>
        </w:rPr>
        <w:t xml:space="preserve">hatte der größte Abschluss </w:t>
      </w:r>
      <w:r w:rsidR="00DF226F">
        <w:rPr>
          <w:rFonts w:ascii="Source Sans Pro" w:hAnsi="Source Sans Pro" w:cs="Source Sans Pro"/>
          <w:sz w:val="22"/>
          <w:szCs w:val="22"/>
        </w:rPr>
        <w:t xml:space="preserve">in Berlin ein Volumen von lediglich 5.300 m². </w:t>
      </w:r>
      <w:r w:rsidR="00DF226F" w:rsidRPr="009C11F2">
        <w:rPr>
          <w:rFonts w:ascii="Source Sans Pro" w:hAnsi="Source Sans Pro" w:cs="Source Sans Pro"/>
          <w:i/>
          <w:sz w:val="22"/>
          <w:szCs w:val="22"/>
        </w:rPr>
        <w:t>„Zwar startete d</w:t>
      </w:r>
      <w:r w:rsidR="008A5E54" w:rsidRPr="009C11F2">
        <w:rPr>
          <w:rFonts w:ascii="Source Sans Pro" w:hAnsi="Source Sans Pro" w:cs="Source Sans Pro"/>
          <w:i/>
          <w:sz w:val="22"/>
          <w:szCs w:val="22"/>
        </w:rPr>
        <w:t xml:space="preserve">ie Bundeshauptstadt </w:t>
      </w:r>
      <w:r w:rsidR="00DF226F" w:rsidRPr="009C11F2">
        <w:rPr>
          <w:rFonts w:ascii="Source Sans Pro" w:hAnsi="Source Sans Pro" w:cs="Source Sans Pro"/>
          <w:i/>
          <w:sz w:val="22"/>
          <w:szCs w:val="22"/>
        </w:rPr>
        <w:t>verhalten ins Jahr 2022. A</w:t>
      </w:r>
      <w:r w:rsidR="008A5E54" w:rsidRPr="009C11F2">
        <w:rPr>
          <w:rFonts w:ascii="Source Sans Pro" w:hAnsi="Source Sans Pro" w:cs="Source Sans Pro"/>
          <w:i/>
          <w:sz w:val="22"/>
          <w:szCs w:val="22"/>
        </w:rPr>
        <w:t xml:space="preserve">ufgrund der anhalten Nachfrage der Technologiebranche ist im weiteren Jahresverlauf aber mit einer deutlichen </w:t>
      </w:r>
      <w:r w:rsidR="0019039E" w:rsidRPr="009C11F2">
        <w:rPr>
          <w:rFonts w:ascii="Source Sans Pro" w:hAnsi="Source Sans Pro" w:cs="Source Sans Pro"/>
          <w:i/>
          <w:sz w:val="22"/>
          <w:szCs w:val="22"/>
        </w:rPr>
        <w:t>Marktbelebung</w:t>
      </w:r>
      <w:r w:rsidR="008A5E54" w:rsidRPr="009C11F2">
        <w:rPr>
          <w:rFonts w:ascii="Source Sans Pro" w:hAnsi="Source Sans Pro" w:cs="Source Sans Pro"/>
          <w:i/>
          <w:sz w:val="22"/>
          <w:szCs w:val="22"/>
        </w:rPr>
        <w:t xml:space="preserve"> zu rechne</w:t>
      </w:r>
      <w:r w:rsidR="0019039E" w:rsidRPr="009C11F2">
        <w:rPr>
          <w:rFonts w:ascii="Source Sans Pro" w:hAnsi="Source Sans Pro" w:cs="Source Sans Pro"/>
          <w:i/>
          <w:sz w:val="22"/>
          <w:szCs w:val="22"/>
        </w:rPr>
        <w:t>n</w:t>
      </w:r>
      <w:r w:rsidR="00DF226F" w:rsidRPr="009C11F2">
        <w:rPr>
          <w:rFonts w:ascii="Source Sans Pro" w:hAnsi="Source Sans Pro" w:cs="Source Sans Pro"/>
          <w:i/>
          <w:sz w:val="22"/>
          <w:szCs w:val="22"/>
        </w:rPr>
        <w:t xml:space="preserve">“, </w:t>
      </w:r>
      <w:r w:rsidR="00DF226F">
        <w:rPr>
          <w:rFonts w:ascii="Source Sans Pro" w:hAnsi="Source Sans Pro" w:cs="Source Sans Pro"/>
          <w:sz w:val="22"/>
          <w:szCs w:val="22"/>
        </w:rPr>
        <w:t xml:space="preserve">ist sich </w:t>
      </w:r>
      <w:r w:rsidR="00DF226F" w:rsidRPr="009C11F2">
        <w:rPr>
          <w:rFonts w:ascii="Source Sans Pro" w:hAnsi="Source Sans Pro" w:cs="Source Sans Pro"/>
          <w:b/>
          <w:sz w:val="22"/>
          <w:szCs w:val="22"/>
        </w:rPr>
        <w:t>Rehberg</w:t>
      </w:r>
      <w:r w:rsidR="00DF226F">
        <w:rPr>
          <w:rFonts w:ascii="Source Sans Pro" w:hAnsi="Source Sans Pro" w:cs="Source Sans Pro"/>
          <w:sz w:val="22"/>
          <w:szCs w:val="22"/>
        </w:rPr>
        <w:t xml:space="preserve"> sicher</w:t>
      </w:r>
      <w:r w:rsidR="008A5E54">
        <w:rPr>
          <w:rFonts w:ascii="Source Sans Pro" w:hAnsi="Source Sans Pro" w:cs="Source Sans Pro"/>
          <w:sz w:val="22"/>
          <w:szCs w:val="22"/>
        </w:rPr>
        <w:t xml:space="preserve">. </w:t>
      </w:r>
      <w:r w:rsidR="000B4143">
        <w:rPr>
          <w:rFonts w:ascii="Source Sans Pro" w:hAnsi="Source Sans Pro" w:cs="Source Sans Pro"/>
          <w:sz w:val="22"/>
          <w:szCs w:val="22"/>
        </w:rPr>
        <w:t xml:space="preserve">Die Tatsache, dass in Stuttgart der großvolumigste Vertrag </w:t>
      </w:r>
      <w:r w:rsidR="00445495">
        <w:rPr>
          <w:rFonts w:ascii="Source Sans Pro" w:hAnsi="Source Sans Pro" w:cs="Source Sans Pro"/>
          <w:sz w:val="22"/>
          <w:szCs w:val="22"/>
        </w:rPr>
        <w:t xml:space="preserve">der Erwerb einer Bestandsimmobilie </w:t>
      </w:r>
      <w:r w:rsidR="000B4143">
        <w:rPr>
          <w:rFonts w:ascii="Source Sans Pro" w:hAnsi="Source Sans Pro" w:cs="Source Sans Pro"/>
          <w:sz w:val="22"/>
          <w:szCs w:val="22"/>
        </w:rPr>
        <w:t>und in Frankfurt die zwei größten Verträge Baustarts waren, pushten ihre Eigennutzerquoten auf ein Drittel.</w:t>
      </w:r>
      <w:r w:rsidR="00035322">
        <w:rPr>
          <w:rFonts w:ascii="Source Sans Pro" w:hAnsi="Source Sans Pro" w:cs="Source Sans Pro"/>
          <w:sz w:val="22"/>
          <w:szCs w:val="22"/>
        </w:rPr>
        <w:t xml:space="preserve"> Der Top-7-Eigennutzerflächenumsatz betrug 101.160 m², was einer Top-7-Eigennutzerquote von 13 % entspricht.</w:t>
      </w:r>
    </w:p>
    <w:p w14:paraId="02E056D0" w14:textId="77777777" w:rsidR="009C11F2" w:rsidRDefault="009C11F2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2BB76F36" w14:textId="77777777" w:rsidR="00445495" w:rsidRDefault="00445495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2DF875FC" w14:textId="1352C8CF" w:rsidR="00613E6C" w:rsidRPr="006456EA" w:rsidRDefault="002B4422" w:rsidP="00613E6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lastRenderedPageBreak/>
        <w:t xml:space="preserve">unternehmen investieren in qualität </w:t>
      </w:r>
    </w:p>
    <w:p w14:paraId="2FD31326" w14:textId="19FBFF90" w:rsidR="00613E6C" w:rsidRDefault="00BC410C" w:rsidP="00613E6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Sowohl die Durchschnitts- als auch die Spitzenmieten an den Top-7-Büromärkten legten im 1. Quartal 2022 gegenüber dem 1. Quartal 2021 zu. Nur in Düsseldorf blieben beide </w:t>
      </w:r>
      <w:r w:rsidR="00AB449B">
        <w:rPr>
          <w:rFonts w:ascii="Source Sans Pro" w:hAnsi="Source Sans Pro" w:cs="Source Sans Pro"/>
          <w:sz w:val="22"/>
          <w:szCs w:val="22"/>
        </w:rPr>
        <w:t xml:space="preserve">Werte </w:t>
      </w:r>
      <w:r>
        <w:rPr>
          <w:rFonts w:ascii="Source Sans Pro" w:hAnsi="Source Sans Pro" w:cs="Source Sans Pro"/>
          <w:sz w:val="22"/>
          <w:szCs w:val="22"/>
        </w:rPr>
        <w:t>unverändert. In Köln waren sie gegenüber dem Vorquartal stabil, im Jahresvergleich sank</w:t>
      </w:r>
      <w:r w:rsidR="00B41CC3">
        <w:rPr>
          <w:rFonts w:ascii="Source Sans Pro" w:hAnsi="Source Sans Pro" w:cs="Source Sans Pro"/>
          <w:sz w:val="22"/>
          <w:szCs w:val="22"/>
        </w:rPr>
        <w:t xml:space="preserve"> einzig</w:t>
      </w:r>
      <w:r>
        <w:rPr>
          <w:rFonts w:ascii="Source Sans Pro" w:hAnsi="Source Sans Pro" w:cs="Source Sans Pro"/>
          <w:sz w:val="22"/>
          <w:szCs w:val="22"/>
        </w:rPr>
        <w:t xml:space="preserve"> die Durchschnittsmiete um 50 Cent/m²/Monat. Mit +1,90 </w:t>
      </w:r>
      <w:r w:rsidR="008A5E54">
        <w:rPr>
          <w:rFonts w:ascii="Source Sans Pro" w:hAnsi="Source Sans Pro" w:cs="Source Sans Pro"/>
          <w:sz w:val="22"/>
          <w:szCs w:val="22"/>
        </w:rPr>
        <w:t>€</w:t>
      </w:r>
      <w:r>
        <w:rPr>
          <w:rFonts w:ascii="Source Sans Pro" w:hAnsi="Source Sans Pro" w:cs="Source Sans Pro"/>
          <w:sz w:val="22"/>
          <w:szCs w:val="22"/>
        </w:rPr>
        <w:t>/m²/Monat am stärksten kletterte die Durchschnittsmiete in Berlin</w:t>
      </w:r>
      <w:r w:rsidR="004F5684">
        <w:rPr>
          <w:rFonts w:ascii="Source Sans Pro" w:hAnsi="Source Sans Pro" w:cs="Source Sans Pro"/>
          <w:sz w:val="22"/>
          <w:szCs w:val="22"/>
        </w:rPr>
        <w:t xml:space="preserve"> und erreichte mit 29,90 €/m²/Monat und </w:t>
      </w:r>
      <w:r w:rsidR="00B41CC3">
        <w:rPr>
          <w:rFonts w:ascii="Source Sans Pro" w:hAnsi="Source Sans Pro" w:cs="Source Sans Pro"/>
          <w:sz w:val="22"/>
          <w:szCs w:val="22"/>
        </w:rPr>
        <w:t>einem</w:t>
      </w:r>
      <w:r w:rsidR="004F5684">
        <w:rPr>
          <w:rFonts w:ascii="Source Sans Pro" w:hAnsi="Source Sans Pro" w:cs="Source Sans Pro"/>
          <w:sz w:val="22"/>
          <w:szCs w:val="22"/>
        </w:rPr>
        <w:t xml:space="preserve"> Abstand </w:t>
      </w:r>
      <w:r w:rsidR="00B41CC3">
        <w:rPr>
          <w:rFonts w:ascii="Source Sans Pro" w:hAnsi="Source Sans Pro" w:cs="Source Sans Pro"/>
          <w:sz w:val="22"/>
          <w:szCs w:val="22"/>
        </w:rPr>
        <w:t xml:space="preserve">von über 5 €/m²/Monat </w:t>
      </w:r>
      <w:r w:rsidR="004F5684">
        <w:rPr>
          <w:rFonts w:ascii="Source Sans Pro" w:hAnsi="Source Sans Pro" w:cs="Source Sans Pro"/>
          <w:sz w:val="22"/>
          <w:szCs w:val="22"/>
        </w:rPr>
        <w:t>auch den höchsten Top-7-Wert</w:t>
      </w:r>
      <w:r w:rsidR="00971DF5">
        <w:rPr>
          <w:rFonts w:ascii="Source Sans Pro" w:hAnsi="Source Sans Pro" w:cs="Source Sans Pro"/>
          <w:sz w:val="22"/>
          <w:szCs w:val="22"/>
        </w:rPr>
        <w:t xml:space="preserve">. </w:t>
      </w:r>
      <w:r w:rsidR="003278F6">
        <w:rPr>
          <w:rFonts w:ascii="Source Sans Pro" w:hAnsi="Source Sans Pro" w:cs="Source Sans Pro"/>
          <w:sz w:val="22"/>
          <w:szCs w:val="22"/>
        </w:rPr>
        <w:t xml:space="preserve">Verglichen mit dem Vorquartal hat sich der Mietanstieg jedoch deutlich abgeschwächt. </w:t>
      </w:r>
      <w:r w:rsidR="003278F6" w:rsidRPr="003278F6">
        <w:rPr>
          <w:rFonts w:ascii="Source Sans Pro" w:hAnsi="Source Sans Pro" w:cs="Source Sans Pro"/>
          <w:i/>
          <w:sz w:val="22"/>
          <w:szCs w:val="22"/>
        </w:rPr>
        <w:t>„Um die Maximalmieten zu stützen, gewähren Vermieter in Berlin mittlerweile wieder Incentives in Form von mietfreien Zeiten oder Ausbauzuschüssen“,</w:t>
      </w:r>
      <w:r w:rsidR="003278F6">
        <w:rPr>
          <w:rFonts w:ascii="Source Sans Pro" w:hAnsi="Source Sans Pro" w:cs="Source Sans Pro"/>
          <w:sz w:val="22"/>
          <w:szCs w:val="22"/>
        </w:rPr>
        <w:t xml:space="preserve"> so </w:t>
      </w:r>
      <w:r w:rsidR="003278F6" w:rsidRPr="003278F6">
        <w:rPr>
          <w:rFonts w:ascii="Source Sans Pro" w:hAnsi="Source Sans Pro" w:cs="Source Sans Pro"/>
          <w:b/>
          <w:sz w:val="22"/>
          <w:szCs w:val="22"/>
        </w:rPr>
        <w:t>Rehberg</w:t>
      </w:r>
      <w:r w:rsidR="003278F6">
        <w:rPr>
          <w:rFonts w:ascii="Source Sans Pro" w:hAnsi="Source Sans Pro" w:cs="Source Sans Pro"/>
          <w:sz w:val="22"/>
          <w:szCs w:val="22"/>
        </w:rPr>
        <w:t xml:space="preserve">. </w:t>
      </w:r>
      <w:r w:rsidR="004F5684">
        <w:rPr>
          <w:rFonts w:ascii="Source Sans Pro" w:hAnsi="Source Sans Pro" w:cs="Source Sans Pro"/>
          <w:sz w:val="22"/>
          <w:szCs w:val="22"/>
        </w:rPr>
        <w:t xml:space="preserve">Einen regelrechten Sprung bei der Spitzenmiete verzeichnete Stuttgart mit einem Plus von 4,40 €/m²/Monat. Der Grund: </w:t>
      </w:r>
      <w:r w:rsidR="002B4422">
        <w:rPr>
          <w:rFonts w:ascii="Source Sans Pro" w:hAnsi="Source Sans Pro" w:cs="Source Sans Pro"/>
          <w:sz w:val="22"/>
          <w:szCs w:val="22"/>
        </w:rPr>
        <w:t>deutlich mehr Vertragsabschlüsse in h</w:t>
      </w:r>
      <w:r w:rsidR="004F5684">
        <w:rPr>
          <w:rFonts w:ascii="Source Sans Pro" w:hAnsi="Source Sans Pro" w:cs="Source Sans Pro"/>
          <w:sz w:val="22"/>
          <w:szCs w:val="22"/>
        </w:rPr>
        <w:t>ochwertige</w:t>
      </w:r>
      <w:r w:rsidR="002B4422">
        <w:rPr>
          <w:rFonts w:ascii="Source Sans Pro" w:hAnsi="Source Sans Pro" w:cs="Source Sans Pro"/>
          <w:sz w:val="22"/>
          <w:szCs w:val="22"/>
        </w:rPr>
        <w:t>n</w:t>
      </w:r>
      <w:r w:rsidR="004F5684">
        <w:rPr>
          <w:rFonts w:ascii="Source Sans Pro" w:hAnsi="Source Sans Pro" w:cs="Source Sans Pro"/>
          <w:sz w:val="22"/>
          <w:szCs w:val="22"/>
        </w:rPr>
        <w:t xml:space="preserve"> Büroflächen.</w:t>
      </w:r>
      <w:r w:rsidR="007E6244">
        <w:rPr>
          <w:rFonts w:ascii="Source Sans Pro" w:hAnsi="Source Sans Pro" w:cs="Source Sans Pro"/>
          <w:sz w:val="22"/>
          <w:szCs w:val="22"/>
        </w:rPr>
        <w:t xml:space="preserve"> </w:t>
      </w:r>
      <w:r w:rsidR="007E6244" w:rsidRPr="009C11F2">
        <w:rPr>
          <w:rFonts w:ascii="Source Sans Pro" w:hAnsi="Source Sans Pro" w:cs="Source Sans Pro"/>
          <w:b/>
          <w:sz w:val="22"/>
          <w:szCs w:val="22"/>
        </w:rPr>
        <w:t>Rehberg</w:t>
      </w:r>
      <w:r w:rsidR="007E6244">
        <w:rPr>
          <w:rFonts w:ascii="Source Sans Pro" w:hAnsi="Source Sans Pro" w:cs="Source Sans Pro"/>
          <w:sz w:val="22"/>
          <w:szCs w:val="22"/>
        </w:rPr>
        <w:t xml:space="preserve"> weiter:</w:t>
      </w:r>
      <w:r w:rsidR="004F5684">
        <w:rPr>
          <w:rFonts w:ascii="Source Sans Pro" w:hAnsi="Source Sans Pro" w:cs="Source Sans Pro"/>
          <w:sz w:val="22"/>
          <w:szCs w:val="22"/>
        </w:rPr>
        <w:t xml:space="preserve"> </w:t>
      </w:r>
      <w:r w:rsidR="002B4422" w:rsidRPr="002B4422">
        <w:rPr>
          <w:rFonts w:ascii="Source Sans Pro" w:hAnsi="Source Sans Pro" w:cs="Source Sans Pro"/>
          <w:i/>
          <w:sz w:val="22"/>
          <w:szCs w:val="22"/>
        </w:rPr>
        <w:t>„</w:t>
      </w:r>
      <w:r w:rsidR="002B4422">
        <w:rPr>
          <w:rFonts w:ascii="Source Sans Pro" w:hAnsi="Source Sans Pro" w:cs="Source Sans Pro"/>
          <w:i/>
          <w:sz w:val="22"/>
          <w:szCs w:val="22"/>
        </w:rPr>
        <w:t>Die Bürom</w:t>
      </w:r>
      <w:r w:rsidR="002B4422" w:rsidRPr="002B4422">
        <w:rPr>
          <w:rFonts w:ascii="Source Sans Pro" w:hAnsi="Source Sans Pro" w:cs="Source Sans Pro"/>
          <w:i/>
          <w:sz w:val="22"/>
          <w:szCs w:val="22"/>
        </w:rPr>
        <w:t xml:space="preserve">ieten spiegeln unsere </w:t>
      </w:r>
      <w:r w:rsidR="00D70F9E">
        <w:rPr>
          <w:rFonts w:ascii="Source Sans Pro" w:hAnsi="Source Sans Pro" w:cs="Source Sans Pro"/>
          <w:i/>
          <w:sz w:val="22"/>
          <w:szCs w:val="22"/>
        </w:rPr>
        <w:t>Erfahrungen</w:t>
      </w:r>
      <w:r w:rsidR="002B4422" w:rsidRPr="002B4422">
        <w:rPr>
          <w:rFonts w:ascii="Source Sans Pro" w:hAnsi="Source Sans Pro" w:cs="Source Sans Pro"/>
          <w:i/>
          <w:sz w:val="22"/>
          <w:szCs w:val="22"/>
        </w:rPr>
        <w:t xml:space="preserve"> wieder: Unternehmen investieren deutlich mehr als vor der Pandemie in ihre Standorte, sei es in eine bessere Lage oder in hochwertigere Fläche</w:t>
      </w:r>
      <w:r w:rsidR="002B4422">
        <w:rPr>
          <w:rFonts w:ascii="Source Sans Pro" w:hAnsi="Source Sans Pro" w:cs="Source Sans Pro"/>
          <w:i/>
          <w:sz w:val="22"/>
          <w:szCs w:val="22"/>
        </w:rPr>
        <w:t xml:space="preserve"> oder sogar beides</w:t>
      </w:r>
      <w:r w:rsidR="002B4422" w:rsidRPr="002B4422">
        <w:rPr>
          <w:rFonts w:ascii="Source Sans Pro" w:hAnsi="Source Sans Pro" w:cs="Source Sans Pro"/>
          <w:i/>
          <w:sz w:val="22"/>
          <w:szCs w:val="22"/>
        </w:rPr>
        <w:t>.“</w:t>
      </w:r>
    </w:p>
    <w:p w14:paraId="6A8ABB46" w14:textId="5BA039FC" w:rsidR="009A3211" w:rsidRDefault="009A3211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4FECF818" w14:textId="67010BF6" w:rsidR="00613E6C" w:rsidRPr="006456EA" w:rsidRDefault="00FA76AB" w:rsidP="00613E6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wieder flächenauswahl in berlin und münchen</w:t>
      </w:r>
    </w:p>
    <w:p w14:paraId="50BAAE59" w14:textId="761E60CD" w:rsidR="00F937F1" w:rsidRDefault="006D2948" w:rsidP="00A549F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Vom Top-7-Büroflächenbestand in Höhe von 93,72 Mio. m² waren am Ende des 1. Quartals 4,62 Mio. m² kurzfristig verfügbar. Im Jahresvergleich kletterte der Top-7-Leerstand zwar um ein Viertel in die Höhe, die Top-7-Leerstandsquote betrug jedoch </w:t>
      </w:r>
      <w:r w:rsidR="00101220">
        <w:rPr>
          <w:rFonts w:ascii="Source Sans Pro" w:hAnsi="Source Sans Pro" w:cs="Source Sans Pro"/>
          <w:sz w:val="22"/>
          <w:szCs w:val="22"/>
        </w:rPr>
        <w:t>weiterhin</w:t>
      </w:r>
      <w:r>
        <w:rPr>
          <w:rFonts w:ascii="Source Sans Pro" w:hAnsi="Source Sans Pro" w:cs="Source Sans Pro"/>
          <w:sz w:val="22"/>
          <w:szCs w:val="22"/>
        </w:rPr>
        <w:t xml:space="preserve"> moderate 4,9 %.</w:t>
      </w:r>
      <w:r w:rsidR="00101220">
        <w:rPr>
          <w:rFonts w:ascii="Source Sans Pro" w:hAnsi="Source Sans Pro" w:cs="Source Sans Pro"/>
          <w:sz w:val="22"/>
          <w:szCs w:val="22"/>
        </w:rPr>
        <w:t xml:space="preserve"> </w:t>
      </w:r>
      <w:r w:rsidR="00AB449B">
        <w:rPr>
          <w:rFonts w:ascii="Source Sans Pro" w:hAnsi="Source Sans Pro" w:cs="Source Sans Pro"/>
          <w:sz w:val="22"/>
          <w:szCs w:val="22"/>
        </w:rPr>
        <w:t>B</w:t>
      </w:r>
      <w:r w:rsidR="00CC646D">
        <w:rPr>
          <w:rFonts w:ascii="Source Sans Pro" w:hAnsi="Source Sans Pro" w:cs="Source Sans Pro"/>
          <w:sz w:val="22"/>
          <w:szCs w:val="22"/>
        </w:rPr>
        <w:t xml:space="preserve">eim Leerstand </w:t>
      </w:r>
      <w:r w:rsidR="003D40B2">
        <w:rPr>
          <w:rFonts w:ascii="Source Sans Pro" w:hAnsi="Source Sans Pro" w:cs="Source Sans Pro"/>
          <w:sz w:val="22"/>
          <w:szCs w:val="22"/>
        </w:rPr>
        <w:t xml:space="preserve">erscheinen </w:t>
      </w:r>
      <w:r w:rsidR="00CC646D">
        <w:rPr>
          <w:rFonts w:ascii="Source Sans Pro" w:hAnsi="Source Sans Pro" w:cs="Source Sans Pro"/>
          <w:sz w:val="22"/>
          <w:szCs w:val="22"/>
        </w:rPr>
        <w:t>die Veränderungen in Berlin und München</w:t>
      </w:r>
      <w:r w:rsidR="00AB449B">
        <w:rPr>
          <w:rFonts w:ascii="Source Sans Pro" w:hAnsi="Source Sans Pro" w:cs="Source Sans Pro"/>
          <w:sz w:val="22"/>
          <w:szCs w:val="22"/>
        </w:rPr>
        <w:t xml:space="preserve"> signifikant hoch</w:t>
      </w:r>
      <w:r w:rsidR="00CC646D">
        <w:rPr>
          <w:rFonts w:ascii="Source Sans Pro" w:hAnsi="Source Sans Pro" w:cs="Source Sans Pro"/>
          <w:sz w:val="22"/>
          <w:szCs w:val="22"/>
        </w:rPr>
        <w:t xml:space="preserve">. </w:t>
      </w:r>
      <w:r w:rsidR="00CC646D" w:rsidRPr="00CC646D">
        <w:rPr>
          <w:rFonts w:ascii="Source Sans Pro" w:hAnsi="Source Sans Pro" w:cs="Source Sans Pro"/>
          <w:i/>
          <w:sz w:val="22"/>
          <w:szCs w:val="22"/>
        </w:rPr>
        <w:t xml:space="preserve">„Die Büroflächen kommen </w:t>
      </w:r>
      <w:r w:rsidR="00700A62">
        <w:rPr>
          <w:rFonts w:ascii="Source Sans Pro" w:hAnsi="Source Sans Pro" w:cs="Source Sans Pro"/>
          <w:i/>
          <w:sz w:val="22"/>
          <w:szCs w:val="22"/>
        </w:rPr>
        <w:t xml:space="preserve">aber sukzessive </w:t>
      </w:r>
      <w:r w:rsidR="009C11F2" w:rsidRPr="00CC646D">
        <w:rPr>
          <w:rFonts w:ascii="Source Sans Pro" w:hAnsi="Source Sans Pro" w:cs="Source Sans Pro"/>
          <w:i/>
          <w:sz w:val="22"/>
          <w:szCs w:val="22"/>
        </w:rPr>
        <w:t>auf den Markt</w:t>
      </w:r>
      <w:r w:rsidR="009C11F2">
        <w:rPr>
          <w:rFonts w:ascii="Source Sans Pro" w:hAnsi="Source Sans Pro" w:cs="Source Sans Pro"/>
          <w:i/>
          <w:sz w:val="22"/>
          <w:szCs w:val="22"/>
        </w:rPr>
        <w:t>,</w:t>
      </w:r>
      <w:r w:rsidR="00700A62">
        <w:rPr>
          <w:rFonts w:ascii="Source Sans Pro" w:hAnsi="Source Sans Pro" w:cs="Source Sans Pro"/>
          <w:i/>
          <w:sz w:val="22"/>
          <w:szCs w:val="22"/>
        </w:rPr>
        <w:t xml:space="preserve"> nicht</w:t>
      </w:r>
      <w:r w:rsidR="009C11F2">
        <w:rPr>
          <w:rFonts w:ascii="Source Sans Pro" w:hAnsi="Source Sans Pro" w:cs="Source Sans Pro"/>
          <w:i/>
          <w:sz w:val="22"/>
          <w:szCs w:val="22"/>
        </w:rPr>
        <w:t xml:space="preserve"> alle </w:t>
      </w:r>
      <w:r w:rsidR="00700A62">
        <w:rPr>
          <w:rFonts w:ascii="Source Sans Pro" w:hAnsi="Source Sans Pro" w:cs="Source Sans Pro"/>
          <w:i/>
          <w:sz w:val="22"/>
          <w:szCs w:val="22"/>
        </w:rPr>
        <w:t>gleichzeitig</w:t>
      </w:r>
      <w:r w:rsidR="00CC646D" w:rsidRPr="00CC646D">
        <w:rPr>
          <w:rFonts w:ascii="Source Sans Pro" w:hAnsi="Source Sans Pro" w:cs="Source Sans Pro"/>
          <w:i/>
          <w:sz w:val="22"/>
          <w:szCs w:val="22"/>
        </w:rPr>
        <w:t>“,</w:t>
      </w:r>
      <w:r w:rsidR="00CC646D">
        <w:rPr>
          <w:rFonts w:ascii="Source Sans Pro" w:hAnsi="Source Sans Pro" w:cs="Source Sans Pro"/>
          <w:sz w:val="22"/>
          <w:szCs w:val="22"/>
        </w:rPr>
        <w:t xml:space="preserve"> führt </w:t>
      </w:r>
      <w:r w:rsidR="00CC646D" w:rsidRPr="00CC646D">
        <w:rPr>
          <w:rFonts w:ascii="Source Sans Pro" w:hAnsi="Source Sans Pro" w:cs="Source Sans Pro"/>
          <w:b/>
          <w:sz w:val="22"/>
          <w:szCs w:val="22"/>
        </w:rPr>
        <w:t>Rehberg</w:t>
      </w:r>
      <w:r w:rsidR="00CC646D">
        <w:rPr>
          <w:rFonts w:ascii="Source Sans Pro" w:hAnsi="Source Sans Pro" w:cs="Source Sans Pro"/>
          <w:sz w:val="22"/>
          <w:szCs w:val="22"/>
        </w:rPr>
        <w:t xml:space="preserve"> aus. </w:t>
      </w:r>
      <w:r w:rsidR="00CC646D" w:rsidRPr="00CC646D">
        <w:rPr>
          <w:rFonts w:ascii="Source Sans Pro" w:hAnsi="Source Sans Pro" w:cs="Source Sans Pro"/>
          <w:i/>
          <w:sz w:val="22"/>
          <w:szCs w:val="22"/>
        </w:rPr>
        <w:t xml:space="preserve">„Daher steht den Unternehmen </w:t>
      </w:r>
      <w:r w:rsidR="00A549F3">
        <w:rPr>
          <w:rFonts w:ascii="Source Sans Pro" w:hAnsi="Source Sans Pro" w:cs="Source Sans Pro"/>
          <w:i/>
          <w:sz w:val="22"/>
          <w:szCs w:val="22"/>
        </w:rPr>
        <w:t xml:space="preserve">in Berlin und München </w:t>
      </w:r>
      <w:r w:rsidR="00CC646D" w:rsidRPr="00CC646D">
        <w:rPr>
          <w:rFonts w:ascii="Source Sans Pro" w:hAnsi="Source Sans Pro" w:cs="Source Sans Pro"/>
          <w:i/>
          <w:sz w:val="22"/>
          <w:szCs w:val="22"/>
        </w:rPr>
        <w:t xml:space="preserve">das erste Mal seit langem eine marktgerechte </w:t>
      </w:r>
      <w:r w:rsidR="008A5E54">
        <w:rPr>
          <w:rFonts w:ascii="Source Sans Pro" w:hAnsi="Source Sans Pro" w:cs="Source Sans Pro"/>
          <w:i/>
          <w:sz w:val="22"/>
          <w:szCs w:val="22"/>
        </w:rPr>
        <w:t>Angebots</w:t>
      </w:r>
      <w:r w:rsidR="008A5E54" w:rsidRPr="00CC646D">
        <w:rPr>
          <w:rFonts w:ascii="Source Sans Pro" w:hAnsi="Source Sans Pro" w:cs="Source Sans Pro"/>
          <w:i/>
          <w:sz w:val="22"/>
          <w:szCs w:val="22"/>
        </w:rPr>
        <w:t xml:space="preserve">reserve </w:t>
      </w:r>
      <w:r w:rsidR="00CC646D" w:rsidRPr="00CC646D">
        <w:rPr>
          <w:rFonts w:ascii="Source Sans Pro" w:hAnsi="Source Sans Pro" w:cs="Source Sans Pro"/>
          <w:i/>
          <w:sz w:val="22"/>
          <w:szCs w:val="22"/>
        </w:rPr>
        <w:t>zur Verfügung oder anders ausgedrückt – sie haben das erste Mal seit langem wieder eine echte Auswahl.“</w:t>
      </w:r>
      <w:r w:rsidR="00CC646D">
        <w:rPr>
          <w:rFonts w:ascii="Source Sans Pro" w:hAnsi="Source Sans Pro" w:cs="Source Sans Pro"/>
          <w:sz w:val="22"/>
          <w:szCs w:val="22"/>
        </w:rPr>
        <w:t xml:space="preserve"> Im </w:t>
      </w:r>
      <w:r w:rsidR="008A5E54">
        <w:rPr>
          <w:rFonts w:ascii="Source Sans Pro" w:hAnsi="Source Sans Pro" w:cs="Source Sans Pro"/>
          <w:sz w:val="22"/>
          <w:szCs w:val="22"/>
        </w:rPr>
        <w:t xml:space="preserve">Gegensatz </w:t>
      </w:r>
      <w:r w:rsidR="00CC646D">
        <w:rPr>
          <w:rFonts w:ascii="Source Sans Pro" w:hAnsi="Source Sans Pro" w:cs="Source Sans Pro"/>
          <w:sz w:val="22"/>
          <w:szCs w:val="22"/>
        </w:rPr>
        <w:t xml:space="preserve">dazu scheint der bisher starke Leerstandsanstieg in Frankfurt </w:t>
      </w:r>
      <w:r w:rsidR="006853DC">
        <w:rPr>
          <w:rFonts w:ascii="Source Sans Pro" w:hAnsi="Source Sans Pro" w:cs="Source Sans Pro"/>
          <w:sz w:val="22"/>
          <w:szCs w:val="22"/>
        </w:rPr>
        <w:t xml:space="preserve">mit einem Plus von 7 % </w:t>
      </w:r>
      <w:r w:rsidR="00A549F3">
        <w:rPr>
          <w:rFonts w:ascii="Source Sans Pro" w:hAnsi="Source Sans Pro" w:cs="Source Sans Pro"/>
          <w:sz w:val="22"/>
          <w:szCs w:val="22"/>
        </w:rPr>
        <w:t>zunächst gestoppt.</w:t>
      </w:r>
      <w:r w:rsidR="00685E14">
        <w:rPr>
          <w:rFonts w:ascii="Source Sans Pro" w:hAnsi="Source Sans Pro" w:cs="Source Sans Pro"/>
          <w:sz w:val="22"/>
          <w:szCs w:val="22"/>
        </w:rPr>
        <w:t xml:space="preserve"> </w:t>
      </w:r>
      <w:r w:rsidR="006110D3">
        <w:rPr>
          <w:rFonts w:ascii="Source Sans Pro" w:hAnsi="Source Sans Pro" w:cs="Source Sans Pro"/>
          <w:sz w:val="22"/>
          <w:szCs w:val="22"/>
        </w:rPr>
        <w:t>Die Nachfrage nach hochwertigen Büroflächen trifft in den Jahren 2022 und 2023 auf ein Top-7-Fertigstellungsvolumen in Höhe von 3,5</w:t>
      </w:r>
      <w:r w:rsidR="00C616A4">
        <w:rPr>
          <w:rFonts w:ascii="Source Sans Pro" w:hAnsi="Source Sans Pro" w:cs="Source Sans Pro"/>
          <w:sz w:val="22"/>
          <w:szCs w:val="22"/>
        </w:rPr>
        <w:t>2</w:t>
      </w:r>
      <w:r w:rsidR="006110D3">
        <w:rPr>
          <w:rFonts w:ascii="Source Sans Pro" w:hAnsi="Source Sans Pro" w:cs="Source Sans Pro"/>
          <w:sz w:val="22"/>
          <w:szCs w:val="22"/>
        </w:rPr>
        <w:t xml:space="preserve"> Mio. m². Neubau-Hotspots bleiben unangefochten Berlin mit 915.800 m² und München mit 850.000 m². </w:t>
      </w:r>
      <w:r w:rsidR="00F84A25">
        <w:rPr>
          <w:rFonts w:ascii="Source Sans Pro" w:hAnsi="Source Sans Pro" w:cs="Source Sans Pro"/>
          <w:sz w:val="22"/>
          <w:szCs w:val="22"/>
        </w:rPr>
        <w:t xml:space="preserve">Die Top-7-Vorvermietungsquote </w:t>
      </w:r>
      <w:r w:rsidR="002D5B8F">
        <w:rPr>
          <w:rFonts w:ascii="Source Sans Pro" w:hAnsi="Source Sans Pro" w:cs="Source Sans Pro"/>
          <w:sz w:val="22"/>
          <w:szCs w:val="22"/>
        </w:rPr>
        <w:t>betrug</w:t>
      </w:r>
      <w:r w:rsidR="00F84A25">
        <w:rPr>
          <w:rFonts w:ascii="Source Sans Pro" w:hAnsi="Source Sans Pro" w:cs="Source Sans Pro"/>
          <w:sz w:val="22"/>
          <w:szCs w:val="22"/>
        </w:rPr>
        <w:t xml:space="preserve"> 5</w:t>
      </w:r>
      <w:r w:rsidR="00C616A4">
        <w:rPr>
          <w:rFonts w:ascii="Source Sans Pro" w:hAnsi="Source Sans Pro" w:cs="Source Sans Pro"/>
          <w:sz w:val="22"/>
          <w:szCs w:val="22"/>
        </w:rPr>
        <w:t>5</w:t>
      </w:r>
      <w:r w:rsidR="00F84A25">
        <w:rPr>
          <w:rFonts w:ascii="Source Sans Pro" w:hAnsi="Source Sans Pro" w:cs="Source Sans Pro"/>
          <w:sz w:val="22"/>
          <w:szCs w:val="22"/>
        </w:rPr>
        <w:t xml:space="preserve"> %. Am meisten Flächen </w:t>
      </w:r>
      <w:r w:rsidR="002D5B8F">
        <w:rPr>
          <w:rFonts w:ascii="Source Sans Pro" w:hAnsi="Source Sans Pro" w:cs="Source Sans Pro"/>
          <w:sz w:val="22"/>
          <w:szCs w:val="22"/>
        </w:rPr>
        <w:t>waren</w:t>
      </w:r>
      <w:r w:rsidR="00F84A25">
        <w:rPr>
          <w:rFonts w:ascii="Source Sans Pro" w:hAnsi="Source Sans Pro" w:cs="Source Sans Pro"/>
          <w:sz w:val="22"/>
          <w:szCs w:val="22"/>
        </w:rPr>
        <w:t xml:space="preserve"> am Ende des 1. Quartals in Berlin, Hamburg und Köln vertraglich gebunden. Die Vorvermietungsquote der drei Standorte </w:t>
      </w:r>
      <w:r w:rsidR="002D5B8F">
        <w:rPr>
          <w:rFonts w:ascii="Source Sans Pro" w:hAnsi="Source Sans Pro" w:cs="Source Sans Pro"/>
          <w:sz w:val="22"/>
          <w:szCs w:val="22"/>
        </w:rPr>
        <w:t>lag</w:t>
      </w:r>
      <w:r w:rsidR="00F84A25">
        <w:rPr>
          <w:rFonts w:ascii="Source Sans Pro" w:hAnsi="Source Sans Pro" w:cs="Source Sans Pro"/>
          <w:sz w:val="22"/>
          <w:szCs w:val="22"/>
        </w:rPr>
        <w:t xml:space="preserve"> bei 60%.</w:t>
      </w:r>
    </w:p>
    <w:p w14:paraId="0C9F61DF" w14:textId="319BDD85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br w:type="page"/>
      </w:r>
    </w:p>
    <w:p w14:paraId="700A8FF0" w14:textId="4EC0E095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lastRenderedPageBreak/>
        <w:t xml:space="preserve">Top bekannte </w:t>
      </w:r>
      <w:r w:rsidR="001E5CBD">
        <w:rPr>
          <w:rFonts w:ascii="Source Sans Pro" w:hAnsi="Source Sans Pro" w:cs="Arial"/>
          <w:b/>
          <w:sz w:val="20"/>
        </w:rPr>
        <w:t>Abschlüsse über 5</w:t>
      </w:r>
      <w:r w:rsidR="004A2D54" w:rsidRPr="004A2D54">
        <w:rPr>
          <w:rFonts w:ascii="Source Sans Pro" w:hAnsi="Source Sans Pro" w:cs="Arial"/>
          <w:b/>
          <w:sz w:val="20"/>
        </w:rPr>
        <w:t xml:space="preserve">.000 m² | Top-7-Standorte | </w:t>
      </w:r>
      <w:bookmarkStart w:id="0" w:name="_GoBack"/>
      <w:bookmarkEnd w:id="0"/>
      <w:r w:rsidR="004A2D54" w:rsidRPr="004A2D54">
        <w:rPr>
          <w:rFonts w:ascii="Source Sans Pro" w:hAnsi="Source Sans Pro" w:cs="Arial"/>
          <w:b/>
          <w:sz w:val="20"/>
        </w:rPr>
        <w:t>1. Quartal 202</w:t>
      </w:r>
      <w:r w:rsidR="00613E6C">
        <w:rPr>
          <w:rFonts w:ascii="Source Sans Pro" w:hAnsi="Source Sans Pro" w:cs="Arial"/>
          <w:b/>
          <w:sz w:val="20"/>
        </w:rPr>
        <w:t>2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85"/>
        <w:gridCol w:w="3869"/>
        <w:gridCol w:w="1023"/>
      </w:tblGrid>
      <w:tr w:rsidR="004A2D54" w:rsidRPr="004A2D54" w14:paraId="423F19E1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371F87" w:rsidRPr="004A2D54" w14:paraId="7E1E4C34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6B8F882A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2CA40A06" w:rsidR="00371F87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Ludwig-Erhard-Straße 7, Eschborn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184902CC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Deutsche Gesellschaft für internationale Zusammenarbeit (giz) </w:t>
            </w:r>
            <w:r w:rsidRPr="001E5CBD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1CC126E5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28.000</w:t>
            </w:r>
          </w:p>
        </w:tc>
      </w:tr>
      <w:tr w:rsidR="004A2D54" w:rsidRPr="004A2D54" w14:paraId="1A9052AE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17697BD9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86DBE18" w:rsidR="004A2D54" w:rsidRPr="00B72F21" w:rsidRDefault="00F076C1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Atlanta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Business Center“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, Vaihinger Straße 131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2A95CAF8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Ed. Züblin </w:t>
            </w:r>
            <w:r w:rsidRPr="001E5CBD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224773A3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21.400</w:t>
            </w:r>
          </w:p>
        </w:tc>
      </w:tr>
      <w:tr w:rsidR="001421F7" w:rsidRPr="004A2D54" w14:paraId="6D372F4A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273773E5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2CCB397F" w:rsidR="001421F7" w:rsidRPr="00B72F21" w:rsidRDefault="00F076C1" w:rsidP="00F076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„aer“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, Fritz-Schäffer-Straße 9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4E7746CC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Bosch Building Technologies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06DF20BA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20.000</w:t>
            </w:r>
          </w:p>
        </w:tc>
      </w:tr>
      <w:tr w:rsidR="009C7CAD" w:rsidRPr="004A2D54" w14:paraId="0BA6F12E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1D5" w14:textId="67381F3F" w:rsidR="009C7CAD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E34" w14:textId="743DEAD2" w:rsidR="009C7CAD" w:rsidRPr="00B72F21" w:rsidRDefault="001E5CBD" w:rsidP="00FB28C0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Vertraulich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3B65" w14:textId="186365DA" w:rsidR="009C7CAD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Vertraulich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139" w14:textId="3E8F787D" w:rsidR="009C7CAD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16.000</w:t>
            </w:r>
          </w:p>
        </w:tc>
      </w:tr>
      <w:tr w:rsidR="004A2D54" w:rsidRPr="004A2D54" w14:paraId="026A2FAB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ADFC" w14:textId="7670D700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F0B" w14:textId="0CB79C51" w:rsidR="004A2D54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„Elbbrückenquartier“, Versmannstraße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250" w14:textId="54508B14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Vertraulich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E52" w14:textId="7BD3948A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11.500</w:t>
            </w:r>
          </w:p>
        </w:tc>
      </w:tr>
      <w:tr w:rsidR="004A2D54" w:rsidRPr="004A2D54" w14:paraId="49C3D06F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85C" w14:textId="24F95D0C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5D5" w14:textId="4C4B1578" w:rsidR="004A2D54" w:rsidRPr="00B72F21" w:rsidRDefault="001E5CBD" w:rsidP="00AF13F6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Bülowbogen</w:t>
            </w:r>
            <w:r w:rsidR="00AF13F6">
              <w:rPr>
                <w:rFonts w:ascii="Source Sans Pro" w:hAnsi="Source Sans Pro" w:cs="Arial"/>
                <w:bCs/>
                <w:sz w:val="16"/>
                <w:szCs w:val="16"/>
              </w:rPr>
              <w:t>/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Heilbronner Straße 150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FC8" w14:textId="6A8CCE2F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Stadt Stuttgart, Amt für Digitalisierung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B65D" w14:textId="76DD21F6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9.480</w:t>
            </w:r>
          </w:p>
        </w:tc>
      </w:tr>
      <w:tr w:rsidR="00371F87" w:rsidRPr="004A2D54" w14:paraId="28B6771A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F6E5" w14:textId="08B4A445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32B3" w14:textId="77777777" w:rsidR="00AF13F6" w:rsidRDefault="001E5CBD" w:rsidP="00AF13F6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Tech</w:t>
            </w:r>
            <w:r w:rsidR="00F076C1">
              <w:rPr>
                <w:rFonts w:ascii="Source Sans Pro" w:hAnsi="Source Sans Pro" w:cs="Arial"/>
                <w:bCs/>
                <w:sz w:val="16"/>
                <w:szCs w:val="16"/>
              </w:rPr>
              <w:t>nologiezentrum</w:t>
            </w:r>
            <w:r w:rsidR="00AF13F6">
              <w:rPr>
                <w:rFonts w:ascii="Source Sans Pro" w:hAnsi="Source Sans Pro" w:cs="Arial"/>
                <w:bCs/>
                <w:sz w:val="16"/>
                <w:szCs w:val="16"/>
              </w:rPr>
              <w:t>,</w:t>
            </w:r>
          </w:p>
          <w:p w14:paraId="0186A056" w14:textId="498A02E0" w:rsidR="00371F87" w:rsidRPr="00B72F21" w:rsidRDefault="00F076C1" w:rsidP="00AF13F6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Schatzbogen/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Hollerithstraße 1-3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182" w14:textId="3464247C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Deutsche Telekom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6FE5" w14:textId="702C1C0D" w:rsidR="00371F8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9.430</w:t>
            </w:r>
          </w:p>
        </w:tc>
      </w:tr>
      <w:tr w:rsidR="004A2D54" w:rsidRPr="004A2D54" w14:paraId="4E973430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0ED2" w14:textId="3F3A88FF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8461" w14:textId="20F489C4" w:rsidR="004A2D54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„Sparda Bank Tower“, Europa-Allee 68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3AE9" w14:textId="3ECD1020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Sparda Bank Hessen </w:t>
            </w:r>
            <w:r w:rsidRPr="001E5CBD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C91" w14:textId="296C27F5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9.100</w:t>
            </w:r>
          </w:p>
        </w:tc>
      </w:tr>
      <w:tr w:rsidR="004A2D54" w:rsidRPr="004A2D54" w14:paraId="1675986B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EA12" w14:textId="7DD020F0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816B" w14:textId="711ACB18" w:rsidR="004A2D54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Vertraulich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749" w14:textId="2EE4C39A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Vertraulich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4F3" w14:textId="14DB945D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8.000</w:t>
            </w:r>
          </w:p>
        </w:tc>
      </w:tr>
      <w:tr w:rsidR="00B72F21" w:rsidRPr="004A2D54" w14:paraId="01E1364D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F79" w14:textId="3C3D715B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164B" w14:textId="6BF86610" w:rsidR="00B72F21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Theodorstraße 109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03DA" w14:textId="5755859C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Bima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9C69" w14:textId="460D1E90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7.950</w:t>
            </w:r>
          </w:p>
        </w:tc>
      </w:tr>
      <w:tr w:rsidR="004A2D54" w:rsidRPr="004A2D54" w14:paraId="27ECDC7B" w14:textId="77777777" w:rsidTr="00B72F21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080E" w14:textId="543C059F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C9FE" w14:textId="0C1471AA" w:rsidR="004A2D54" w:rsidRPr="00B72F21" w:rsidRDefault="00F076C1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„Campus 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Sternhöhe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, Epplestraße 225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E4FE" w14:textId="03F553D7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Bechtle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EEAB" w14:textId="69032800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7.550</w:t>
            </w:r>
          </w:p>
        </w:tc>
      </w:tr>
      <w:tr w:rsidR="00B83DA7" w:rsidRPr="004A2D54" w14:paraId="42BF90A7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F38" w14:textId="1ED225E3" w:rsidR="00B83DA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FA6" w14:textId="7ACCF9CA" w:rsidR="00B83DA7" w:rsidRPr="00B72F21" w:rsidRDefault="001E5CBD" w:rsidP="00F076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F076C1">
              <w:rPr>
                <w:rFonts w:ascii="Source Sans Pro" w:hAnsi="Source Sans Pro" w:cs="Arial"/>
                <w:bCs/>
                <w:sz w:val="16"/>
                <w:szCs w:val="16"/>
              </w:rPr>
              <w:t>IBC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“, Theodor-Heuss-Allee 70-74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0C9" w14:textId="59BA0CD2" w:rsidR="00B83DA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Deutsche Bank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A2AC" w14:textId="072A5D53" w:rsidR="00B83DA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6.100</w:t>
            </w:r>
          </w:p>
        </w:tc>
      </w:tr>
      <w:tr w:rsidR="004A2D54" w:rsidRPr="004A2D54" w14:paraId="5B46D012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23AA" w14:textId="5BAA4124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0772" w14:textId="672771A0" w:rsidR="004A2D54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„EDGE HafenCity“, Amerigo-Vespucci-Platz 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A6B0" w14:textId="6D72E326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Veolia Umweltservice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7498" w14:textId="3BC24F95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5.700</w:t>
            </w:r>
          </w:p>
        </w:tc>
      </w:tr>
      <w:tr w:rsidR="00B72F21" w:rsidRPr="004A2D54" w14:paraId="1A58C38C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FBD" w14:textId="32B52D44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AF01" w14:textId="5BF412EC" w:rsidR="00B72F21" w:rsidRPr="00B72F21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Badensche Straße 28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142" w14:textId="4641F92B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Bamf (Erweiterung)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46ED" w14:textId="22CFF8E4" w:rsidR="00B72F21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5.530</w:t>
            </w:r>
          </w:p>
        </w:tc>
      </w:tr>
      <w:tr w:rsidR="00B72F21" w:rsidRPr="004A2D54" w14:paraId="7BECC91E" w14:textId="77777777" w:rsidTr="00613E6C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125C" w14:textId="35960F75" w:rsidR="00B72F21" w:rsidRPr="004A2D54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4A8E" w14:textId="73B911C9" w:rsidR="00B72F21" w:rsidRPr="00B72F21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Essener Bogen 6a-d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2298" w14:textId="23D3827F" w:rsidR="00B72F21" w:rsidRPr="004A2D54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Evotec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0878" w14:textId="56437598" w:rsidR="00B72F21" w:rsidRPr="004A2D54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5.300</w:t>
            </w:r>
          </w:p>
        </w:tc>
      </w:tr>
    </w:tbl>
    <w:p w14:paraId="444FE02E" w14:textId="51B76D59" w:rsidR="004A2D54" w:rsidRPr="004A2D54" w:rsidRDefault="004A2D54" w:rsidP="004A2D5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4A2D54">
        <w:rPr>
          <w:rFonts w:ascii="Source Sans Pro" w:hAnsi="Source Sans Pro" w:cs="Arial"/>
          <w:sz w:val="16"/>
          <w:szCs w:val="16"/>
        </w:rPr>
        <w:t>Quelle:</w:t>
      </w:r>
      <w:r w:rsidRPr="004A2D54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475827B1" w14:textId="78BF3D2F" w:rsidR="00A67512" w:rsidRDefault="00A67512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5B9B2836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75A1F579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1BF7891F" w14:textId="64CA5DD0" w:rsidR="004A2D54" w:rsidRPr="004A2D54" w:rsidRDefault="004A2D54" w:rsidP="004A2D54">
      <w:pPr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b/>
          <w:sz w:val="20"/>
        </w:rPr>
        <w:t>Top-7-Standorte | 1. Quartal 202</w:t>
      </w:r>
      <w:r w:rsidR="00613E6C">
        <w:rPr>
          <w:rFonts w:ascii="Source Sans Pro" w:hAnsi="Source Sans Pro" w:cs="Arial"/>
          <w:b/>
          <w:sz w:val="20"/>
        </w:rPr>
        <w:t>2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4A2D54" w:rsidRPr="004A2D54" w14:paraId="1F169502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254193F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14:paraId="6F593517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502" w:type="pct"/>
            <w:vAlign w:val="center"/>
          </w:tcPr>
          <w:p w14:paraId="4C569DD5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502" w:type="pct"/>
            <w:vAlign w:val="center"/>
          </w:tcPr>
          <w:p w14:paraId="31F1C32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502" w:type="pct"/>
            <w:vAlign w:val="center"/>
          </w:tcPr>
          <w:p w14:paraId="22D79F2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502" w:type="pct"/>
            <w:vAlign w:val="center"/>
          </w:tcPr>
          <w:p w14:paraId="45019706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502" w:type="pct"/>
            <w:vAlign w:val="center"/>
          </w:tcPr>
          <w:p w14:paraId="690BA4AF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502" w:type="pct"/>
            <w:vAlign w:val="center"/>
          </w:tcPr>
          <w:p w14:paraId="7EB9AFCD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502" w:type="pct"/>
            <w:vAlign w:val="center"/>
          </w:tcPr>
          <w:p w14:paraId="349A50B2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4A2D54" w:rsidRPr="004A2D54" w14:paraId="0A45CD03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405F271F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Flächenumsatz</w:t>
            </w:r>
          </w:p>
          <w:p w14:paraId="1D6CAF5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6D8FB010" w14:textId="790B6C69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135.000</w:t>
            </w:r>
          </w:p>
        </w:tc>
        <w:tc>
          <w:tcPr>
            <w:tcW w:w="502" w:type="pct"/>
            <w:vAlign w:val="center"/>
          </w:tcPr>
          <w:p w14:paraId="3C6241A3" w14:textId="418CD717" w:rsidR="004A2D54" w:rsidRPr="001E73A9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E73A9">
              <w:rPr>
                <w:rFonts w:ascii="Source Sans Pro" w:hAnsi="Source Sans Pro" w:cs="Arial"/>
                <w:sz w:val="16"/>
                <w:szCs w:val="16"/>
              </w:rPr>
              <w:t>115.000</w:t>
            </w:r>
          </w:p>
        </w:tc>
        <w:tc>
          <w:tcPr>
            <w:tcW w:w="502" w:type="pct"/>
            <w:vAlign w:val="center"/>
          </w:tcPr>
          <w:p w14:paraId="207CCC61" w14:textId="1A454030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69.200</w:t>
            </w:r>
          </w:p>
        </w:tc>
        <w:tc>
          <w:tcPr>
            <w:tcW w:w="502" w:type="pct"/>
            <w:vAlign w:val="center"/>
          </w:tcPr>
          <w:p w14:paraId="6EB9679F" w14:textId="1681323D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70.000</w:t>
            </w:r>
          </w:p>
        </w:tc>
        <w:tc>
          <w:tcPr>
            <w:tcW w:w="502" w:type="pct"/>
            <w:vAlign w:val="center"/>
          </w:tcPr>
          <w:p w14:paraId="59C93C6A" w14:textId="4E661A29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122.100</w:t>
            </w:r>
          </w:p>
        </w:tc>
        <w:tc>
          <w:tcPr>
            <w:tcW w:w="502" w:type="pct"/>
            <w:vAlign w:val="center"/>
          </w:tcPr>
          <w:p w14:paraId="181F9FE1" w14:textId="5FC14915" w:rsidR="004A2D54" w:rsidRPr="004A2D54" w:rsidRDefault="00445495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88.000</w:t>
            </w:r>
          </w:p>
        </w:tc>
        <w:tc>
          <w:tcPr>
            <w:tcW w:w="502" w:type="pct"/>
            <w:vAlign w:val="center"/>
          </w:tcPr>
          <w:p w14:paraId="10452766" w14:textId="1AC95124" w:rsidR="004A2D54" w:rsidRPr="001E73A9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E73A9">
              <w:rPr>
                <w:rFonts w:ascii="Source Sans Pro" w:hAnsi="Source Sans Pro" w:cs="Arial"/>
                <w:sz w:val="16"/>
                <w:szCs w:val="16"/>
                <w:u w:val="single"/>
              </w:rPr>
              <w:t>183.000</w:t>
            </w:r>
          </w:p>
        </w:tc>
        <w:tc>
          <w:tcPr>
            <w:tcW w:w="502" w:type="pct"/>
            <w:vAlign w:val="center"/>
          </w:tcPr>
          <w:p w14:paraId="4805316C" w14:textId="740B0036" w:rsidR="004A2D54" w:rsidRPr="004A2D54" w:rsidRDefault="001E73A9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780.600</w:t>
            </w:r>
          </w:p>
        </w:tc>
      </w:tr>
      <w:tr w:rsidR="004A2D54" w:rsidRPr="004A2D54" w14:paraId="1EA0FAB5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2D6983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6D9A9C05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ggü.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5F60596F" w14:textId="6EA9C195" w:rsidR="004A2D54" w:rsidRPr="001E73A9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E73A9">
              <w:rPr>
                <w:rFonts w:ascii="Source Sans Pro" w:hAnsi="Source Sans Pro" w:cs="Arial"/>
                <w:sz w:val="16"/>
                <w:szCs w:val="16"/>
              </w:rPr>
              <w:t>+4</w:t>
            </w:r>
          </w:p>
        </w:tc>
        <w:tc>
          <w:tcPr>
            <w:tcW w:w="502" w:type="pct"/>
            <w:vAlign w:val="center"/>
          </w:tcPr>
          <w:p w14:paraId="0E53EDA4" w14:textId="76E40FD5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-28</w:t>
            </w:r>
          </w:p>
        </w:tc>
        <w:tc>
          <w:tcPr>
            <w:tcW w:w="502" w:type="pct"/>
            <w:vAlign w:val="center"/>
          </w:tcPr>
          <w:p w14:paraId="44D058C9" w14:textId="7A42CD96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+37</w:t>
            </w:r>
          </w:p>
        </w:tc>
        <w:tc>
          <w:tcPr>
            <w:tcW w:w="502" w:type="pct"/>
            <w:vAlign w:val="center"/>
          </w:tcPr>
          <w:p w14:paraId="07EAF74E" w14:textId="4C586C32" w:rsidR="004A2D54" w:rsidRPr="002371FE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-18</w:t>
            </w:r>
          </w:p>
        </w:tc>
        <w:tc>
          <w:tcPr>
            <w:tcW w:w="502" w:type="pct"/>
            <w:vAlign w:val="center"/>
          </w:tcPr>
          <w:p w14:paraId="5C1E2E78" w14:textId="60599135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+27</w:t>
            </w:r>
          </w:p>
        </w:tc>
        <w:tc>
          <w:tcPr>
            <w:tcW w:w="502" w:type="pct"/>
            <w:vAlign w:val="center"/>
          </w:tcPr>
          <w:p w14:paraId="0CE9A835" w14:textId="151D946E" w:rsidR="004A2D54" w:rsidRPr="001E73A9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E73A9">
              <w:rPr>
                <w:rFonts w:ascii="Source Sans Pro" w:hAnsi="Source Sans Pro" w:cs="Arial"/>
                <w:sz w:val="16"/>
                <w:szCs w:val="16"/>
                <w:u w:val="single"/>
              </w:rPr>
              <w:t>+16</w:t>
            </w:r>
            <w:r w:rsidR="00445495">
              <w:rPr>
                <w:rFonts w:ascii="Source Sans Pro" w:hAnsi="Source Sans Pro"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502" w:type="pct"/>
            <w:vAlign w:val="center"/>
          </w:tcPr>
          <w:p w14:paraId="7AE6C155" w14:textId="11E7CEF8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+82</w:t>
            </w:r>
          </w:p>
        </w:tc>
        <w:tc>
          <w:tcPr>
            <w:tcW w:w="502" w:type="pct"/>
            <w:vAlign w:val="center"/>
          </w:tcPr>
          <w:p w14:paraId="0193D00C" w14:textId="40C90BA5" w:rsidR="004A2D54" w:rsidRPr="004A2D54" w:rsidRDefault="001E73A9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+19</w:t>
            </w:r>
          </w:p>
        </w:tc>
      </w:tr>
      <w:tr w:rsidR="004A2D54" w:rsidRPr="004A2D54" w14:paraId="28C0E045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20BEBAE3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5014603B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8BC9DC0" w14:textId="5F1A2424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31,50</w:t>
            </w:r>
          </w:p>
        </w:tc>
        <w:tc>
          <w:tcPr>
            <w:tcW w:w="502" w:type="pct"/>
            <w:vAlign w:val="center"/>
          </w:tcPr>
          <w:p w14:paraId="36FC9688" w14:textId="57FC1090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41,00</w:t>
            </w:r>
          </w:p>
        </w:tc>
        <w:tc>
          <w:tcPr>
            <w:tcW w:w="502" w:type="pct"/>
            <w:vAlign w:val="center"/>
          </w:tcPr>
          <w:p w14:paraId="1327B9B3" w14:textId="65775E37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28,50</w:t>
            </w:r>
          </w:p>
        </w:tc>
        <w:tc>
          <w:tcPr>
            <w:tcW w:w="502" w:type="pct"/>
            <w:vAlign w:val="center"/>
          </w:tcPr>
          <w:p w14:paraId="760BB6C8" w14:textId="4622BF64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27,00</w:t>
            </w:r>
          </w:p>
        </w:tc>
        <w:tc>
          <w:tcPr>
            <w:tcW w:w="502" w:type="pct"/>
            <w:vAlign w:val="center"/>
          </w:tcPr>
          <w:p w14:paraId="3A6FFDAF" w14:textId="2AD405B9" w:rsidR="004A2D54" w:rsidRPr="004A2D54" w:rsidRDefault="007E6244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45</w:t>
            </w:r>
            <w:r w:rsidR="001E73A9">
              <w:rPr>
                <w:rFonts w:ascii="Source Sans Pro" w:hAnsi="Source Sans Pro" w:cs="Arial"/>
                <w:sz w:val="16"/>
                <w:szCs w:val="16"/>
                <w:u w:val="single"/>
              </w:rPr>
              <w:t>,50</w:t>
            </w:r>
          </w:p>
        </w:tc>
        <w:tc>
          <w:tcPr>
            <w:tcW w:w="502" w:type="pct"/>
            <w:vAlign w:val="center"/>
          </w:tcPr>
          <w:p w14:paraId="7563F31F" w14:textId="6994DEB1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29,40</w:t>
            </w:r>
          </w:p>
        </w:tc>
        <w:tc>
          <w:tcPr>
            <w:tcW w:w="502" w:type="pct"/>
            <w:vAlign w:val="center"/>
          </w:tcPr>
          <w:p w14:paraId="1672D038" w14:textId="51E27494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40,00</w:t>
            </w:r>
          </w:p>
        </w:tc>
        <w:tc>
          <w:tcPr>
            <w:tcW w:w="502" w:type="pct"/>
            <w:vAlign w:val="center"/>
          </w:tcPr>
          <w:p w14:paraId="4DAAB3CF" w14:textId="1514137B" w:rsidR="004A2D54" w:rsidRPr="004A2D54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1F9B5D78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7624939D" w14:textId="77777777" w:rsid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0A688944" w14:textId="3E203F2E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6766B324" w14:textId="10803ED3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18,50</w:t>
            </w:r>
          </w:p>
        </w:tc>
        <w:tc>
          <w:tcPr>
            <w:tcW w:w="502" w:type="pct"/>
            <w:vAlign w:val="center"/>
          </w:tcPr>
          <w:p w14:paraId="69F36A2E" w14:textId="24CF0BD5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29,90</w:t>
            </w:r>
          </w:p>
        </w:tc>
        <w:tc>
          <w:tcPr>
            <w:tcW w:w="502" w:type="pct"/>
            <w:vAlign w:val="center"/>
          </w:tcPr>
          <w:p w14:paraId="3A3D5B73" w14:textId="0EB8FDC1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16,85</w:t>
            </w:r>
          </w:p>
        </w:tc>
        <w:tc>
          <w:tcPr>
            <w:tcW w:w="502" w:type="pct"/>
            <w:vAlign w:val="center"/>
          </w:tcPr>
          <w:p w14:paraId="5EEA2477" w14:textId="49D796DE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17,00</w:t>
            </w:r>
          </w:p>
        </w:tc>
        <w:tc>
          <w:tcPr>
            <w:tcW w:w="502" w:type="pct"/>
            <w:vAlign w:val="center"/>
          </w:tcPr>
          <w:p w14:paraId="5785D354" w14:textId="0834A031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21,60</w:t>
            </w:r>
          </w:p>
        </w:tc>
        <w:tc>
          <w:tcPr>
            <w:tcW w:w="502" w:type="pct"/>
            <w:vAlign w:val="center"/>
          </w:tcPr>
          <w:p w14:paraId="44091F26" w14:textId="38E213E1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17,20</w:t>
            </w:r>
          </w:p>
        </w:tc>
        <w:tc>
          <w:tcPr>
            <w:tcW w:w="502" w:type="pct"/>
            <w:vAlign w:val="center"/>
          </w:tcPr>
          <w:p w14:paraId="2CFCC248" w14:textId="2049EE70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22,50</w:t>
            </w:r>
          </w:p>
        </w:tc>
        <w:tc>
          <w:tcPr>
            <w:tcW w:w="502" w:type="pct"/>
            <w:vAlign w:val="center"/>
          </w:tcPr>
          <w:p w14:paraId="77B616F3" w14:textId="450795B1" w:rsidR="004A2D54" w:rsidRPr="004A2D54" w:rsidRDefault="001E73A9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497ADABD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7DB90D4B" w14:textId="77777777" w:rsid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265D7B5E" w14:textId="595DC771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6B529685" w14:textId="0D11B4C8" w:rsidR="004A2D54" w:rsidRPr="004A2D54" w:rsidRDefault="001E73A9" w:rsidP="001E73A9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13,96</w:t>
            </w:r>
          </w:p>
        </w:tc>
        <w:tc>
          <w:tcPr>
            <w:tcW w:w="502" w:type="pct"/>
            <w:vAlign w:val="center"/>
          </w:tcPr>
          <w:p w14:paraId="5A655032" w14:textId="3D5578C9" w:rsidR="004A2D54" w:rsidRPr="004A2D54" w:rsidRDefault="001E73A9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20,84</w:t>
            </w:r>
          </w:p>
        </w:tc>
        <w:tc>
          <w:tcPr>
            <w:tcW w:w="502" w:type="pct"/>
            <w:vAlign w:val="center"/>
          </w:tcPr>
          <w:p w14:paraId="7BC26CF2" w14:textId="12000BA0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7,42</w:t>
            </w:r>
          </w:p>
        </w:tc>
        <w:tc>
          <w:tcPr>
            <w:tcW w:w="502" w:type="pct"/>
            <w:vAlign w:val="center"/>
          </w:tcPr>
          <w:p w14:paraId="6CDA777F" w14:textId="563099AA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8,06</w:t>
            </w:r>
          </w:p>
        </w:tc>
        <w:tc>
          <w:tcPr>
            <w:tcW w:w="502" w:type="pct"/>
            <w:vAlign w:val="center"/>
          </w:tcPr>
          <w:p w14:paraId="14273F72" w14:textId="52D57E0D" w:rsidR="004A2D54" w:rsidRPr="004A2D54" w:rsidRDefault="001E73A9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11,72</w:t>
            </w:r>
          </w:p>
        </w:tc>
        <w:tc>
          <w:tcPr>
            <w:tcW w:w="502" w:type="pct"/>
            <w:vAlign w:val="center"/>
          </w:tcPr>
          <w:p w14:paraId="40B9B914" w14:textId="0FFDBCF0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8,37</w:t>
            </w:r>
          </w:p>
        </w:tc>
        <w:tc>
          <w:tcPr>
            <w:tcW w:w="502" w:type="pct"/>
            <w:vAlign w:val="center"/>
          </w:tcPr>
          <w:p w14:paraId="2FFE04BD" w14:textId="197DAAAE" w:rsidR="004A2D54" w:rsidRPr="004A2D54" w:rsidRDefault="001E73A9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23,35</w:t>
            </w:r>
          </w:p>
        </w:tc>
        <w:tc>
          <w:tcPr>
            <w:tcW w:w="502" w:type="pct"/>
            <w:vAlign w:val="center"/>
          </w:tcPr>
          <w:p w14:paraId="3F08A3A6" w14:textId="3D07FF6B" w:rsidR="004A2D54" w:rsidRPr="004A2D54" w:rsidRDefault="001E73A9" w:rsidP="002A41A8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93,72</w:t>
            </w:r>
          </w:p>
        </w:tc>
      </w:tr>
      <w:tr w:rsidR="004A2D54" w:rsidRPr="004A2D54" w14:paraId="0AF55D2E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92670C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22C1869E" w14:textId="644B6D63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493.200</w:t>
            </w:r>
          </w:p>
        </w:tc>
        <w:tc>
          <w:tcPr>
            <w:tcW w:w="502" w:type="pct"/>
            <w:vAlign w:val="center"/>
          </w:tcPr>
          <w:p w14:paraId="75562CB1" w14:textId="7024E1E6" w:rsidR="004A2D54" w:rsidRPr="004A2D54" w:rsidRDefault="001E73A9" w:rsidP="002A41A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850.000</w:t>
            </w:r>
          </w:p>
        </w:tc>
        <w:tc>
          <w:tcPr>
            <w:tcW w:w="502" w:type="pct"/>
            <w:vAlign w:val="center"/>
          </w:tcPr>
          <w:p w14:paraId="05FD8594" w14:textId="62441426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585.600</w:t>
            </w:r>
          </w:p>
        </w:tc>
        <w:tc>
          <w:tcPr>
            <w:tcW w:w="502" w:type="pct"/>
            <w:vAlign w:val="center"/>
          </w:tcPr>
          <w:p w14:paraId="69FA3B3B" w14:textId="05BFEAD6" w:rsidR="004A2D54" w:rsidRPr="004A2D54" w:rsidRDefault="001E73A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255.000</w:t>
            </w:r>
          </w:p>
        </w:tc>
        <w:tc>
          <w:tcPr>
            <w:tcW w:w="502" w:type="pct"/>
            <w:vAlign w:val="center"/>
          </w:tcPr>
          <w:p w14:paraId="3FBF36AD" w14:textId="7DBFF763" w:rsidR="004A2D54" w:rsidRPr="0076666B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66B">
              <w:rPr>
                <w:rFonts w:ascii="Source Sans Pro" w:hAnsi="Source Sans Pro" w:cs="Arial"/>
                <w:sz w:val="16"/>
                <w:szCs w:val="16"/>
              </w:rPr>
              <w:t>1.038.800</w:t>
            </w:r>
          </w:p>
        </w:tc>
        <w:tc>
          <w:tcPr>
            <w:tcW w:w="502" w:type="pct"/>
            <w:vAlign w:val="center"/>
          </w:tcPr>
          <w:p w14:paraId="25A1686F" w14:textId="64FB6256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300.000</w:t>
            </w:r>
          </w:p>
        </w:tc>
        <w:tc>
          <w:tcPr>
            <w:tcW w:w="502" w:type="pct"/>
            <w:vAlign w:val="center"/>
          </w:tcPr>
          <w:p w14:paraId="3C303F25" w14:textId="79EE8E97" w:rsidR="004A2D54" w:rsidRPr="0076666B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6666B">
              <w:rPr>
                <w:rFonts w:ascii="Source Sans Pro" w:hAnsi="Source Sans Pro" w:cs="Arial"/>
                <w:sz w:val="16"/>
                <w:szCs w:val="16"/>
                <w:u w:val="single"/>
              </w:rPr>
              <w:t>1.100.000</w:t>
            </w:r>
          </w:p>
        </w:tc>
        <w:tc>
          <w:tcPr>
            <w:tcW w:w="502" w:type="pct"/>
            <w:vAlign w:val="center"/>
          </w:tcPr>
          <w:p w14:paraId="21F33999" w14:textId="44153B85" w:rsidR="004A2D54" w:rsidRPr="004A2D54" w:rsidRDefault="0076666B" w:rsidP="002A41A8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4.662.600</w:t>
            </w:r>
          </w:p>
        </w:tc>
      </w:tr>
      <w:tr w:rsidR="004A2D54" w:rsidRPr="004A2D54" w14:paraId="33CC4AFE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20462D7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7D507D43" w14:textId="7E8C2901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3,5</w:t>
            </w:r>
          </w:p>
        </w:tc>
        <w:tc>
          <w:tcPr>
            <w:tcW w:w="502" w:type="pct"/>
            <w:vAlign w:val="center"/>
          </w:tcPr>
          <w:p w14:paraId="13E26529" w14:textId="685BF1DD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4,1</w:t>
            </w:r>
          </w:p>
        </w:tc>
        <w:tc>
          <w:tcPr>
            <w:tcW w:w="502" w:type="pct"/>
            <w:vAlign w:val="center"/>
          </w:tcPr>
          <w:p w14:paraId="6F4F9D00" w14:textId="7C3748F4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7,9</w:t>
            </w:r>
          </w:p>
        </w:tc>
        <w:tc>
          <w:tcPr>
            <w:tcW w:w="502" w:type="pct"/>
            <w:vAlign w:val="center"/>
          </w:tcPr>
          <w:p w14:paraId="5C46F14C" w14:textId="4E72A4EF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3,2</w:t>
            </w:r>
          </w:p>
        </w:tc>
        <w:tc>
          <w:tcPr>
            <w:tcW w:w="502" w:type="pct"/>
            <w:vAlign w:val="center"/>
          </w:tcPr>
          <w:p w14:paraId="28A3EAD2" w14:textId="06D54684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8,9</w:t>
            </w:r>
          </w:p>
        </w:tc>
        <w:tc>
          <w:tcPr>
            <w:tcW w:w="502" w:type="pct"/>
            <w:vAlign w:val="center"/>
          </w:tcPr>
          <w:p w14:paraId="33743795" w14:textId="280D0E0E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3,6</w:t>
            </w:r>
          </w:p>
        </w:tc>
        <w:tc>
          <w:tcPr>
            <w:tcW w:w="502" w:type="pct"/>
            <w:vAlign w:val="center"/>
          </w:tcPr>
          <w:p w14:paraId="0C8518F0" w14:textId="75856C20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4,7</w:t>
            </w:r>
          </w:p>
        </w:tc>
        <w:tc>
          <w:tcPr>
            <w:tcW w:w="502" w:type="pct"/>
            <w:vAlign w:val="center"/>
          </w:tcPr>
          <w:p w14:paraId="691A5F70" w14:textId="6035E791" w:rsidR="004A2D54" w:rsidRPr="004A2D54" w:rsidRDefault="0076666B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4,9</w:t>
            </w:r>
          </w:p>
        </w:tc>
      </w:tr>
      <w:tr w:rsidR="004A2D54" w:rsidRPr="004A2D54" w14:paraId="29AB7F04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F65BD0D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3D128034" w14:textId="08BF3C70" w:rsidR="004A2D54" w:rsidRPr="004A2D54" w:rsidRDefault="008E5C25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2022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+ 2023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09CD14A0" w14:textId="4192050F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578.000</w:t>
            </w:r>
          </w:p>
        </w:tc>
        <w:tc>
          <w:tcPr>
            <w:tcW w:w="502" w:type="pct"/>
            <w:vAlign w:val="center"/>
          </w:tcPr>
          <w:p w14:paraId="1B9CE76A" w14:textId="6C5AC64E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915.800</w:t>
            </w:r>
          </w:p>
        </w:tc>
        <w:tc>
          <w:tcPr>
            <w:tcW w:w="502" w:type="pct"/>
            <w:vAlign w:val="center"/>
          </w:tcPr>
          <w:p w14:paraId="6D668434" w14:textId="22EC41CE" w:rsidR="004A2D54" w:rsidRPr="004A2D54" w:rsidRDefault="00C616A4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254.800</w:t>
            </w:r>
          </w:p>
        </w:tc>
        <w:tc>
          <w:tcPr>
            <w:tcW w:w="502" w:type="pct"/>
            <w:vAlign w:val="center"/>
          </w:tcPr>
          <w:p w14:paraId="10EAAFA9" w14:textId="7C18E709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260.000</w:t>
            </w:r>
          </w:p>
        </w:tc>
        <w:tc>
          <w:tcPr>
            <w:tcW w:w="502" w:type="pct"/>
            <w:vAlign w:val="center"/>
          </w:tcPr>
          <w:p w14:paraId="1661A81C" w14:textId="17A771AC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421.400</w:t>
            </w:r>
          </w:p>
        </w:tc>
        <w:tc>
          <w:tcPr>
            <w:tcW w:w="502" w:type="pct"/>
            <w:vAlign w:val="center"/>
          </w:tcPr>
          <w:p w14:paraId="3B7AF91D" w14:textId="624F1672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240.066</w:t>
            </w:r>
          </w:p>
        </w:tc>
        <w:tc>
          <w:tcPr>
            <w:tcW w:w="502" w:type="pct"/>
            <w:vAlign w:val="center"/>
          </w:tcPr>
          <w:p w14:paraId="77B39730" w14:textId="7BDB3943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850.000</w:t>
            </w:r>
          </w:p>
        </w:tc>
        <w:tc>
          <w:tcPr>
            <w:tcW w:w="502" w:type="pct"/>
            <w:vAlign w:val="center"/>
          </w:tcPr>
          <w:p w14:paraId="3FBBFB7B" w14:textId="5CA54D22" w:rsidR="004A2D54" w:rsidRPr="004A2D54" w:rsidRDefault="0076666B" w:rsidP="00C616A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3.</w:t>
            </w:r>
            <w:r w:rsidR="00C616A4">
              <w:rPr>
                <w:rFonts w:ascii="Source Sans Pro" w:hAnsi="Source Sans Pro" w:cs="Arial"/>
                <w:b/>
                <w:sz w:val="16"/>
                <w:szCs w:val="16"/>
              </w:rPr>
              <w:t>520</w:t>
            </w:r>
            <w:r>
              <w:rPr>
                <w:rFonts w:ascii="Source Sans Pro" w:hAnsi="Source Sans Pro" w:cs="Arial"/>
                <w:b/>
                <w:sz w:val="16"/>
                <w:szCs w:val="16"/>
              </w:rPr>
              <w:t>.000</w:t>
            </w:r>
          </w:p>
        </w:tc>
      </w:tr>
      <w:tr w:rsidR="004A2D54" w:rsidRPr="004A2D54" w14:paraId="21503B01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334946C" w14:textId="01A4169E" w:rsidR="004A2D54" w:rsidRPr="004A2D54" w:rsidRDefault="008E5C25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2022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+ 2023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032EB028" w14:textId="6B152BD3" w:rsidR="004A2D54" w:rsidRPr="00F076C1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076C1">
              <w:rPr>
                <w:rFonts w:ascii="Source Sans Pro" w:hAnsi="Source Sans Pro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502" w:type="pct"/>
            <w:vAlign w:val="center"/>
          </w:tcPr>
          <w:p w14:paraId="3128957F" w14:textId="6181DE4A" w:rsidR="004A2D54" w:rsidRPr="008E5C25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502" w:type="pct"/>
            <w:vAlign w:val="center"/>
          </w:tcPr>
          <w:p w14:paraId="7CFBEDFF" w14:textId="32085823" w:rsidR="004A2D54" w:rsidRPr="00F076C1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076C1">
              <w:rPr>
                <w:rFonts w:ascii="Source Sans Pro" w:hAnsi="Source Sans Pro" w:cs="Arial"/>
                <w:sz w:val="16"/>
                <w:szCs w:val="16"/>
              </w:rPr>
              <w:t>57</w:t>
            </w:r>
          </w:p>
        </w:tc>
        <w:tc>
          <w:tcPr>
            <w:tcW w:w="502" w:type="pct"/>
            <w:vAlign w:val="center"/>
          </w:tcPr>
          <w:p w14:paraId="67E63DB4" w14:textId="7E778457" w:rsidR="004A2D54" w:rsidRPr="00F076C1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076C1">
              <w:rPr>
                <w:rFonts w:ascii="Source Sans Pro" w:hAnsi="Source Sans Pro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502" w:type="pct"/>
            <w:vAlign w:val="center"/>
          </w:tcPr>
          <w:p w14:paraId="06DA1C27" w14:textId="636C7D8D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33</w:t>
            </w:r>
          </w:p>
        </w:tc>
        <w:tc>
          <w:tcPr>
            <w:tcW w:w="502" w:type="pct"/>
            <w:vAlign w:val="center"/>
          </w:tcPr>
          <w:p w14:paraId="7876BE02" w14:textId="789FD7A1" w:rsidR="004A2D54" w:rsidRPr="008E5C25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</w:t>
            </w:r>
          </w:p>
        </w:tc>
        <w:tc>
          <w:tcPr>
            <w:tcW w:w="502" w:type="pct"/>
            <w:vAlign w:val="center"/>
          </w:tcPr>
          <w:p w14:paraId="7E645B9E" w14:textId="5B592CB9" w:rsidR="004A2D54" w:rsidRPr="004A2D54" w:rsidRDefault="0076666B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56</w:t>
            </w:r>
          </w:p>
        </w:tc>
        <w:tc>
          <w:tcPr>
            <w:tcW w:w="502" w:type="pct"/>
            <w:vAlign w:val="center"/>
          </w:tcPr>
          <w:p w14:paraId="6B1BB734" w14:textId="4C8CEE43" w:rsidR="004A2D54" w:rsidRPr="004A2D54" w:rsidRDefault="0076666B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="00C616A4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</w:p>
        </w:tc>
      </w:tr>
    </w:tbl>
    <w:p w14:paraId="1DF46B9C" w14:textId="77777777" w:rsidR="004A2D54" w:rsidRPr="004A2D54" w:rsidRDefault="004A2D54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24F7C797" w14:textId="77777777" w:rsidR="00DA733A" w:rsidRDefault="00DA733A" w:rsidP="00DA733A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11085DE5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 w:type="page"/>
      </w:r>
    </w:p>
    <w:p w14:paraId="50B0AF24" w14:textId="0C28B730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 xml:space="preserve">ÜBER GERMAN PROPERTY PARTNERS. </w:t>
      </w:r>
    </w:p>
    <w:p w14:paraId="47B60849" w14:textId="77777777" w:rsidR="00E1280F" w:rsidRPr="00E1280F" w:rsidRDefault="002D5B8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7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4B150B6D" w14:textId="77777777" w:rsidR="00613E6C" w:rsidRPr="00E1280F" w:rsidRDefault="00613E6C" w:rsidP="00613E6C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640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00 m² Gewerbefläche und betreute ein Transaktionsvolumen in Höhe von rund 2,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62C4FFC2" w14:textId="1B639EDA" w:rsidR="00DA733A" w:rsidRPr="00917410" w:rsidRDefault="004000A8" w:rsidP="006609C2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8"/>
      <w:footerReference w:type="default" r:id="rId9"/>
      <w:headerReference w:type="first" r:id="rId10"/>
      <w:footerReference w:type="first" r:id="rId11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461C1EEE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D5B8F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D5B8F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785E271B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613E6C">
      <w:rPr>
        <w:rFonts w:ascii="Source Sans Pro" w:hAnsi="Source Sans Pro" w:cs="Source Sans Pro"/>
        <w:color w:val="0087A8"/>
        <w:sz w:val="18"/>
        <w:szCs w:val="18"/>
      </w:rPr>
      <w:t>588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69CA7FEC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E6C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1FD3C3D3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9C1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9C1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789336F9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613E6C">
      <w:rPr>
        <w:rFonts w:ascii="Source Sans Pro" w:hAnsi="Source Sans Pro" w:cs="Source Sans Pro"/>
        <w:color w:val="0087A8"/>
        <w:sz w:val="18"/>
        <w:szCs w:val="18"/>
      </w:rPr>
      <w:t>588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345F229F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E6C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3819"/>
    <w:rsid w:val="00004E93"/>
    <w:rsid w:val="00007A82"/>
    <w:rsid w:val="00012426"/>
    <w:rsid w:val="000136D7"/>
    <w:rsid w:val="00013D73"/>
    <w:rsid w:val="00013FE8"/>
    <w:rsid w:val="00020AC9"/>
    <w:rsid w:val="0002187D"/>
    <w:rsid w:val="00022CE1"/>
    <w:rsid w:val="00022F25"/>
    <w:rsid w:val="00024032"/>
    <w:rsid w:val="000243CC"/>
    <w:rsid w:val="00027EA3"/>
    <w:rsid w:val="00032028"/>
    <w:rsid w:val="00033F7F"/>
    <w:rsid w:val="0003409F"/>
    <w:rsid w:val="00035322"/>
    <w:rsid w:val="00041A34"/>
    <w:rsid w:val="000440EB"/>
    <w:rsid w:val="0005029E"/>
    <w:rsid w:val="000513D0"/>
    <w:rsid w:val="00054FE9"/>
    <w:rsid w:val="000663B5"/>
    <w:rsid w:val="00066A8A"/>
    <w:rsid w:val="00071BAF"/>
    <w:rsid w:val="00077E8A"/>
    <w:rsid w:val="00082C59"/>
    <w:rsid w:val="00091562"/>
    <w:rsid w:val="0009382E"/>
    <w:rsid w:val="000A4F68"/>
    <w:rsid w:val="000A4FBB"/>
    <w:rsid w:val="000A6A78"/>
    <w:rsid w:val="000B310B"/>
    <w:rsid w:val="000B4143"/>
    <w:rsid w:val="000C36A5"/>
    <w:rsid w:val="000C3A22"/>
    <w:rsid w:val="000C5B2A"/>
    <w:rsid w:val="000D6F2E"/>
    <w:rsid w:val="000D7FD3"/>
    <w:rsid w:val="000E1357"/>
    <w:rsid w:val="000E194E"/>
    <w:rsid w:val="000E641E"/>
    <w:rsid w:val="000E6577"/>
    <w:rsid w:val="000E7EA5"/>
    <w:rsid w:val="000F57F1"/>
    <w:rsid w:val="000F79F5"/>
    <w:rsid w:val="00101220"/>
    <w:rsid w:val="00103C4E"/>
    <w:rsid w:val="001116D7"/>
    <w:rsid w:val="00113D8C"/>
    <w:rsid w:val="00120624"/>
    <w:rsid w:val="0012156C"/>
    <w:rsid w:val="00127A45"/>
    <w:rsid w:val="001416A0"/>
    <w:rsid w:val="001421F7"/>
    <w:rsid w:val="0014498B"/>
    <w:rsid w:val="00146881"/>
    <w:rsid w:val="001504EA"/>
    <w:rsid w:val="001550FE"/>
    <w:rsid w:val="00155828"/>
    <w:rsid w:val="00157F0D"/>
    <w:rsid w:val="001647B3"/>
    <w:rsid w:val="001668E1"/>
    <w:rsid w:val="00166ED2"/>
    <w:rsid w:val="00173AA4"/>
    <w:rsid w:val="0017641E"/>
    <w:rsid w:val="00184BB0"/>
    <w:rsid w:val="00187963"/>
    <w:rsid w:val="0019039E"/>
    <w:rsid w:val="001963BB"/>
    <w:rsid w:val="001A22F5"/>
    <w:rsid w:val="001B786B"/>
    <w:rsid w:val="001C518B"/>
    <w:rsid w:val="001C5D5B"/>
    <w:rsid w:val="001C6C29"/>
    <w:rsid w:val="001D3808"/>
    <w:rsid w:val="001E1829"/>
    <w:rsid w:val="001E5503"/>
    <w:rsid w:val="001E5CBD"/>
    <w:rsid w:val="001E6935"/>
    <w:rsid w:val="001E73A9"/>
    <w:rsid w:val="001F218D"/>
    <w:rsid w:val="001F35E1"/>
    <w:rsid w:val="00200C83"/>
    <w:rsid w:val="002014F7"/>
    <w:rsid w:val="00202DD3"/>
    <w:rsid w:val="002076E6"/>
    <w:rsid w:val="00223AD5"/>
    <w:rsid w:val="00226210"/>
    <w:rsid w:val="0022694F"/>
    <w:rsid w:val="002303B6"/>
    <w:rsid w:val="00235393"/>
    <w:rsid w:val="002371FE"/>
    <w:rsid w:val="00245D99"/>
    <w:rsid w:val="002468C0"/>
    <w:rsid w:val="00264A0A"/>
    <w:rsid w:val="00270180"/>
    <w:rsid w:val="0028070D"/>
    <w:rsid w:val="00282ED8"/>
    <w:rsid w:val="002A09C2"/>
    <w:rsid w:val="002A41A8"/>
    <w:rsid w:val="002A480D"/>
    <w:rsid w:val="002A59DD"/>
    <w:rsid w:val="002A7D58"/>
    <w:rsid w:val="002B4422"/>
    <w:rsid w:val="002B537B"/>
    <w:rsid w:val="002C52C5"/>
    <w:rsid w:val="002D5B8F"/>
    <w:rsid w:val="002E0FB5"/>
    <w:rsid w:val="002F461A"/>
    <w:rsid w:val="002F746F"/>
    <w:rsid w:val="003054EB"/>
    <w:rsid w:val="003152C9"/>
    <w:rsid w:val="00316196"/>
    <w:rsid w:val="003250ED"/>
    <w:rsid w:val="003278F6"/>
    <w:rsid w:val="0033523C"/>
    <w:rsid w:val="00337E28"/>
    <w:rsid w:val="00341D84"/>
    <w:rsid w:val="003424EC"/>
    <w:rsid w:val="00343846"/>
    <w:rsid w:val="0034454C"/>
    <w:rsid w:val="0035249E"/>
    <w:rsid w:val="00355438"/>
    <w:rsid w:val="00355ED1"/>
    <w:rsid w:val="00357E06"/>
    <w:rsid w:val="00363075"/>
    <w:rsid w:val="00364BAF"/>
    <w:rsid w:val="00366AF3"/>
    <w:rsid w:val="00370BFB"/>
    <w:rsid w:val="00371640"/>
    <w:rsid w:val="00371F87"/>
    <w:rsid w:val="00374F87"/>
    <w:rsid w:val="00381D14"/>
    <w:rsid w:val="00392C51"/>
    <w:rsid w:val="003948FA"/>
    <w:rsid w:val="003A463F"/>
    <w:rsid w:val="003D36F0"/>
    <w:rsid w:val="003D40B2"/>
    <w:rsid w:val="003D5215"/>
    <w:rsid w:val="003E772C"/>
    <w:rsid w:val="003F293B"/>
    <w:rsid w:val="003F4EE7"/>
    <w:rsid w:val="003F5E07"/>
    <w:rsid w:val="004000A8"/>
    <w:rsid w:val="0040331F"/>
    <w:rsid w:val="00403C95"/>
    <w:rsid w:val="0041251D"/>
    <w:rsid w:val="00423DAC"/>
    <w:rsid w:val="00425DBF"/>
    <w:rsid w:val="004329C6"/>
    <w:rsid w:val="004343B1"/>
    <w:rsid w:val="00434EB9"/>
    <w:rsid w:val="00445495"/>
    <w:rsid w:val="004501A9"/>
    <w:rsid w:val="00453BB0"/>
    <w:rsid w:val="00453F14"/>
    <w:rsid w:val="004563C8"/>
    <w:rsid w:val="00456442"/>
    <w:rsid w:val="0047027D"/>
    <w:rsid w:val="00474099"/>
    <w:rsid w:val="00483578"/>
    <w:rsid w:val="00491CBC"/>
    <w:rsid w:val="004A2A30"/>
    <w:rsid w:val="004A2D54"/>
    <w:rsid w:val="004A5F84"/>
    <w:rsid w:val="004A6E04"/>
    <w:rsid w:val="004B5CB6"/>
    <w:rsid w:val="004C616B"/>
    <w:rsid w:val="004D21F1"/>
    <w:rsid w:val="004D2CD0"/>
    <w:rsid w:val="004D5D1F"/>
    <w:rsid w:val="004E6B98"/>
    <w:rsid w:val="004F1EDD"/>
    <w:rsid w:val="004F5684"/>
    <w:rsid w:val="004F77D4"/>
    <w:rsid w:val="00500981"/>
    <w:rsid w:val="00500AD6"/>
    <w:rsid w:val="0050304A"/>
    <w:rsid w:val="005045E7"/>
    <w:rsid w:val="00510C33"/>
    <w:rsid w:val="005122A0"/>
    <w:rsid w:val="00520B8C"/>
    <w:rsid w:val="005306BF"/>
    <w:rsid w:val="005319DF"/>
    <w:rsid w:val="0054038E"/>
    <w:rsid w:val="0054593A"/>
    <w:rsid w:val="00546364"/>
    <w:rsid w:val="005476AA"/>
    <w:rsid w:val="00554C9F"/>
    <w:rsid w:val="00557B57"/>
    <w:rsid w:val="005644BE"/>
    <w:rsid w:val="00567755"/>
    <w:rsid w:val="0057524E"/>
    <w:rsid w:val="00575A55"/>
    <w:rsid w:val="00580A44"/>
    <w:rsid w:val="005810F0"/>
    <w:rsid w:val="00583BFE"/>
    <w:rsid w:val="00596092"/>
    <w:rsid w:val="005A5999"/>
    <w:rsid w:val="005A7DA9"/>
    <w:rsid w:val="005C25D5"/>
    <w:rsid w:val="005D0D0E"/>
    <w:rsid w:val="005D1D6F"/>
    <w:rsid w:val="005D449F"/>
    <w:rsid w:val="005D73BE"/>
    <w:rsid w:val="005E21DE"/>
    <w:rsid w:val="005E6515"/>
    <w:rsid w:val="005F27EF"/>
    <w:rsid w:val="005F3B7B"/>
    <w:rsid w:val="0060257F"/>
    <w:rsid w:val="00605989"/>
    <w:rsid w:val="006110D3"/>
    <w:rsid w:val="00613713"/>
    <w:rsid w:val="00613E6C"/>
    <w:rsid w:val="0062180F"/>
    <w:rsid w:val="006224FB"/>
    <w:rsid w:val="0063115F"/>
    <w:rsid w:val="006363DA"/>
    <w:rsid w:val="00640E69"/>
    <w:rsid w:val="006432C0"/>
    <w:rsid w:val="006456EA"/>
    <w:rsid w:val="00650F25"/>
    <w:rsid w:val="00653983"/>
    <w:rsid w:val="00655943"/>
    <w:rsid w:val="006609C2"/>
    <w:rsid w:val="00664262"/>
    <w:rsid w:val="00675BA1"/>
    <w:rsid w:val="00675E89"/>
    <w:rsid w:val="00684F14"/>
    <w:rsid w:val="006853DC"/>
    <w:rsid w:val="00685E14"/>
    <w:rsid w:val="00695F46"/>
    <w:rsid w:val="006A3C35"/>
    <w:rsid w:val="006A49B1"/>
    <w:rsid w:val="006A6D11"/>
    <w:rsid w:val="006B2259"/>
    <w:rsid w:val="006B2684"/>
    <w:rsid w:val="006B5252"/>
    <w:rsid w:val="006C1FF3"/>
    <w:rsid w:val="006C5754"/>
    <w:rsid w:val="006C5831"/>
    <w:rsid w:val="006D2948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3F00"/>
    <w:rsid w:val="00700A62"/>
    <w:rsid w:val="0070136B"/>
    <w:rsid w:val="0070363C"/>
    <w:rsid w:val="00712023"/>
    <w:rsid w:val="007144E9"/>
    <w:rsid w:val="00714A1F"/>
    <w:rsid w:val="00717328"/>
    <w:rsid w:val="0072073D"/>
    <w:rsid w:val="007366B7"/>
    <w:rsid w:val="00742C04"/>
    <w:rsid w:val="0074571D"/>
    <w:rsid w:val="007627C8"/>
    <w:rsid w:val="0076666B"/>
    <w:rsid w:val="00766717"/>
    <w:rsid w:val="00771C92"/>
    <w:rsid w:val="007832C8"/>
    <w:rsid w:val="00797DA3"/>
    <w:rsid w:val="007A4844"/>
    <w:rsid w:val="007B3142"/>
    <w:rsid w:val="007B33CE"/>
    <w:rsid w:val="007B7B81"/>
    <w:rsid w:val="007D1495"/>
    <w:rsid w:val="007D5A52"/>
    <w:rsid w:val="007D75C8"/>
    <w:rsid w:val="007E2C66"/>
    <w:rsid w:val="007E6244"/>
    <w:rsid w:val="007F02A1"/>
    <w:rsid w:val="007F1021"/>
    <w:rsid w:val="007F2DBB"/>
    <w:rsid w:val="007F7E7C"/>
    <w:rsid w:val="008010F4"/>
    <w:rsid w:val="008113A7"/>
    <w:rsid w:val="0081554E"/>
    <w:rsid w:val="00821A81"/>
    <w:rsid w:val="00833779"/>
    <w:rsid w:val="008373FC"/>
    <w:rsid w:val="00846E84"/>
    <w:rsid w:val="00856A7C"/>
    <w:rsid w:val="008739E7"/>
    <w:rsid w:val="00874645"/>
    <w:rsid w:val="00881685"/>
    <w:rsid w:val="00882014"/>
    <w:rsid w:val="008844D9"/>
    <w:rsid w:val="00891C3A"/>
    <w:rsid w:val="008931F2"/>
    <w:rsid w:val="00895BBC"/>
    <w:rsid w:val="008A3A3B"/>
    <w:rsid w:val="008A5E54"/>
    <w:rsid w:val="008A7188"/>
    <w:rsid w:val="008C1EBB"/>
    <w:rsid w:val="008D24F1"/>
    <w:rsid w:val="008D6864"/>
    <w:rsid w:val="008D6B2E"/>
    <w:rsid w:val="008E5C25"/>
    <w:rsid w:val="008F2058"/>
    <w:rsid w:val="009064CE"/>
    <w:rsid w:val="00912233"/>
    <w:rsid w:val="00917410"/>
    <w:rsid w:val="009264D0"/>
    <w:rsid w:val="009312C4"/>
    <w:rsid w:val="0093360A"/>
    <w:rsid w:val="009358D3"/>
    <w:rsid w:val="00955433"/>
    <w:rsid w:val="00955764"/>
    <w:rsid w:val="00957A6F"/>
    <w:rsid w:val="009649C2"/>
    <w:rsid w:val="00965DEB"/>
    <w:rsid w:val="00971DF5"/>
    <w:rsid w:val="00973056"/>
    <w:rsid w:val="009738DE"/>
    <w:rsid w:val="009758E9"/>
    <w:rsid w:val="00977A0F"/>
    <w:rsid w:val="00980BEB"/>
    <w:rsid w:val="00980D94"/>
    <w:rsid w:val="00982F7B"/>
    <w:rsid w:val="009843D4"/>
    <w:rsid w:val="00986E5B"/>
    <w:rsid w:val="0099076D"/>
    <w:rsid w:val="0099690F"/>
    <w:rsid w:val="00996D38"/>
    <w:rsid w:val="00997675"/>
    <w:rsid w:val="009A3211"/>
    <w:rsid w:val="009A53E2"/>
    <w:rsid w:val="009B008F"/>
    <w:rsid w:val="009C11F2"/>
    <w:rsid w:val="009C3FDE"/>
    <w:rsid w:val="009C51BD"/>
    <w:rsid w:val="009C7CAD"/>
    <w:rsid w:val="009D686B"/>
    <w:rsid w:val="009E6FDF"/>
    <w:rsid w:val="009F28F5"/>
    <w:rsid w:val="009F2DA7"/>
    <w:rsid w:val="00A0582F"/>
    <w:rsid w:val="00A0717D"/>
    <w:rsid w:val="00A07846"/>
    <w:rsid w:val="00A159F8"/>
    <w:rsid w:val="00A17CA6"/>
    <w:rsid w:val="00A2086A"/>
    <w:rsid w:val="00A20DD4"/>
    <w:rsid w:val="00A2291B"/>
    <w:rsid w:val="00A22C2C"/>
    <w:rsid w:val="00A346EF"/>
    <w:rsid w:val="00A54087"/>
    <w:rsid w:val="00A549F3"/>
    <w:rsid w:val="00A65690"/>
    <w:rsid w:val="00A65FB0"/>
    <w:rsid w:val="00A66A23"/>
    <w:rsid w:val="00A67512"/>
    <w:rsid w:val="00A743C6"/>
    <w:rsid w:val="00A908C3"/>
    <w:rsid w:val="00A9412B"/>
    <w:rsid w:val="00A95739"/>
    <w:rsid w:val="00A96A38"/>
    <w:rsid w:val="00AB2F7B"/>
    <w:rsid w:val="00AB300C"/>
    <w:rsid w:val="00AB449B"/>
    <w:rsid w:val="00AB69AD"/>
    <w:rsid w:val="00AC00F8"/>
    <w:rsid w:val="00AC6B15"/>
    <w:rsid w:val="00AC7376"/>
    <w:rsid w:val="00AD2569"/>
    <w:rsid w:val="00AD3799"/>
    <w:rsid w:val="00AD4124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7D"/>
    <w:rsid w:val="00AF2F5E"/>
    <w:rsid w:val="00B005BD"/>
    <w:rsid w:val="00B03444"/>
    <w:rsid w:val="00B03542"/>
    <w:rsid w:val="00B04F23"/>
    <w:rsid w:val="00B14E68"/>
    <w:rsid w:val="00B226FB"/>
    <w:rsid w:val="00B23669"/>
    <w:rsid w:val="00B24860"/>
    <w:rsid w:val="00B30599"/>
    <w:rsid w:val="00B340CD"/>
    <w:rsid w:val="00B41CC3"/>
    <w:rsid w:val="00B4714C"/>
    <w:rsid w:val="00B50A63"/>
    <w:rsid w:val="00B56AFB"/>
    <w:rsid w:val="00B576A5"/>
    <w:rsid w:val="00B62EDB"/>
    <w:rsid w:val="00B71718"/>
    <w:rsid w:val="00B717E3"/>
    <w:rsid w:val="00B71BBD"/>
    <w:rsid w:val="00B72F21"/>
    <w:rsid w:val="00B776EA"/>
    <w:rsid w:val="00B83DA7"/>
    <w:rsid w:val="00B862DB"/>
    <w:rsid w:val="00B922EE"/>
    <w:rsid w:val="00B9596E"/>
    <w:rsid w:val="00BA6227"/>
    <w:rsid w:val="00BB0F85"/>
    <w:rsid w:val="00BB21C3"/>
    <w:rsid w:val="00BC0132"/>
    <w:rsid w:val="00BC0598"/>
    <w:rsid w:val="00BC410C"/>
    <w:rsid w:val="00BC72A5"/>
    <w:rsid w:val="00BD0426"/>
    <w:rsid w:val="00BD10B3"/>
    <w:rsid w:val="00BD2784"/>
    <w:rsid w:val="00BE0C9E"/>
    <w:rsid w:val="00BF11C6"/>
    <w:rsid w:val="00BF5F7B"/>
    <w:rsid w:val="00BF69F6"/>
    <w:rsid w:val="00BF702E"/>
    <w:rsid w:val="00C11004"/>
    <w:rsid w:val="00C111FE"/>
    <w:rsid w:val="00C1497F"/>
    <w:rsid w:val="00C20B9C"/>
    <w:rsid w:val="00C2509E"/>
    <w:rsid w:val="00C2778C"/>
    <w:rsid w:val="00C27F6A"/>
    <w:rsid w:val="00C35841"/>
    <w:rsid w:val="00C41C74"/>
    <w:rsid w:val="00C43C76"/>
    <w:rsid w:val="00C47F8B"/>
    <w:rsid w:val="00C52723"/>
    <w:rsid w:val="00C616A4"/>
    <w:rsid w:val="00C64096"/>
    <w:rsid w:val="00C654E1"/>
    <w:rsid w:val="00C846F6"/>
    <w:rsid w:val="00C85B10"/>
    <w:rsid w:val="00C96048"/>
    <w:rsid w:val="00C96214"/>
    <w:rsid w:val="00C9797F"/>
    <w:rsid w:val="00CA1FB9"/>
    <w:rsid w:val="00CA73C1"/>
    <w:rsid w:val="00CA79D7"/>
    <w:rsid w:val="00CC40B9"/>
    <w:rsid w:val="00CC646D"/>
    <w:rsid w:val="00CC7CBA"/>
    <w:rsid w:val="00CD463B"/>
    <w:rsid w:val="00CD687A"/>
    <w:rsid w:val="00CD77DD"/>
    <w:rsid w:val="00CD7E39"/>
    <w:rsid w:val="00CE2EFB"/>
    <w:rsid w:val="00CE5A10"/>
    <w:rsid w:val="00CF6D99"/>
    <w:rsid w:val="00D002D6"/>
    <w:rsid w:val="00D02FD8"/>
    <w:rsid w:val="00D10832"/>
    <w:rsid w:val="00D30707"/>
    <w:rsid w:val="00D3104C"/>
    <w:rsid w:val="00D41ABC"/>
    <w:rsid w:val="00D478CC"/>
    <w:rsid w:val="00D50FDD"/>
    <w:rsid w:val="00D51669"/>
    <w:rsid w:val="00D602AC"/>
    <w:rsid w:val="00D70824"/>
    <w:rsid w:val="00D70F9E"/>
    <w:rsid w:val="00D760A9"/>
    <w:rsid w:val="00D925B8"/>
    <w:rsid w:val="00D92C1C"/>
    <w:rsid w:val="00D92E46"/>
    <w:rsid w:val="00D95197"/>
    <w:rsid w:val="00DA0D62"/>
    <w:rsid w:val="00DA3B66"/>
    <w:rsid w:val="00DA6836"/>
    <w:rsid w:val="00DA733A"/>
    <w:rsid w:val="00DB2417"/>
    <w:rsid w:val="00DC05A3"/>
    <w:rsid w:val="00DC0951"/>
    <w:rsid w:val="00DC6A0C"/>
    <w:rsid w:val="00DC7EB8"/>
    <w:rsid w:val="00DD2947"/>
    <w:rsid w:val="00DD3BDB"/>
    <w:rsid w:val="00DF1EEF"/>
    <w:rsid w:val="00DF226F"/>
    <w:rsid w:val="00DF25FA"/>
    <w:rsid w:val="00DF2B8B"/>
    <w:rsid w:val="00E03DB3"/>
    <w:rsid w:val="00E05ECE"/>
    <w:rsid w:val="00E1280F"/>
    <w:rsid w:val="00E17B2C"/>
    <w:rsid w:val="00E20271"/>
    <w:rsid w:val="00E27DEF"/>
    <w:rsid w:val="00E32743"/>
    <w:rsid w:val="00E342C7"/>
    <w:rsid w:val="00E354F6"/>
    <w:rsid w:val="00E404DC"/>
    <w:rsid w:val="00E41A83"/>
    <w:rsid w:val="00E4317C"/>
    <w:rsid w:val="00E51A3A"/>
    <w:rsid w:val="00E606F4"/>
    <w:rsid w:val="00E63703"/>
    <w:rsid w:val="00E66C4A"/>
    <w:rsid w:val="00E704C6"/>
    <w:rsid w:val="00E75185"/>
    <w:rsid w:val="00E775AC"/>
    <w:rsid w:val="00E77B98"/>
    <w:rsid w:val="00E80907"/>
    <w:rsid w:val="00E8471E"/>
    <w:rsid w:val="00E9085A"/>
    <w:rsid w:val="00E942DA"/>
    <w:rsid w:val="00E94EF3"/>
    <w:rsid w:val="00E959E9"/>
    <w:rsid w:val="00E95E00"/>
    <w:rsid w:val="00E9704C"/>
    <w:rsid w:val="00E97167"/>
    <w:rsid w:val="00EB19E5"/>
    <w:rsid w:val="00EB468A"/>
    <w:rsid w:val="00EC3DC1"/>
    <w:rsid w:val="00EC6CC2"/>
    <w:rsid w:val="00ED0970"/>
    <w:rsid w:val="00ED6DCA"/>
    <w:rsid w:val="00EF20B1"/>
    <w:rsid w:val="00EF7BE7"/>
    <w:rsid w:val="00F00604"/>
    <w:rsid w:val="00F00CF2"/>
    <w:rsid w:val="00F011B6"/>
    <w:rsid w:val="00F05141"/>
    <w:rsid w:val="00F076C1"/>
    <w:rsid w:val="00F119A6"/>
    <w:rsid w:val="00F167CB"/>
    <w:rsid w:val="00F2164E"/>
    <w:rsid w:val="00F218D7"/>
    <w:rsid w:val="00F240EB"/>
    <w:rsid w:val="00F315FE"/>
    <w:rsid w:val="00F31FE6"/>
    <w:rsid w:val="00F45BB8"/>
    <w:rsid w:val="00F53E0E"/>
    <w:rsid w:val="00F53F80"/>
    <w:rsid w:val="00F5697E"/>
    <w:rsid w:val="00F63BFA"/>
    <w:rsid w:val="00F64376"/>
    <w:rsid w:val="00F6556A"/>
    <w:rsid w:val="00F65709"/>
    <w:rsid w:val="00F673A2"/>
    <w:rsid w:val="00F72A3E"/>
    <w:rsid w:val="00F7577B"/>
    <w:rsid w:val="00F77715"/>
    <w:rsid w:val="00F84A25"/>
    <w:rsid w:val="00F84C57"/>
    <w:rsid w:val="00F937F1"/>
    <w:rsid w:val="00FA4024"/>
    <w:rsid w:val="00FA76AB"/>
    <w:rsid w:val="00FB28C0"/>
    <w:rsid w:val="00FB3B53"/>
    <w:rsid w:val="00FC69D9"/>
    <w:rsid w:val="00FD6D0F"/>
    <w:rsid w:val="00FD7412"/>
    <w:rsid w:val="00FE2133"/>
    <w:rsid w:val="00FE6C3C"/>
    <w:rsid w:val="00FF01B7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ermanpropertypartners.de/d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Britt Finke</cp:lastModifiedBy>
  <cp:revision>4</cp:revision>
  <cp:lastPrinted>2019-05-13T13:17:00Z</cp:lastPrinted>
  <dcterms:created xsi:type="dcterms:W3CDTF">2022-03-31T19:57:00Z</dcterms:created>
  <dcterms:modified xsi:type="dcterms:W3CDTF">2022-03-31T20:07:00Z</dcterms:modified>
</cp:coreProperties>
</file>