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E728" w14:textId="0F7092C6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613E6C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40EB7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CA79D7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7777C2B1" w:rsidR="00CA79D7" w:rsidRPr="00387EEF" w:rsidRDefault="009D2836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Lieber ‚n</w:t>
      </w:r>
      <w:r w:rsidR="0007043A">
        <w:rPr>
          <w:rFonts w:ascii="Source Sans Pro" w:hAnsi="Source Sans Pro" w:cs="Source Sans Pro"/>
          <w:sz w:val="36"/>
          <w:szCs w:val="36"/>
        </w:rPr>
        <w:t xml:space="preserve">eu </w:t>
      </w:r>
      <w:r>
        <w:rPr>
          <w:rFonts w:ascii="Source Sans Pro" w:hAnsi="Source Sans Pro" w:cs="Source Sans Pro"/>
          <w:sz w:val="36"/>
          <w:szCs w:val="36"/>
        </w:rPr>
        <w:t>&amp;</w:t>
      </w:r>
      <w:r w:rsidR="0007043A">
        <w:rPr>
          <w:rFonts w:ascii="Source Sans Pro" w:hAnsi="Source Sans Pro" w:cs="Source Sans Pro"/>
          <w:sz w:val="36"/>
          <w:szCs w:val="36"/>
        </w:rPr>
        <w:t xml:space="preserve"> zentral</w:t>
      </w:r>
      <w:r>
        <w:rPr>
          <w:rFonts w:ascii="Source Sans Pro" w:hAnsi="Source Sans Pro" w:cs="Source Sans Pro"/>
          <w:sz w:val="36"/>
          <w:szCs w:val="36"/>
        </w:rPr>
        <w:t>‘</w:t>
      </w:r>
      <w:r w:rsidR="0007043A">
        <w:rPr>
          <w:rFonts w:ascii="Source Sans Pro" w:hAnsi="Source Sans Pro" w:cs="Source Sans Pro"/>
          <w:sz w:val="36"/>
          <w:szCs w:val="36"/>
        </w:rPr>
        <w:t xml:space="preserve"> </w:t>
      </w:r>
      <w:r w:rsidR="00646995">
        <w:rPr>
          <w:rFonts w:ascii="Source Sans Pro" w:hAnsi="Source Sans Pro" w:cs="Source Sans Pro"/>
          <w:sz w:val="36"/>
          <w:szCs w:val="36"/>
        </w:rPr>
        <w:t>als</w:t>
      </w:r>
      <w:r w:rsidR="0007043A">
        <w:rPr>
          <w:rFonts w:ascii="Source Sans Pro" w:hAnsi="Source Sans Pro" w:cs="Source Sans Pro"/>
          <w:sz w:val="36"/>
          <w:szCs w:val="36"/>
        </w:rPr>
        <w:t xml:space="preserve"> </w:t>
      </w:r>
      <w:r>
        <w:rPr>
          <w:rFonts w:ascii="Source Sans Pro" w:hAnsi="Source Sans Pro" w:cs="Source Sans Pro"/>
          <w:sz w:val="36"/>
          <w:szCs w:val="36"/>
        </w:rPr>
        <w:t>‚</w:t>
      </w:r>
      <w:r w:rsidR="00646995">
        <w:rPr>
          <w:rFonts w:ascii="Source Sans Pro" w:hAnsi="Source Sans Pro" w:cs="Source Sans Pro"/>
          <w:sz w:val="36"/>
          <w:szCs w:val="36"/>
        </w:rPr>
        <w:t>veraltet</w:t>
      </w:r>
      <w:r w:rsidR="0007043A">
        <w:rPr>
          <w:rFonts w:ascii="Source Sans Pro" w:hAnsi="Source Sans Pro" w:cs="Source Sans Pro"/>
          <w:sz w:val="36"/>
          <w:szCs w:val="36"/>
        </w:rPr>
        <w:t xml:space="preserve"> </w:t>
      </w:r>
      <w:r>
        <w:rPr>
          <w:rFonts w:ascii="Source Sans Pro" w:hAnsi="Source Sans Pro" w:cs="Source Sans Pro"/>
          <w:sz w:val="36"/>
          <w:szCs w:val="36"/>
        </w:rPr>
        <w:t>&amp;</w:t>
      </w:r>
      <w:r w:rsidR="0007043A">
        <w:rPr>
          <w:rFonts w:ascii="Source Sans Pro" w:hAnsi="Source Sans Pro" w:cs="Source Sans Pro"/>
          <w:sz w:val="36"/>
          <w:szCs w:val="36"/>
        </w:rPr>
        <w:t xml:space="preserve"> dezentral</w:t>
      </w:r>
      <w:r>
        <w:rPr>
          <w:rFonts w:ascii="Source Sans Pro" w:hAnsi="Source Sans Pro" w:cs="Source Sans Pro"/>
          <w:sz w:val="36"/>
          <w:szCs w:val="36"/>
        </w:rPr>
        <w:t>‘</w:t>
      </w:r>
    </w:p>
    <w:p w14:paraId="743073FD" w14:textId="77777777" w:rsidR="003152C9" w:rsidRPr="00387EEF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457806E7">
            <wp:extent cx="3643313" cy="2144989"/>
            <wp:effectExtent l="19050" t="19050" r="14605" b="2730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02" cy="21535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1890AFFA" w14:textId="6E96A456" w:rsidR="007E46C3" w:rsidRDefault="006A3192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0</w:t>
      </w:r>
      <w:r w:rsidR="00740EB7">
        <w:rPr>
          <w:rFonts w:ascii="Source Sans Pro" w:hAnsi="Source Sans Pro" w:cs="Source Sans Pro"/>
          <w:color w:val="0087A8"/>
          <w:sz w:val="22"/>
          <w:szCs w:val="22"/>
        </w:rPr>
        <w:t>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613E6C">
        <w:rPr>
          <w:rFonts w:ascii="Source Sans Pro" w:hAnsi="Source Sans Pro" w:cs="Source Sans Pro"/>
          <w:color w:val="0087A8"/>
          <w:sz w:val="22"/>
          <w:szCs w:val="22"/>
        </w:rPr>
        <w:t>April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740EB7">
        <w:rPr>
          <w:rFonts w:ascii="Source Sans Pro" w:hAnsi="Source Sans Pro" w:cs="Source Sans Pro"/>
          <w:color w:val="0087A8"/>
          <w:sz w:val="22"/>
          <w:szCs w:val="22"/>
        </w:rPr>
        <w:t>4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C0282D">
        <w:rPr>
          <w:rFonts w:ascii="Source Sans Pro" w:hAnsi="Source Sans Pro" w:cs="Source Sans Pro"/>
          <w:sz w:val="22"/>
          <w:szCs w:val="22"/>
        </w:rPr>
        <w:t xml:space="preserve">Mit einem Anstieg von </w:t>
      </w:r>
      <w:r w:rsidR="006923BE">
        <w:rPr>
          <w:rFonts w:ascii="Source Sans Pro" w:hAnsi="Source Sans Pro" w:cs="Source Sans Pro"/>
          <w:color w:val="auto"/>
          <w:sz w:val="22"/>
          <w:szCs w:val="22"/>
        </w:rPr>
        <w:t>9</w:t>
      </w:r>
      <w:r w:rsidR="00C0282D" w:rsidRPr="00AF2305">
        <w:rPr>
          <w:rFonts w:ascii="Source Sans Pro" w:hAnsi="Source Sans Pro" w:cs="Source Sans Pro"/>
          <w:color w:val="auto"/>
          <w:sz w:val="22"/>
          <w:szCs w:val="22"/>
        </w:rPr>
        <w:t xml:space="preserve"> %</w:t>
      </w:r>
      <w:r w:rsidR="00C0282D">
        <w:rPr>
          <w:rFonts w:ascii="Source Sans Pro" w:hAnsi="Source Sans Pro" w:cs="Source Sans Pro"/>
          <w:sz w:val="22"/>
          <w:szCs w:val="22"/>
        </w:rPr>
        <w:t xml:space="preserve"> </w:t>
      </w:r>
      <w:r w:rsidR="00793C7D">
        <w:rPr>
          <w:rFonts w:ascii="Source Sans Pro" w:hAnsi="Source Sans Pro" w:cs="Source Sans Pro"/>
          <w:sz w:val="22"/>
          <w:szCs w:val="22"/>
        </w:rPr>
        <w:t xml:space="preserve">gegenüber dem Vorjahreszeitraum </w:t>
      </w:r>
      <w:r w:rsidR="00F07725">
        <w:rPr>
          <w:rFonts w:ascii="Source Sans Pro" w:hAnsi="Source Sans Pro" w:cs="Source Sans Pro"/>
          <w:sz w:val="22"/>
          <w:szCs w:val="22"/>
        </w:rPr>
        <w:t xml:space="preserve">beendete der Top-7-Büroflächenumsatz die Serie rückläufiger </w:t>
      </w:r>
      <w:r w:rsidR="00A13548">
        <w:rPr>
          <w:rFonts w:ascii="Source Sans Pro" w:hAnsi="Source Sans Pro" w:cs="Source Sans Pro"/>
          <w:sz w:val="22"/>
          <w:szCs w:val="22"/>
        </w:rPr>
        <w:t>Entwicklungen</w:t>
      </w:r>
      <w:r w:rsidR="00F07725">
        <w:rPr>
          <w:rFonts w:ascii="Source Sans Pro" w:hAnsi="Source Sans Pro" w:cs="Source Sans Pro"/>
          <w:sz w:val="22"/>
          <w:szCs w:val="22"/>
        </w:rPr>
        <w:t xml:space="preserve"> der letzten vier Quartale.</w:t>
      </w:r>
    </w:p>
    <w:p w14:paraId="19CD049F" w14:textId="77777777" w:rsidR="007E46C3" w:rsidRDefault="007E46C3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249D1D2F" w14:textId="0A59AB69" w:rsidR="003366E6" w:rsidRDefault="00740EB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740EB7">
        <w:rPr>
          <w:rFonts w:ascii="Source Sans Pro" w:hAnsi="Source Sans Pro" w:cs="Source Sans Pro"/>
          <w:i/>
          <w:color w:val="auto"/>
          <w:sz w:val="22"/>
          <w:szCs w:val="22"/>
        </w:rPr>
        <w:t>„</w:t>
      </w:r>
      <w:r w:rsidR="009D1C7A">
        <w:rPr>
          <w:rFonts w:ascii="Source Sans Pro" w:hAnsi="Source Sans Pro" w:cs="Source Sans Pro"/>
          <w:i/>
          <w:color w:val="auto"/>
          <w:sz w:val="22"/>
          <w:szCs w:val="22"/>
        </w:rPr>
        <w:t>Allerdings war</w:t>
      </w:r>
      <w:r w:rsidR="007755D7">
        <w:rPr>
          <w:rFonts w:ascii="Source Sans Pro" w:hAnsi="Source Sans Pro" w:cs="Source Sans Pro"/>
          <w:i/>
          <w:color w:val="auto"/>
          <w:sz w:val="22"/>
          <w:szCs w:val="22"/>
        </w:rPr>
        <w:t xml:space="preserve"> das letztjährige Jahresauftaktergebnis </w:t>
      </w:r>
      <w:r w:rsidR="007E46C3">
        <w:rPr>
          <w:rFonts w:ascii="Source Sans Pro" w:hAnsi="Source Sans Pro" w:cs="Source Sans Pro"/>
          <w:i/>
          <w:color w:val="auto"/>
          <w:sz w:val="22"/>
          <w:szCs w:val="22"/>
        </w:rPr>
        <w:t>der</w:t>
      </w:r>
      <w:r w:rsidR="003366E6">
        <w:rPr>
          <w:rFonts w:ascii="Source Sans Pro" w:hAnsi="Source Sans Pro" w:cs="Source Sans Pro"/>
          <w:i/>
          <w:color w:val="auto"/>
          <w:sz w:val="22"/>
          <w:szCs w:val="22"/>
        </w:rPr>
        <w:t xml:space="preserve"> Top-7-Standorte </w:t>
      </w:r>
      <w:r w:rsidR="00133961">
        <w:rPr>
          <w:rFonts w:ascii="Source Sans Pro" w:hAnsi="Source Sans Pro" w:cs="Source Sans Pro"/>
          <w:i/>
          <w:color w:val="auto"/>
          <w:sz w:val="22"/>
          <w:szCs w:val="22"/>
        </w:rPr>
        <w:t xml:space="preserve">im langjährigen Vergleich </w:t>
      </w:r>
      <w:r w:rsidR="007755D7">
        <w:rPr>
          <w:rFonts w:ascii="Source Sans Pro" w:hAnsi="Source Sans Pro" w:cs="Source Sans Pro"/>
          <w:i/>
          <w:color w:val="auto"/>
          <w:sz w:val="22"/>
          <w:szCs w:val="22"/>
        </w:rPr>
        <w:t>deutlich unterdurchschnittlich</w:t>
      </w:r>
      <w:r w:rsidRPr="00740EB7">
        <w:rPr>
          <w:rFonts w:ascii="Source Sans Pro" w:hAnsi="Source Sans Pro" w:cs="Source Sans Pro"/>
          <w:i/>
          <w:color w:val="auto"/>
          <w:sz w:val="22"/>
          <w:szCs w:val="22"/>
        </w:rPr>
        <w:t>“,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erklärt </w:t>
      </w:r>
      <w:r>
        <w:rPr>
          <w:rFonts w:ascii="Source Sans Pro" w:hAnsi="Source Sans Pro" w:cs="Source Sans Pro"/>
          <w:b/>
          <w:sz w:val="22"/>
          <w:szCs w:val="22"/>
        </w:rPr>
        <w:t>Björn Holzwarth</w:t>
      </w:r>
      <w:r w:rsidR="00FB2A50">
        <w:rPr>
          <w:rFonts w:ascii="Source Sans Pro" w:hAnsi="Source Sans Pro" w:cs="Source Sans Pro"/>
          <w:sz w:val="22"/>
          <w:szCs w:val="22"/>
        </w:rPr>
        <w:t>, Sprecher von German Property Partners (GPP)</w:t>
      </w:r>
      <w:r w:rsidR="00A13548">
        <w:rPr>
          <w:rFonts w:ascii="Source Sans Pro" w:hAnsi="Source Sans Pro" w:cs="Source Sans Pro"/>
          <w:sz w:val="22"/>
          <w:szCs w:val="22"/>
        </w:rPr>
        <w:t xml:space="preserve">. </w:t>
      </w:r>
      <w:r w:rsidR="00A13548" w:rsidRPr="006F3858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133961">
        <w:rPr>
          <w:rFonts w:ascii="Source Sans Pro" w:hAnsi="Source Sans Pro" w:cs="Source Sans Pro"/>
          <w:i/>
          <w:iCs/>
          <w:sz w:val="22"/>
          <w:szCs w:val="22"/>
        </w:rPr>
        <w:t>Daher</w:t>
      </w:r>
      <w:r w:rsidR="006F3858" w:rsidRPr="006F3858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801337">
        <w:rPr>
          <w:rFonts w:ascii="Source Sans Pro" w:hAnsi="Source Sans Pro" w:cs="Source Sans Pro"/>
          <w:i/>
          <w:iCs/>
          <w:sz w:val="22"/>
          <w:szCs w:val="22"/>
        </w:rPr>
        <w:t>ist dieses</w:t>
      </w:r>
      <w:r w:rsidR="009D1C7A">
        <w:rPr>
          <w:rFonts w:ascii="Source Sans Pro" w:hAnsi="Source Sans Pro" w:cs="Source Sans Pro"/>
          <w:i/>
          <w:iCs/>
          <w:sz w:val="22"/>
          <w:szCs w:val="22"/>
        </w:rPr>
        <w:t xml:space="preserve"> Plus </w:t>
      </w:r>
      <w:r w:rsidR="006F3858" w:rsidRPr="006F3858">
        <w:rPr>
          <w:rFonts w:ascii="Source Sans Pro" w:hAnsi="Source Sans Pro" w:cs="Source Sans Pro"/>
          <w:i/>
          <w:iCs/>
          <w:sz w:val="22"/>
          <w:szCs w:val="22"/>
        </w:rPr>
        <w:t xml:space="preserve">als </w:t>
      </w:r>
      <w:r w:rsidR="003366E6">
        <w:rPr>
          <w:rFonts w:ascii="Source Sans Pro" w:hAnsi="Source Sans Pro" w:cs="Source Sans Pro"/>
          <w:i/>
          <w:iCs/>
          <w:sz w:val="22"/>
          <w:szCs w:val="22"/>
        </w:rPr>
        <w:t>Markts</w:t>
      </w:r>
      <w:r w:rsidR="006F3858" w:rsidRPr="006F3858">
        <w:rPr>
          <w:rFonts w:ascii="Source Sans Pro" w:hAnsi="Source Sans Pro" w:cs="Source Sans Pro"/>
          <w:i/>
          <w:iCs/>
          <w:sz w:val="22"/>
          <w:szCs w:val="22"/>
        </w:rPr>
        <w:t>tabilisierung</w:t>
      </w:r>
      <w:r w:rsidR="00801337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0173C0">
        <w:rPr>
          <w:rFonts w:ascii="Source Sans Pro" w:hAnsi="Source Sans Pro" w:cs="Source Sans Pro"/>
          <w:i/>
          <w:iCs/>
          <w:sz w:val="22"/>
          <w:szCs w:val="22"/>
        </w:rPr>
        <w:t xml:space="preserve">auf niedrigerem Niveau als bis 2022 </w:t>
      </w:r>
      <w:r w:rsidR="00801337">
        <w:rPr>
          <w:rFonts w:ascii="Source Sans Pro" w:hAnsi="Source Sans Pro" w:cs="Source Sans Pro"/>
          <w:i/>
          <w:iCs/>
          <w:sz w:val="22"/>
          <w:szCs w:val="22"/>
        </w:rPr>
        <w:t>zu interpretieren</w:t>
      </w:r>
      <w:r w:rsidR="007755D7" w:rsidRPr="006F3858">
        <w:rPr>
          <w:rFonts w:ascii="Source Sans Pro" w:hAnsi="Source Sans Pro" w:cs="Source Sans Pro"/>
          <w:i/>
          <w:iCs/>
          <w:sz w:val="22"/>
          <w:szCs w:val="22"/>
        </w:rPr>
        <w:t>.</w:t>
      </w:r>
      <w:r w:rsidR="006F3858" w:rsidRPr="006F3858">
        <w:rPr>
          <w:rFonts w:ascii="Source Sans Pro" w:hAnsi="Source Sans Pro" w:cs="Source Sans Pro"/>
          <w:i/>
          <w:iCs/>
          <w:sz w:val="22"/>
          <w:szCs w:val="22"/>
        </w:rPr>
        <w:t>“</w:t>
      </w:r>
    </w:p>
    <w:p w14:paraId="528B3592" w14:textId="77777777" w:rsidR="003366E6" w:rsidRDefault="003366E6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576E3A74" w14:textId="40D88F74" w:rsidR="00133961" w:rsidRDefault="007755D7" w:rsidP="003366E6">
      <w:pPr>
        <w:pStyle w:val="EinfAbs"/>
        <w:numPr>
          <w:ilvl w:val="0"/>
          <w:numId w:val="1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Zwischen Januar und März wurden </w:t>
      </w:r>
      <w:r w:rsidR="003366E6">
        <w:rPr>
          <w:rFonts w:ascii="Source Sans Pro" w:hAnsi="Source Sans Pro" w:cs="Source Sans Pro"/>
          <w:sz w:val="22"/>
          <w:szCs w:val="22"/>
        </w:rPr>
        <w:t>an den Top-7-Standorten</w:t>
      </w:r>
      <w:r>
        <w:rPr>
          <w:rFonts w:ascii="Source Sans Pro" w:hAnsi="Source Sans Pro" w:cs="Source Sans Pro"/>
          <w:sz w:val="22"/>
          <w:szCs w:val="22"/>
        </w:rPr>
        <w:t xml:space="preserve"> 61</w:t>
      </w:r>
      <w:r w:rsidR="006923BE">
        <w:rPr>
          <w:rFonts w:ascii="Source Sans Pro" w:hAnsi="Source Sans Pro" w:cs="Source Sans Pro"/>
          <w:sz w:val="22"/>
          <w:szCs w:val="22"/>
        </w:rPr>
        <w:t>2</w:t>
      </w:r>
      <w:r>
        <w:rPr>
          <w:rFonts w:ascii="Source Sans Pro" w:hAnsi="Source Sans Pro" w:cs="Source Sans Pro"/>
          <w:sz w:val="22"/>
          <w:szCs w:val="22"/>
        </w:rPr>
        <w:t>.400 m² umgesetzt.</w:t>
      </w:r>
      <w:r w:rsidR="003366E6">
        <w:rPr>
          <w:rFonts w:ascii="Source Sans Pro" w:hAnsi="Source Sans Pro" w:cs="Source Sans Pro"/>
          <w:sz w:val="22"/>
          <w:szCs w:val="22"/>
        </w:rPr>
        <w:t xml:space="preserve"> </w:t>
      </w:r>
      <w:r w:rsidR="00133961">
        <w:rPr>
          <w:rFonts w:ascii="Source Sans Pro" w:hAnsi="Source Sans Pro" w:cs="Source Sans Pro"/>
          <w:sz w:val="22"/>
          <w:szCs w:val="22"/>
        </w:rPr>
        <w:t>An den einzelnen Standorten war die Marktdynamik jedoch sehr unterschiedlich.</w:t>
      </w:r>
    </w:p>
    <w:p w14:paraId="7CC376D8" w14:textId="1B0290FD" w:rsidR="003366E6" w:rsidRDefault="00133961" w:rsidP="003366E6">
      <w:pPr>
        <w:pStyle w:val="EinfAbs"/>
        <w:numPr>
          <w:ilvl w:val="0"/>
          <w:numId w:val="1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Erwartungsgemäß nahm der Leerstand an allen </w:t>
      </w:r>
      <w:r w:rsidR="005F283A">
        <w:rPr>
          <w:rFonts w:ascii="Source Sans Pro" w:hAnsi="Source Sans Pro" w:cs="Source Sans Pro"/>
          <w:sz w:val="22"/>
          <w:szCs w:val="22"/>
        </w:rPr>
        <w:t>Top-7-Bürovermietungsmärkten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441174">
        <w:rPr>
          <w:rFonts w:ascii="Source Sans Pro" w:hAnsi="Source Sans Pro" w:cs="Source Sans Pro"/>
          <w:sz w:val="22"/>
          <w:szCs w:val="22"/>
        </w:rPr>
        <w:t xml:space="preserve">weiter </w:t>
      </w:r>
      <w:r>
        <w:rPr>
          <w:rFonts w:ascii="Source Sans Pro" w:hAnsi="Source Sans Pro" w:cs="Source Sans Pro"/>
          <w:sz w:val="22"/>
          <w:szCs w:val="22"/>
        </w:rPr>
        <w:t>zu</w:t>
      </w:r>
      <w:r w:rsidR="005F283A">
        <w:rPr>
          <w:rFonts w:ascii="Source Sans Pro" w:hAnsi="Source Sans Pro" w:cs="Source Sans Pro"/>
          <w:sz w:val="22"/>
          <w:szCs w:val="22"/>
        </w:rPr>
        <w:t>, der</w:t>
      </w:r>
      <w:r w:rsidR="007E46C3">
        <w:rPr>
          <w:rFonts w:ascii="Source Sans Pro" w:hAnsi="Source Sans Pro" w:cs="Source Sans Pro"/>
          <w:sz w:val="22"/>
          <w:szCs w:val="22"/>
        </w:rPr>
        <w:t xml:space="preserve"> Top-7-Leerstand </w:t>
      </w:r>
      <w:r w:rsidR="005F283A">
        <w:rPr>
          <w:rFonts w:ascii="Source Sans Pro" w:hAnsi="Source Sans Pro" w:cs="Source Sans Pro"/>
          <w:sz w:val="22"/>
          <w:szCs w:val="22"/>
        </w:rPr>
        <w:t xml:space="preserve">kletterte </w:t>
      </w:r>
      <w:r w:rsidR="007E46C3">
        <w:rPr>
          <w:rFonts w:ascii="Source Sans Pro" w:hAnsi="Source Sans Pro" w:cs="Source Sans Pro"/>
          <w:sz w:val="22"/>
          <w:szCs w:val="22"/>
        </w:rPr>
        <w:t>im Jahresvergleich um 27 %</w:t>
      </w:r>
      <w:r w:rsidR="005F283A">
        <w:rPr>
          <w:rFonts w:ascii="Source Sans Pro" w:hAnsi="Source Sans Pro" w:cs="Source Sans Pro"/>
          <w:sz w:val="22"/>
          <w:szCs w:val="22"/>
        </w:rPr>
        <w:t>. D</w:t>
      </w:r>
      <w:r w:rsidR="007E46C3">
        <w:rPr>
          <w:rFonts w:ascii="Source Sans Pro" w:hAnsi="Source Sans Pro" w:cs="Source Sans Pro"/>
          <w:sz w:val="22"/>
          <w:szCs w:val="22"/>
        </w:rPr>
        <w:t xml:space="preserve">ie </w:t>
      </w:r>
      <w:r>
        <w:rPr>
          <w:rFonts w:ascii="Source Sans Pro" w:hAnsi="Source Sans Pro" w:cs="Source Sans Pro"/>
          <w:sz w:val="22"/>
          <w:szCs w:val="22"/>
        </w:rPr>
        <w:t xml:space="preserve">Top-7-Leerstandsquote </w:t>
      </w:r>
      <w:r w:rsidR="005F283A">
        <w:rPr>
          <w:rFonts w:ascii="Source Sans Pro" w:hAnsi="Source Sans Pro" w:cs="Source Sans Pro"/>
          <w:sz w:val="22"/>
          <w:szCs w:val="22"/>
        </w:rPr>
        <w:t xml:space="preserve">hingegen </w:t>
      </w:r>
      <w:r w:rsidR="00C832FA">
        <w:rPr>
          <w:rFonts w:ascii="Source Sans Pro" w:hAnsi="Source Sans Pro" w:cs="Source Sans Pro"/>
          <w:sz w:val="22"/>
          <w:szCs w:val="22"/>
        </w:rPr>
        <w:t>blieb mit</w:t>
      </w:r>
      <w:r w:rsidR="007E46C3">
        <w:rPr>
          <w:rFonts w:ascii="Source Sans Pro" w:hAnsi="Source Sans Pro" w:cs="Source Sans Pro"/>
          <w:sz w:val="22"/>
          <w:szCs w:val="22"/>
        </w:rPr>
        <w:t xml:space="preserve"> </w:t>
      </w:r>
      <w:r w:rsidR="00C832FA">
        <w:rPr>
          <w:rFonts w:ascii="Source Sans Pro" w:hAnsi="Source Sans Pro" w:cs="Source Sans Pro"/>
          <w:sz w:val="22"/>
          <w:szCs w:val="22"/>
        </w:rPr>
        <w:t xml:space="preserve">6,5 % nach </w:t>
      </w:r>
      <w:r>
        <w:rPr>
          <w:rFonts w:ascii="Source Sans Pro" w:hAnsi="Source Sans Pro" w:cs="Source Sans Pro"/>
          <w:sz w:val="22"/>
          <w:szCs w:val="22"/>
        </w:rPr>
        <w:t>5,2 %</w:t>
      </w:r>
      <w:r w:rsidR="00C832FA">
        <w:rPr>
          <w:rFonts w:ascii="Source Sans Pro" w:hAnsi="Source Sans Pro" w:cs="Source Sans Pro"/>
          <w:sz w:val="22"/>
          <w:szCs w:val="22"/>
        </w:rPr>
        <w:t xml:space="preserve"> </w:t>
      </w:r>
      <w:r w:rsidR="005F283A">
        <w:rPr>
          <w:rFonts w:ascii="Source Sans Pro" w:hAnsi="Source Sans Pro" w:cs="Source Sans Pro"/>
          <w:sz w:val="22"/>
          <w:szCs w:val="22"/>
        </w:rPr>
        <w:t xml:space="preserve">vor einem Jahr </w:t>
      </w:r>
      <w:r w:rsidR="00C832FA">
        <w:rPr>
          <w:rFonts w:ascii="Source Sans Pro" w:hAnsi="Source Sans Pro" w:cs="Source Sans Pro"/>
          <w:sz w:val="22"/>
          <w:szCs w:val="22"/>
        </w:rPr>
        <w:t xml:space="preserve">deutlich </w:t>
      </w:r>
      <w:r w:rsidR="005F283A">
        <w:rPr>
          <w:rFonts w:ascii="Source Sans Pro" w:hAnsi="Source Sans Pro" w:cs="Source Sans Pro"/>
          <w:sz w:val="22"/>
          <w:szCs w:val="22"/>
        </w:rPr>
        <w:t>einstellig</w:t>
      </w:r>
      <w:r>
        <w:rPr>
          <w:rFonts w:ascii="Source Sans Pro" w:hAnsi="Source Sans Pro" w:cs="Source Sans Pro"/>
          <w:sz w:val="22"/>
          <w:szCs w:val="22"/>
        </w:rPr>
        <w:t>.</w:t>
      </w:r>
      <w:r w:rsidR="007E46C3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31AF0741" w14:textId="30087F64" w:rsidR="00AB0EF0" w:rsidRDefault="00F43811" w:rsidP="003366E6">
      <w:pPr>
        <w:pStyle w:val="EinfAbs"/>
        <w:numPr>
          <w:ilvl w:val="0"/>
          <w:numId w:val="1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Die Top-7-</w:t>
      </w:r>
      <w:r w:rsidR="00AB0EF0">
        <w:rPr>
          <w:rFonts w:ascii="Source Sans Pro" w:hAnsi="Source Sans Pro" w:cs="Source Sans Pro"/>
          <w:sz w:val="22"/>
          <w:szCs w:val="22"/>
        </w:rPr>
        <w:t>Eigennutzer</w:t>
      </w:r>
      <w:r>
        <w:rPr>
          <w:rFonts w:ascii="Source Sans Pro" w:hAnsi="Source Sans Pro" w:cs="Source Sans Pro"/>
          <w:sz w:val="22"/>
          <w:szCs w:val="22"/>
        </w:rPr>
        <w:t xml:space="preserve">quote betrug </w:t>
      </w:r>
      <w:r w:rsidR="00AB0EF0">
        <w:rPr>
          <w:rFonts w:ascii="Source Sans Pro" w:hAnsi="Source Sans Pro" w:cs="Source Sans Pro"/>
          <w:sz w:val="22"/>
          <w:szCs w:val="22"/>
        </w:rPr>
        <w:t>1</w:t>
      </w:r>
      <w:r w:rsidR="006923BE">
        <w:rPr>
          <w:rFonts w:ascii="Source Sans Pro" w:hAnsi="Source Sans Pro" w:cs="Source Sans Pro"/>
          <w:sz w:val="22"/>
          <w:szCs w:val="22"/>
        </w:rPr>
        <w:t>8</w:t>
      </w:r>
      <w:r w:rsidR="00AB0EF0">
        <w:rPr>
          <w:rFonts w:ascii="Source Sans Pro" w:hAnsi="Source Sans Pro" w:cs="Source Sans Pro"/>
          <w:sz w:val="22"/>
          <w:szCs w:val="22"/>
        </w:rPr>
        <w:t xml:space="preserve"> % </w:t>
      </w:r>
      <w:r>
        <w:rPr>
          <w:rFonts w:ascii="Source Sans Pro" w:hAnsi="Source Sans Pro" w:cs="Source Sans Pro"/>
          <w:sz w:val="22"/>
          <w:szCs w:val="22"/>
        </w:rPr>
        <w:t xml:space="preserve">nach </w:t>
      </w:r>
      <w:r w:rsidR="00AB0EF0">
        <w:rPr>
          <w:rFonts w:ascii="Source Sans Pro" w:hAnsi="Source Sans Pro" w:cs="Source Sans Pro"/>
          <w:sz w:val="22"/>
          <w:szCs w:val="22"/>
        </w:rPr>
        <w:t>7 %</w:t>
      </w:r>
      <w:r>
        <w:rPr>
          <w:rFonts w:ascii="Source Sans Pro" w:hAnsi="Source Sans Pro" w:cs="Source Sans Pro"/>
          <w:sz w:val="22"/>
          <w:szCs w:val="22"/>
        </w:rPr>
        <w:t xml:space="preserve"> im Vorjahreszeitraum</w:t>
      </w:r>
      <w:r w:rsidR="00AB0EF0">
        <w:rPr>
          <w:rFonts w:ascii="Source Sans Pro" w:hAnsi="Source Sans Pro" w:cs="Source Sans Pro"/>
          <w:sz w:val="22"/>
          <w:szCs w:val="22"/>
        </w:rPr>
        <w:t xml:space="preserve">. </w:t>
      </w:r>
      <w:r w:rsidR="00AF2305">
        <w:rPr>
          <w:rFonts w:ascii="Source Sans Pro" w:hAnsi="Source Sans Pro" w:cs="Source Sans Pro"/>
          <w:sz w:val="22"/>
          <w:szCs w:val="22"/>
        </w:rPr>
        <w:t>Hierzu</w:t>
      </w:r>
      <w:r w:rsidR="00AB0EF0">
        <w:rPr>
          <w:rFonts w:ascii="Source Sans Pro" w:hAnsi="Source Sans Pro" w:cs="Source Sans Pro"/>
          <w:sz w:val="22"/>
          <w:szCs w:val="22"/>
        </w:rPr>
        <w:t xml:space="preserve"> trug der Erweiterungsbau des Bundeskanzleramts – d</w:t>
      </w:r>
      <w:r w:rsidR="005F283A">
        <w:rPr>
          <w:rFonts w:ascii="Source Sans Pro" w:hAnsi="Source Sans Pro" w:cs="Source Sans Pro"/>
          <w:sz w:val="22"/>
          <w:szCs w:val="22"/>
        </w:rPr>
        <w:t>as</w:t>
      </w:r>
      <w:r w:rsidR="00AB0EF0">
        <w:rPr>
          <w:rFonts w:ascii="Source Sans Pro" w:hAnsi="Source Sans Pro" w:cs="Source Sans Pro"/>
          <w:sz w:val="22"/>
          <w:szCs w:val="22"/>
        </w:rPr>
        <w:t xml:space="preserve"> größte im 1. Quartal 2024 registrierte </w:t>
      </w:r>
      <w:r w:rsidR="005F283A">
        <w:rPr>
          <w:rFonts w:ascii="Source Sans Pro" w:hAnsi="Source Sans Pro" w:cs="Source Sans Pro"/>
          <w:sz w:val="22"/>
          <w:szCs w:val="22"/>
        </w:rPr>
        <w:t>Volumen</w:t>
      </w:r>
      <w:r w:rsidR="00AB0EF0">
        <w:rPr>
          <w:rFonts w:ascii="Source Sans Pro" w:hAnsi="Source Sans Pro" w:cs="Source Sans Pro"/>
          <w:sz w:val="22"/>
          <w:szCs w:val="22"/>
        </w:rPr>
        <w:t xml:space="preserve"> – mit 48.000 m² knapp die Hälfte bei.</w:t>
      </w:r>
    </w:p>
    <w:p w14:paraId="0A209E7B" w14:textId="77777777" w:rsidR="006923BE" w:rsidRDefault="006923BE" w:rsidP="006923BE">
      <w:pPr>
        <w:pStyle w:val="EinfAbs"/>
        <w:tabs>
          <w:tab w:val="left" w:pos="200"/>
        </w:tabs>
        <w:snapToGrid w:val="0"/>
        <w:spacing w:line="280" w:lineRule="exact"/>
        <w:ind w:left="349"/>
        <w:jc w:val="both"/>
        <w:rPr>
          <w:rFonts w:ascii="Source Sans Pro" w:hAnsi="Source Sans Pro" w:cs="Source Sans Pro"/>
          <w:sz w:val="22"/>
          <w:szCs w:val="22"/>
        </w:rPr>
      </w:pPr>
    </w:p>
    <w:p w14:paraId="67483A5E" w14:textId="4E810FD8" w:rsidR="009D2836" w:rsidRDefault="00E72EE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9B0C09">
        <w:rPr>
          <w:rFonts w:ascii="Source Sans Pro" w:hAnsi="Source Sans Pro" w:cs="Source Sans Pro"/>
          <w:b/>
          <w:bCs/>
          <w:sz w:val="22"/>
          <w:szCs w:val="22"/>
        </w:rPr>
        <w:t>Holzwarth</w:t>
      </w:r>
      <w:r>
        <w:rPr>
          <w:rFonts w:ascii="Source Sans Pro" w:hAnsi="Source Sans Pro" w:cs="Source Sans Pro"/>
          <w:sz w:val="22"/>
          <w:szCs w:val="22"/>
        </w:rPr>
        <w:t xml:space="preserve">: 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 xml:space="preserve">„Der Markt </w:t>
      </w:r>
      <w:r>
        <w:rPr>
          <w:rFonts w:ascii="Source Sans Pro" w:hAnsi="Source Sans Pro" w:cs="Source Sans Pro"/>
          <w:i/>
          <w:iCs/>
          <w:sz w:val="22"/>
          <w:szCs w:val="22"/>
        </w:rPr>
        <w:t>spaltet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 xml:space="preserve"> sich</w:t>
      </w:r>
      <w:r>
        <w:rPr>
          <w:rFonts w:ascii="Source Sans Pro" w:hAnsi="Source Sans Pro" w:cs="Source Sans Pro"/>
          <w:i/>
          <w:iCs/>
          <w:sz w:val="22"/>
          <w:szCs w:val="22"/>
        </w:rPr>
        <w:t xml:space="preserve"> zunehmend auf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>: Die Leerstände konzentrieren sich in dezentralen</w:t>
      </w:r>
      <w:r w:rsidR="006724DF">
        <w:rPr>
          <w:rFonts w:ascii="Source Sans Pro" w:hAnsi="Source Sans Pro" w:cs="Source Sans Pro"/>
          <w:i/>
          <w:iCs/>
          <w:sz w:val="22"/>
          <w:szCs w:val="22"/>
        </w:rPr>
        <w:t xml:space="preserve"> Lagen</w:t>
      </w:r>
      <w:r>
        <w:rPr>
          <w:rFonts w:ascii="Source Sans Pro" w:hAnsi="Source Sans Pro" w:cs="Source Sans Pro"/>
          <w:i/>
          <w:iCs/>
          <w:sz w:val="22"/>
          <w:szCs w:val="22"/>
        </w:rPr>
        <w:t xml:space="preserve"> und unzeitgemäßen Bestandsgebäuden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>, während es in zentralen Lagen</w:t>
      </w:r>
      <w:r>
        <w:rPr>
          <w:rFonts w:ascii="Source Sans Pro" w:hAnsi="Source Sans Pro" w:cs="Source Sans Pro"/>
          <w:i/>
          <w:iCs/>
          <w:sz w:val="22"/>
          <w:szCs w:val="22"/>
        </w:rPr>
        <w:t xml:space="preserve"> und hochwertigen Flächen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>
        <w:rPr>
          <w:rFonts w:ascii="Source Sans Pro" w:hAnsi="Source Sans Pro" w:cs="Source Sans Pro"/>
          <w:i/>
          <w:iCs/>
          <w:sz w:val="22"/>
          <w:szCs w:val="22"/>
        </w:rPr>
        <w:t>kaum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>
        <w:rPr>
          <w:rFonts w:ascii="Source Sans Pro" w:hAnsi="Source Sans Pro" w:cs="Source Sans Pro"/>
          <w:i/>
          <w:iCs/>
          <w:sz w:val="22"/>
          <w:szCs w:val="22"/>
        </w:rPr>
        <w:t>V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>erfügbar</w:t>
      </w:r>
      <w:r>
        <w:rPr>
          <w:rFonts w:ascii="Source Sans Pro" w:hAnsi="Source Sans Pro" w:cs="Source Sans Pro"/>
          <w:i/>
          <w:iCs/>
          <w:sz w:val="22"/>
          <w:szCs w:val="22"/>
        </w:rPr>
        <w:t>keiten</w:t>
      </w:r>
      <w:r w:rsidR="005F283A" w:rsidRPr="009B0C09">
        <w:rPr>
          <w:rFonts w:ascii="Source Sans Pro" w:hAnsi="Source Sans Pro" w:cs="Source Sans Pro"/>
          <w:i/>
          <w:iCs/>
          <w:sz w:val="22"/>
          <w:szCs w:val="22"/>
        </w:rPr>
        <w:t xml:space="preserve"> gibt.</w:t>
      </w:r>
      <w:r w:rsidR="006D2DAE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Pr="00A908E3">
        <w:rPr>
          <w:rFonts w:ascii="Source Sans Pro" w:hAnsi="Source Sans Pro" w:cs="Source Sans Pro"/>
          <w:i/>
          <w:iCs/>
          <w:sz w:val="22"/>
          <w:szCs w:val="22"/>
        </w:rPr>
        <w:t xml:space="preserve">Das lässt sich auch </w:t>
      </w:r>
      <w:r w:rsidR="00A908E3" w:rsidRPr="00A908E3">
        <w:rPr>
          <w:rFonts w:ascii="Source Sans Pro" w:hAnsi="Source Sans Pro" w:cs="Source Sans Pro"/>
          <w:i/>
          <w:iCs/>
          <w:sz w:val="22"/>
          <w:szCs w:val="22"/>
        </w:rPr>
        <w:t xml:space="preserve">in </w:t>
      </w:r>
      <w:r w:rsidRPr="00A908E3">
        <w:rPr>
          <w:rFonts w:ascii="Source Sans Pro" w:hAnsi="Source Sans Pro" w:cs="Source Sans Pro"/>
          <w:i/>
          <w:iCs/>
          <w:sz w:val="22"/>
          <w:szCs w:val="22"/>
        </w:rPr>
        <w:t xml:space="preserve">der Mietentwicklung ablesen: 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>Die</w:t>
      </w:r>
      <w:r w:rsidRPr="00A908E3">
        <w:rPr>
          <w:rFonts w:ascii="Source Sans Pro" w:hAnsi="Source Sans Pro" w:cs="Source Sans Pro"/>
          <w:i/>
          <w:iCs/>
          <w:sz w:val="22"/>
          <w:szCs w:val="22"/>
        </w:rPr>
        <w:t xml:space="preserve"> Spitzenmieten 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 xml:space="preserve">entwickeln sich tendenziell </w:t>
      </w:r>
      <w:r w:rsidRPr="00A908E3">
        <w:rPr>
          <w:rFonts w:ascii="Source Sans Pro" w:hAnsi="Source Sans Pro" w:cs="Source Sans Pro"/>
          <w:i/>
          <w:iCs/>
          <w:sz w:val="22"/>
          <w:szCs w:val="22"/>
        </w:rPr>
        <w:t xml:space="preserve">nach oben, 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 xml:space="preserve">die </w:t>
      </w:r>
      <w:r w:rsidRPr="00A908E3">
        <w:rPr>
          <w:rFonts w:ascii="Source Sans Pro" w:hAnsi="Source Sans Pro" w:cs="Source Sans Pro"/>
          <w:i/>
          <w:iCs/>
          <w:sz w:val="22"/>
          <w:szCs w:val="22"/>
        </w:rPr>
        <w:t>Durchschnittsmieten nach unten.</w:t>
      </w:r>
      <w:r w:rsidR="00A908E3" w:rsidRPr="00A908E3">
        <w:rPr>
          <w:rFonts w:ascii="Source Sans Pro" w:hAnsi="Source Sans Pro" w:cs="Source Sans Pro"/>
          <w:i/>
          <w:iCs/>
          <w:sz w:val="22"/>
          <w:szCs w:val="22"/>
        </w:rPr>
        <w:t>“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A908E3">
        <w:rPr>
          <w:rFonts w:ascii="Source Sans Pro" w:hAnsi="Source Sans Pro" w:cs="Source Sans Pro"/>
          <w:sz w:val="22"/>
          <w:szCs w:val="22"/>
        </w:rPr>
        <w:t xml:space="preserve">Für 2024 erwartet GPP eher zurückhaltende Marktakteure und ein ähnliches Ergebnis wie 2023. </w:t>
      </w:r>
      <w:r w:rsidR="006724DF" w:rsidRPr="009D2836">
        <w:rPr>
          <w:rFonts w:ascii="Source Sans Pro" w:hAnsi="Source Sans Pro" w:cs="Source Sans Pro"/>
          <w:i/>
          <w:iCs/>
          <w:sz w:val="22"/>
          <w:szCs w:val="22"/>
        </w:rPr>
        <w:t xml:space="preserve">„Sollte die jüngst </w:t>
      </w:r>
      <w:r w:rsidR="009D2836" w:rsidRPr="009D2836">
        <w:rPr>
          <w:rFonts w:ascii="Source Sans Pro" w:hAnsi="Source Sans Pro" w:cs="Source Sans Pro"/>
          <w:i/>
          <w:iCs/>
          <w:sz w:val="22"/>
          <w:szCs w:val="22"/>
        </w:rPr>
        <w:t xml:space="preserve">in </w:t>
      </w:r>
      <w:r w:rsidR="00C43F46">
        <w:rPr>
          <w:rFonts w:ascii="Source Sans Pro" w:hAnsi="Source Sans Pro" w:cs="Source Sans Pro"/>
          <w:i/>
          <w:iCs/>
          <w:sz w:val="22"/>
          <w:szCs w:val="22"/>
        </w:rPr>
        <w:t>verschiedenen Studien und Indizes</w:t>
      </w:r>
      <w:r w:rsidR="009D2836" w:rsidRPr="009D2836">
        <w:rPr>
          <w:rFonts w:ascii="Source Sans Pro" w:hAnsi="Source Sans Pro" w:cs="Source Sans Pro"/>
          <w:i/>
          <w:iCs/>
          <w:sz w:val="22"/>
          <w:szCs w:val="22"/>
        </w:rPr>
        <w:t xml:space="preserve"> attestierte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>,</w:t>
      </w:r>
      <w:r w:rsidR="009D2836" w:rsidRPr="009D2836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 xml:space="preserve">sich </w:t>
      </w:r>
      <w:r w:rsidR="009D2836" w:rsidRPr="009D2836">
        <w:rPr>
          <w:rFonts w:ascii="Source Sans Pro" w:hAnsi="Source Sans Pro" w:cs="Source Sans Pro"/>
          <w:i/>
          <w:iCs/>
          <w:sz w:val="22"/>
          <w:szCs w:val="22"/>
        </w:rPr>
        <w:t>leicht aufhelle</w:t>
      </w:r>
      <w:r w:rsidR="009D2836">
        <w:rPr>
          <w:rFonts w:ascii="Source Sans Pro" w:hAnsi="Source Sans Pro" w:cs="Source Sans Pro"/>
          <w:i/>
          <w:iCs/>
          <w:sz w:val="22"/>
          <w:szCs w:val="22"/>
        </w:rPr>
        <w:t>nde</w:t>
      </w:r>
      <w:r w:rsidR="009D2836" w:rsidRPr="009D2836">
        <w:rPr>
          <w:rFonts w:ascii="Source Sans Pro" w:hAnsi="Source Sans Pro" w:cs="Source Sans Pro"/>
          <w:i/>
          <w:iCs/>
          <w:sz w:val="22"/>
          <w:szCs w:val="22"/>
        </w:rPr>
        <w:t xml:space="preserve"> Stimmung in der deutschen Wirtschaft anhalten, könnte das Ergebnis auch etwas darüber liegen.“</w:t>
      </w:r>
    </w:p>
    <w:p w14:paraId="27CE6C9D" w14:textId="77777777" w:rsidR="009D2836" w:rsidRDefault="009D2836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60626A9C" w14:textId="58F41B76" w:rsidR="00790528" w:rsidRDefault="009B0C09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Zu German Property Partners gehören </w:t>
      </w:r>
      <w:r w:rsidR="00977A0F" w:rsidRPr="00977A0F">
        <w:rPr>
          <w:rFonts w:ascii="Source Sans Pro" w:hAnsi="Source Sans Pro" w:cs="Source Sans Pro"/>
          <w:sz w:val="22"/>
          <w:szCs w:val="22"/>
        </w:rPr>
        <w:t>Grossmann &amp; Berger</w:t>
      </w:r>
      <w:r w:rsidR="009D1C7A">
        <w:rPr>
          <w:rFonts w:ascii="Source Sans Pro" w:hAnsi="Source Sans Pro" w:cs="Source Sans Pro"/>
          <w:sz w:val="22"/>
          <w:szCs w:val="22"/>
        </w:rPr>
        <w:t xml:space="preserve"> Immobilien</w:t>
      </w:r>
      <w:r w:rsidR="00977A0F" w:rsidRPr="00977A0F">
        <w:rPr>
          <w:rFonts w:ascii="Source Sans Pro" w:hAnsi="Source Sans Pro" w:cs="Source Sans Pro"/>
          <w:sz w:val="22"/>
          <w:szCs w:val="22"/>
        </w:rPr>
        <w:t xml:space="preserve">, </w:t>
      </w:r>
      <w:proofErr w:type="spellStart"/>
      <w:r w:rsidR="00977A0F" w:rsidRPr="00977A0F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="00977A0F" w:rsidRPr="00977A0F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="00977A0F" w:rsidRPr="00977A0F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="00977A0F" w:rsidRPr="00977A0F">
        <w:rPr>
          <w:rFonts w:ascii="Source Sans Pro" w:hAnsi="Source Sans Pro" w:cs="Source Sans Pro"/>
          <w:sz w:val="22"/>
          <w:szCs w:val="22"/>
        </w:rPr>
        <w:t xml:space="preserve"> und E &amp; G Real Estate</w:t>
      </w:r>
      <w:r w:rsidR="00977A0F">
        <w:rPr>
          <w:rFonts w:ascii="Source Sans Pro" w:hAnsi="Source Sans Pro" w:cs="Source Sans Pro"/>
          <w:sz w:val="22"/>
          <w:szCs w:val="22"/>
        </w:rPr>
        <w:t>.</w:t>
      </w:r>
      <w:r w:rsidR="009C51BD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3A7CE265" w14:textId="77777777" w:rsidR="00B7165E" w:rsidRPr="00C0282D" w:rsidRDefault="00B7165E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 w:rsidRPr="00C0282D">
        <w:rPr>
          <w:rFonts w:ascii="Source Sans Pro" w:hAnsi="Source Sans Pro" w:cs="Arial"/>
          <w:b/>
          <w:sz w:val="20"/>
        </w:rPr>
        <w:br w:type="page"/>
      </w:r>
    </w:p>
    <w:p w14:paraId="4B65132D" w14:textId="68F92E94" w:rsidR="00915F18" w:rsidRPr="0051046D" w:rsidRDefault="00915F18" w:rsidP="00915F18">
      <w:pPr>
        <w:rPr>
          <w:rFonts w:ascii="Source Sans Pro" w:hAnsi="Source Sans Pro" w:cs="Arial"/>
          <w:sz w:val="16"/>
          <w:szCs w:val="16"/>
          <w:lang w:val="en-GB"/>
        </w:rPr>
      </w:pPr>
      <w:r w:rsidRPr="0051046D">
        <w:rPr>
          <w:rFonts w:ascii="Source Sans Pro" w:hAnsi="Source Sans Pro" w:cs="Arial"/>
          <w:b/>
          <w:sz w:val="20"/>
          <w:lang w:val="en-GB"/>
        </w:rPr>
        <w:lastRenderedPageBreak/>
        <w:t>Top-7-Standorte | 1. Quartal 202</w:t>
      </w:r>
      <w:r>
        <w:rPr>
          <w:rFonts w:ascii="Source Sans Pro" w:hAnsi="Source Sans Pro" w:cs="Arial"/>
          <w:b/>
          <w:sz w:val="20"/>
          <w:lang w:val="en-GB"/>
        </w:rPr>
        <w:t>4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915F18" w:rsidRPr="0051046D" w14:paraId="4CC25B8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F9D736B" w14:textId="77777777" w:rsidR="00915F18" w:rsidRPr="0051046D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5661DA6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0304E8CE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6E63E79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09B7C9D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6AC7535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7BD4EB59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32559EC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2" w:type="pct"/>
            <w:vAlign w:val="center"/>
          </w:tcPr>
          <w:p w14:paraId="19B841D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</w:p>
        </w:tc>
      </w:tr>
      <w:tr w:rsidR="00915F18" w:rsidRPr="004A2D54" w14:paraId="33EE787C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73EFB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15504A6" w14:textId="3782A5F8" w:rsidR="00915F18" w:rsidRPr="001A08CF" w:rsidRDefault="00E131B0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85</w:t>
            </w:r>
            <w:r w:rsidR="00915F18" w:rsidRPr="001A08CF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55A02693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  <w:u w:val="single"/>
              </w:rPr>
              <w:t>147.000</w:t>
            </w:r>
          </w:p>
        </w:tc>
        <w:tc>
          <w:tcPr>
            <w:tcW w:w="502" w:type="pct"/>
            <w:vAlign w:val="center"/>
          </w:tcPr>
          <w:p w14:paraId="7BF4C02C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53.600</w:t>
            </w:r>
          </w:p>
        </w:tc>
        <w:tc>
          <w:tcPr>
            <w:tcW w:w="502" w:type="pct"/>
            <w:vAlign w:val="center"/>
          </w:tcPr>
          <w:p w14:paraId="777D51F7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32.000</w:t>
            </w:r>
          </w:p>
        </w:tc>
        <w:tc>
          <w:tcPr>
            <w:tcW w:w="502" w:type="pct"/>
            <w:vAlign w:val="center"/>
          </w:tcPr>
          <w:p w14:paraId="1DBE65D9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95.800</w:t>
            </w:r>
          </w:p>
        </w:tc>
        <w:tc>
          <w:tcPr>
            <w:tcW w:w="502" w:type="pct"/>
            <w:vAlign w:val="center"/>
          </w:tcPr>
          <w:p w14:paraId="2C55E5B6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60.000</w:t>
            </w:r>
          </w:p>
        </w:tc>
        <w:tc>
          <w:tcPr>
            <w:tcW w:w="502" w:type="pct"/>
            <w:vAlign w:val="center"/>
          </w:tcPr>
          <w:p w14:paraId="765A5393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139.000</w:t>
            </w:r>
          </w:p>
        </w:tc>
        <w:tc>
          <w:tcPr>
            <w:tcW w:w="502" w:type="pct"/>
            <w:vAlign w:val="center"/>
          </w:tcPr>
          <w:p w14:paraId="02453427" w14:textId="393C7F84" w:rsidR="00915F18" w:rsidRPr="001A08CF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61</w:t>
            </w:r>
            <w:r w:rsidR="00E131B0">
              <w:rPr>
                <w:rFonts w:ascii="Source Sans Pro" w:hAnsi="Source Sans Pro" w:cs="Arial"/>
                <w:b/>
                <w:sz w:val="16"/>
                <w:szCs w:val="16"/>
              </w:rPr>
              <w:t>2</w:t>
            </w: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.400</w:t>
            </w:r>
          </w:p>
        </w:tc>
      </w:tr>
      <w:tr w:rsidR="00915F18" w:rsidRPr="004A2D54" w14:paraId="755ADB56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E910F5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6AACC20B" w14:textId="4C800FE8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-1</w:t>
            </w:r>
            <w:r w:rsidR="00C43F46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009D1976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+18</w:t>
            </w:r>
          </w:p>
        </w:tc>
        <w:tc>
          <w:tcPr>
            <w:tcW w:w="502" w:type="pct"/>
            <w:vAlign w:val="center"/>
          </w:tcPr>
          <w:p w14:paraId="25E661D7" w14:textId="68D092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+</w:t>
            </w:r>
            <w:r w:rsidR="00E72EE7">
              <w:rPr>
                <w:rFonts w:ascii="Source Sans Pro" w:hAnsi="Source Sans Pro" w:cs="Arial"/>
                <w:sz w:val="16"/>
                <w:szCs w:val="16"/>
              </w:rPr>
              <w:t>12</w:t>
            </w:r>
          </w:p>
        </w:tc>
        <w:tc>
          <w:tcPr>
            <w:tcW w:w="502" w:type="pct"/>
            <w:vAlign w:val="center"/>
          </w:tcPr>
          <w:p w14:paraId="124441C3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-33</w:t>
            </w:r>
          </w:p>
        </w:tc>
        <w:tc>
          <w:tcPr>
            <w:tcW w:w="502" w:type="pct"/>
            <w:vAlign w:val="center"/>
          </w:tcPr>
          <w:p w14:paraId="5F9B8DD9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+2</w:t>
            </w:r>
          </w:p>
        </w:tc>
        <w:tc>
          <w:tcPr>
            <w:tcW w:w="502" w:type="pct"/>
            <w:vAlign w:val="center"/>
          </w:tcPr>
          <w:p w14:paraId="6D9DA245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  <w:u w:val="single"/>
              </w:rPr>
              <w:t>+54</w:t>
            </w:r>
          </w:p>
        </w:tc>
        <w:tc>
          <w:tcPr>
            <w:tcW w:w="502" w:type="pct"/>
            <w:vAlign w:val="center"/>
          </w:tcPr>
          <w:p w14:paraId="536730E5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+36</w:t>
            </w:r>
          </w:p>
        </w:tc>
        <w:tc>
          <w:tcPr>
            <w:tcW w:w="502" w:type="pct"/>
            <w:vAlign w:val="center"/>
          </w:tcPr>
          <w:p w14:paraId="38CB9689" w14:textId="67C82AF2" w:rsidR="00915F18" w:rsidRPr="001A08CF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+</w:t>
            </w:r>
            <w:r w:rsidR="00C43F46">
              <w:rPr>
                <w:rFonts w:ascii="Source Sans Pro" w:hAnsi="Source Sans Pro" w:cs="Arial"/>
                <w:b/>
                <w:sz w:val="16"/>
                <w:szCs w:val="16"/>
              </w:rPr>
              <w:t>9</w:t>
            </w:r>
          </w:p>
        </w:tc>
      </w:tr>
      <w:tr w:rsidR="00915F18" w:rsidRPr="004A2D54" w14:paraId="64587270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99D5CB7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013E7DF7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34,50</w:t>
            </w:r>
          </w:p>
        </w:tc>
        <w:tc>
          <w:tcPr>
            <w:tcW w:w="502" w:type="pct"/>
            <w:vAlign w:val="center"/>
          </w:tcPr>
          <w:p w14:paraId="557316EA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44,30</w:t>
            </w:r>
          </w:p>
        </w:tc>
        <w:tc>
          <w:tcPr>
            <w:tcW w:w="502" w:type="pct"/>
            <w:vAlign w:val="center"/>
          </w:tcPr>
          <w:p w14:paraId="3B42F2F7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42,10</w:t>
            </w:r>
          </w:p>
        </w:tc>
        <w:tc>
          <w:tcPr>
            <w:tcW w:w="502" w:type="pct"/>
            <w:vAlign w:val="center"/>
          </w:tcPr>
          <w:p w14:paraId="126FB883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33,00</w:t>
            </w:r>
          </w:p>
        </w:tc>
        <w:tc>
          <w:tcPr>
            <w:tcW w:w="502" w:type="pct"/>
            <w:vAlign w:val="center"/>
          </w:tcPr>
          <w:p w14:paraId="630637B4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47,00</w:t>
            </w:r>
          </w:p>
        </w:tc>
        <w:tc>
          <w:tcPr>
            <w:tcW w:w="502" w:type="pct"/>
            <w:vAlign w:val="center"/>
          </w:tcPr>
          <w:p w14:paraId="0093E47D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35,00</w:t>
            </w:r>
          </w:p>
        </w:tc>
        <w:tc>
          <w:tcPr>
            <w:tcW w:w="502" w:type="pct"/>
            <w:vAlign w:val="center"/>
          </w:tcPr>
          <w:p w14:paraId="44B138B2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  <w:u w:val="single"/>
              </w:rPr>
              <w:t>51,20</w:t>
            </w:r>
          </w:p>
        </w:tc>
        <w:tc>
          <w:tcPr>
            <w:tcW w:w="502" w:type="pct"/>
            <w:vAlign w:val="center"/>
          </w:tcPr>
          <w:p w14:paraId="5DD8E1BA" w14:textId="77777777" w:rsidR="00915F18" w:rsidRPr="001A08CF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45D9C2A2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02B12AC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E27F8E8" w14:textId="09DC0D2D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20,</w:t>
            </w:r>
            <w:r w:rsidR="00E131B0">
              <w:rPr>
                <w:rFonts w:ascii="Source Sans Pro" w:hAnsi="Source Sans Pro" w:cs="Arial"/>
                <w:sz w:val="16"/>
                <w:szCs w:val="16"/>
              </w:rPr>
              <w:t>90</w:t>
            </w:r>
          </w:p>
        </w:tc>
        <w:tc>
          <w:tcPr>
            <w:tcW w:w="502" w:type="pct"/>
            <w:vAlign w:val="center"/>
          </w:tcPr>
          <w:p w14:paraId="1E84A2F1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  <w:u w:val="single"/>
              </w:rPr>
              <w:t>29,60</w:t>
            </w:r>
          </w:p>
        </w:tc>
        <w:tc>
          <w:tcPr>
            <w:tcW w:w="502" w:type="pct"/>
            <w:vAlign w:val="center"/>
          </w:tcPr>
          <w:p w14:paraId="616BB60A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21,00</w:t>
            </w:r>
          </w:p>
        </w:tc>
        <w:tc>
          <w:tcPr>
            <w:tcW w:w="502" w:type="pct"/>
            <w:vAlign w:val="center"/>
          </w:tcPr>
          <w:p w14:paraId="7C338A33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18,60</w:t>
            </w:r>
          </w:p>
        </w:tc>
        <w:tc>
          <w:tcPr>
            <w:tcW w:w="502" w:type="pct"/>
            <w:vAlign w:val="center"/>
          </w:tcPr>
          <w:p w14:paraId="6049CE4C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25,00</w:t>
            </w:r>
          </w:p>
        </w:tc>
        <w:tc>
          <w:tcPr>
            <w:tcW w:w="502" w:type="pct"/>
            <w:vAlign w:val="center"/>
          </w:tcPr>
          <w:p w14:paraId="0A7C188C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19,00</w:t>
            </w:r>
          </w:p>
        </w:tc>
        <w:tc>
          <w:tcPr>
            <w:tcW w:w="502" w:type="pct"/>
            <w:vAlign w:val="center"/>
          </w:tcPr>
          <w:p w14:paraId="55C66BA7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26,00</w:t>
            </w:r>
          </w:p>
        </w:tc>
        <w:tc>
          <w:tcPr>
            <w:tcW w:w="502" w:type="pct"/>
            <w:vAlign w:val="center"/>
          </w:tcPr>
          <w:p w14:paraId="381CD9BC" w14:textId="77777777" w:rsidR="00915F18" w:rsidRPr="001A08CF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56DD2988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4E0CA9AD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720068FA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14,33</w:t>
            </w:r>
          </w:p>
        </w:tc>
        <w:tc>
          <w:tcPr>
            <w:tcW w:w="502" w:type="pct"/>
            <w:vAlign w:val="center"/>
          </w:tcPr>
          <w:p w14:paraId="14C8319D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21,50</w:t>
            </w:r>
          </w:p>
        </w:tc>
        <w:tc>
          <w:tcPr>
            <w:tcW w:w="502" w:type="pct"/>
            <w:vAlign w:val="center"/>
          </w:tcPr>
          <w:p w14:paraId="5F241200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7,52</w:t>
            </w:r>
          </w:p>
        </w:tc>
        <w:tc>
          <w:tcPr>
            <w:tcW w:w="502" w:type="pct"/>
            <w:vAlign w:val="center"/>
          </w:tcPr>
          <w:p w14:paraId="05D36C29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8,15</w:t>
            </w:r>
          </w:p>
        </w:tc>
        <w:tc>
          <w:tcPr>
            <w:tcW w:w="502" w:type="pct"/>
            <w:vAlign w:val="center"/>
          </w:tcPr>
          <w:p w14:paraId="1AE9126D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11,67</w:t>
            </w:r>
          </w:p>
        </w:tc>
        <w:tc>
          <w:tcPr>
            <w:tcW w:w="502" w:type="pct"/>
            <w:vAlign w:val="center"/>
          </w:tcPr>
          <w:p w14:paraId="7A74958B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</w:rPr>
              <w:t>8,49</w:t>
            </w:r>
          </w:p>
        </w:tc>
        <w:tc>
          <w:tcPr>
            <w:tcW w:w="502" w:type="pct"/>
            <w:vAlign w:val="center"/>
          </w:tcPr>
          <w:p w14:paraId="6599ED4E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A08CF">
              <w:rPr>
                <w:rFonts w:ascii="Source Sans Pro" w:hAnsi="Source Sans Pro" w:cs="Arial"/>
                <w:sz w:val="16"/>
                <w:szCs w:val="16"/>
                <w:u w:val="single"/>
              </w:rPr>
              <w:t>23,50</w:t>
            </w:r>
          </w:p>
        </w:tc>
        <w:tc>
          <w:tcPr>
            <w:tcW w:w="502" w:type="pct"/>
            <w:vAlign w:val="center"/>
          </w:tcPr>
          <w:p w14:paraId="5D31B442" w14:textId="77777777" w:rsidR="00915F18" w:rsidRPr="001A08CF" w:rsidRDefault="00915F18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1A08CF">
              <w:rPr>
                <w:rFonts w:ascii="Source Sans Pro" w:hAnsi="Source Sans Pro" w:cs="Arial"/>
                <w:b/>
                <w:sz w:val="16"/>
                <w:szCs w:val="16"/>
              </w:rPr>
              <w:t>95,16</w:t>
            </w:r>
          </w:p>
        </w:tc>
      </w:tr>
      <w:tr w:rsidR="00915F18" w:rsidRPr="004A2D54" w14:paraId="20451C59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D8F334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79AF01B5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689.900</w:t>
            </w:r>
          </w:p>
        </w:tc>
        <w:tc>
          <w:tcPr>
            <w:tcW w:w="502" w:type="pct"/>
            <w:vAlign w:val="center"/>
          </w:tcPr>
          <w:p w14:paraId="49E17191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1.230.000</w:t>
            </w:r>
          </w:p>
        </w:tc>
        <w:tc>
          <w:tcPr>
            <w:tcW w:w="502" w:type="pct"/>
            <w:vAlign w:val="center"/>
          </w:tcPr>
          <w:p w14:paraId="68CEA868" w14:textId="088E6B20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="00E72EE7">
              <w:rPr>
                <w:rFonts w:ascii="Source Sans Pro" w:hAnsi="Source Sans Pro" w:cs="Arial"/>
                <w:sz w:val="16"/>
                <w:szCs w:val="16"/>
              </w:rPr>
              <w:t>56</w:t>
            </w:r>
            <w:r w:rsidRPr="00B84498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="00E72EE7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B84498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502" w:type="pct"/>
            <w:vAlign w:val="center"/>
          </w:tcPr>
          <w:p w14:paraId="5B1F8ABA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290.000</w:t>
            </w:r>
          </w:p>
        </w:tc>
        <w:tc>
          <w:tcPr>
            <w:tcW w:w="502" w:type="pct"/>
            <w:vAlign w:val="center"/>
          </w:tcPr>
          <w:p w14:paraId="6419DF74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1.193.200</w:t>
            </w:r>
          </w:p>
        </w:tc>
        <w:tc>
          <w:tcPr>
            <w:tcW w:w="502" w:type="pct"/>
            <w:vAlign w:val="center"/>
          </w:tcPr>
          <w:p w14:paraId="4F9E55D5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412.000</w:t>
            </w:r>
          </w:p>
        </w:tc>
        <w:tc>
          <w:tcPr>
            <w:tcW w:w="502" w:type="pct"/>
            <w:vAlign w:val="center"/>
          </w:tcPr>
          <w:p w14:paraId="084FAD6A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  <w:u w:val="single"/>
              </w:rPr>
              <w:t>1.621.500</w:t>
            </w:r>
          </w:p>
        </w:tc>
        <w:tc>
          <w:tcPr>
            <w:tcW w:w="502" w:type="pct"/>
            <w:vAlign w:val="center"/>
          </w:tcPr>
          <w:p w14:paraId="73BC7799" w14:textId="28DDF50A" w:rsidR="00915F18" w:rsidRPr="00B84498" w:rsidRDefault="00915F18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b/>
                <w:sz w:val="16"/>
                <w:szCs w:val="16"/>
              </w:rPr>
              <w:t>6.202.</w:t>
            </w:r>
            <w:r w:rsidR="00E131B0">
              <w:rPr>
                <w:rFonts w:ascii="Source Sans Pro" w:hAnsi="Source Sans Pro" w:cs="Arial"/>
                <w:b/>
                <w:sz w:val="16"/>
                <w:szCs w:val="16"/>
              </w:rPr>
              <w:t>2</w:t>
            </w:r>
            <w:r w:rsidRPr="00B84498">
              <w:rPr>
                <w:rFonts w:ascii="Source Sans Pro" w:hAnsi="Source Sans Pro" w:cs="Arial"/>
                <w:b/>
                <w:sz w:val="16"/>
                <w:szCs w:val="16"/>
              </w:rPr>
              <w:t>00</w:t>
            </w:r>
          </w:p>
        </w:tc>
      </w:tr>
      <w:tr w:rsidR="00915F18" w:rsidRPr="004A2D54" w14:paraId="5D9FE5BB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165D4E3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Leerstandsrate</w:t>
            </w:r>
            <w:proofErr w:type="spellEnd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148F2DB7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4,9</w:t>
            </w:r>
          </w:p>
        </w:tc>
        <w:tc>
          <w:tcPr>
            <w:tcW w:w="502" w:type="pct"/>
            <w:vAlign w:val="center"/>
          </w:tcPr>
          <w:p w14:paraId="53D977C2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5,7</w:t>
            </w:r>
          </w:p>
        </w:tc>
        <w:tc>
          <w:tcPr>
            <w:tcW w:w="502" w:type="pct"/>
            <w:vAlign w:val="center"/>
          </w:tcPr>
          <w:p w14:paraId="58D422BE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10,1</w:t>
            </w:r>
          </w:p>
        </w:tc>
        <w:tc>
          <w:tcPr>
            <w:tcW w:w="502" w:type="pct"/>
            <w:vAlign w:val="center"/>
          </w:tcPr>
          <w:p w14:paraId="5D45C7FC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3,6</w:t>
            </w:r>
          </w:p>
        </w:tc>
        <w:tc>
          <w:tcPr>
            <w:tcW w:w="502" w:type="pct"/>
            <w:vAlign w:val="center"/>
          </w:tcPr>
          <w:p w14:paraId="5915FD24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  <w:u w:val="single"/>
              </w:rPr>
              <w:t>10,2</w:t>
            </w:r>
          </w:p>
        </w:tc>
        <w:tc>
          <w:tcPr>
            <w:tcW w:w="502" w:type="pct"/>
            <w:vAlign w:val="center"/>
          </w:tcPr>
          <w:p w14:paraId="3B9D2BD0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4,9</w:t>
            </w:r>
          </w:p>
        </w:tc>
        <w:tc>
          <w:tcPr>
            <w:tcW w:w="502" w:type="pct"/>
            <w:vAlign w:val="center"/>
          </w:tcPr>
          <w:p w14:paraId="17A6AD52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6,9</w:t>
            </w:r>
          </w:p>
        </w:tc>
        <w:tc>
          <w:tcPr>
            <w:tcW w:w="502" w:type="pct"/>
            <w:vAlign w:val="center"/>
          </w:tcPr>
          <w:p w14:paraId="7053E5B3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b/>
                <w:sz w:val="16"/>
                <w:szCs w:val="16"/>
              </w:rPr>
              <w:t>6,5</w:t>
            </w:r>
          </w:p>
        </w:tc>
      </w:tr>
      <w:tr w:rsidR="00915F18" w:rsidRPr="004A2D54" w14:paraId="017BC5A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A3D31B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2024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+ 2025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FE8E63A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381.000</w:t>
            </w:r>
          </w:p>
        </w:tc>
        <w:tc>
          <w:tcPr>
            <w:tcW w:w="502" w:type="pct"/>
            <w:vAlign w:val="center"/>
          </w:tcPr>
          <w:p w14:paraId="14D518C3" w14:textId="37B25151" w:rsidR="00915F18" w:rsidRPr="00B84498" w:rsidRDefault="00C43F46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910</w:t>
            </w:r>
            <w:r w:rsidR="00915F18" w:rsidRPr="00B84498">
              <w:rPr>
                <w:rFonts w:ascii="Source Sans Pro" w:hAnsi="Source Sans Pro" w:cs="Arial"/>
                <w:sz w:val="16"/>
                <w:szCs w:val="16"/>
                <w:u w:val="single"/>
              </w:rPr>
              <w:t>.000</w:t>
            </w:r>
          </w:p>
        </w:tc>
        <w:tc>
          <w:tcPr>
            <w:tcW w:w="502" w:type="pct"/>
            <w:vAlign w:val="center"/>
          </w:tcPr>
          <w:p w14:paraId="4E23B493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280.900</w:t>
            </w:r>
          </w:p>
        </w:tc>
        <w:tc>
          <w:tcPr>
            <w:tcW w:w="502" w:type="pct"/>
            <w:vAlign w:val="center"/>
          </w:tcPr>
          <w:p w14:paraId="4AD34D09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180.000</w:t>
            </w:r>
          </w:p>
        </w:tc>
        <w:tc>
          <w:tcPr>
            <w:tcW w:w="502" w:type="pct"/>
            <w:vAlign w:val="center"/>
          </w:tcPr>
          <w:p w14:paraId="273F1FBF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369.000</w:t>
            </w:r>
          </w:p>
        </w:tc>
        <w:tc>
          <w:tcPr>
            <w:tcW w:w="502" w:type="pct"/>
            <w:vAlign w:val="center"/>
          </w:tcPr>
          <w:p w14:paraId="3BB1B52F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158.100</w:t>
            </w:r>
          </w:p>
        </w:tc>
        <w:tc>
          <w:tcPr>
            <w:tcW w:w="502" w:type="pct"/>
            <w:vAlign w:val="center"/>
          </w:tcPr>
          <w:p w14:paraId="2B809AE6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630.000</w:t>
            </w:r>
          </w:p>
        </w:tc>
        <w:tc>
          <w:tcPr>
            <w:tcW w:w="502" w:type="pct"/>
            <w:vAlign w:val="center"/>
          </w:tcPr>
          <w:p w14:paraId="7FC346B0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b/>
                <w:sz w:val="16"/>
                <w:szCs w:val="16"/>
              </w:rPr>
              <w:t>2.840.000</w:t>
            </w:r>
          </w:p>
        </w:tc>
      </w:tr>
      <w:tr w:rsidR="00915F18" w:rsidRPr="004A2D54" w14:paraId="6AD0DB2A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045B3B85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2024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+ 2025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3B06FD3D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65</w:t>
            </w:r>
          </w:p>
        </w:tc>
        <w:tc>
          <w:tcPr>
            <w:tcW w:w="502" w:type="pct"/>
            <w:vAlign w:val="center"/>
          </w:tcPr>
          <w:p w14:paraId="162DDAAC" w14:textId="784E06F5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C43F46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Align w:val="center"/>
          </w:tcPr>
          <w:p w14:paraId="782AB3F9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48</w:t>
            </w:r>
          </w:p>
        </w:tc>
        <w:tc>
          <w:tcPr>
            <w:tcW w:w="502" w:type="pct"/>
            <w:vAlign w:val="center"/>
          </w:tcPr>
          <w:p w14:paraId="19476034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69</w:t>
            </w:r>
          </w:p>
        </w:tc>
        <w:tc>
          <w:tcPr>
            <w:tcW w:w="502" w:type="pct"/>
            <w:vAlign w:val="center"/>
          </w:tcPr>
          <w:p w14:paraId="62427165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42</w:t>
            </w:r>
          </w:p>
        </w:tc>
        <w:tc>
          <w:tcPr>
            <w:tcW w:w="502" w:type="pct"/>
            <w:vAlign w:val="center"/>
          </w:tcPr>
          <w:p w14:paraId="2A052CF9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</w:rPr>
              <w:t>25</w:t>
            </w:r>
          </w:p>
        </w:tc>
        <w:tc>
          <w:tcPr>
            <w:tcW w:w="502" w:type="pct"/>
            <w:vAlign w:val="center"/>
          </w:tcPr>
          <w:p w14:paraId="239B1AE9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84498">
              <w:rPr>
                <w:rFonts w:ascii="Source Sans Pro" w:hAnsi="Source Sans Pro" w:cs="Arial"/>
                <w:sz w:val="16"/>
                <w:szCs w:val="16"/>
                <w:u w:val="single"/>
              </w:rPr>
              <w:t>68</w:t>
            </w:r>
          </w:p>
        </w:tc>
        <w:tc>
          <w:tcPr>
            <w:tcW w:w="502" w:type="pct"/>
            <w:vAlign w:val="center"/>
          </w:tcPr>
          <w:p w14:paraId="106416F1" w14:textId="77777777" w:rsidR="00915F18" w:rsidRPr="00B84498" w:rsidRDefault="00915F1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84498">
              <w:rPr>
                <w:rFonts w:ascii="Source Sans Pro" w:hAnsi="Source Sans Pro" w:cs="Arial"/>
                <w:b/>
                <w:sz w:val="16"/>
                <w:szCs w:val="16"/>
              </w:rPr>
              <w:t>57</w:t>
            </w:r>
          </w:p>
        </w:tc>
      </w:tr>
    </w:tbl>
    <w:p w14:paraId="6974BC43" w14:textId="77777777" w:rsidR="00915F18" w:rsidRPr="004A2D54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3E6746A8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16416E31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700A8FF0" w14:textId="1F42D985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4A2D54" w:rsidRPr="004A2D54">
        <w:rPr>
          <w:rFonts w:ascii="Source Sans Pro" w:hAnsi="Source Sans Pro" w:cs="Arial"/>
          <w:b/>
          <w:sz w:val="20"/>
        </w:rPr>
        <w:t>.000 m² | Top-7-Standorte | 1. Quartal 202</w:t>
      </w:r>
      <w:r w:rsidR="00740EB7">
        <w:rPr>
          <w:rFonts w:ascii="Source Sans Pro" w:hAnsi="Source Sans Pro" w:cs="Arial"/>
          <w:b/>
          <w:sz w:val="20"/>
        </w:rPr>
        <w:t>4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967"/>
        <w:gridCol w:w="3587"/>
        <w:gridCol w:w="1023"/>
      </w:tblGrid>
      <w:tr w:rsidR="004A2D54" w:rsidRPr="004A2D54" w14:paraId="423F19E1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371F87" w:rsidRPr="004A2D54" w14:paraId="7E1E4C34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7D99BB28" w:rsidR="00371F8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7EFC6535" w:rsidR="00371F8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Erweiterungsbau, Willy-Brandt-Straße 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029C0930" w:rsidR="00371F8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Bundeskanzleramt </w:t>
            </w:r>
            <w:r w:rsidRPr="0021727D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330EE64C" w:rsidR="00371F8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48.000</w:t>
            </w:r>
          </w:p>
        </w:tc>
      </w:tr>
      <w:tr w:rsidR="004A2D54" w:rsidRPr="004A2D54" w14:paraId="1A9052A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414DA37B" w:rsidR="004A2D54" w:rsidRPr="00052B49" w:rsidRDefault="00B7165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3D9F459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„Galileo“, 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Gallusanlage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7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58C80264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EZB-Bankenaufsicht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32B2C7F2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36.800</w:t>
            </w:r>
          </w:p>
        </w:tc>
      </w:tr>
      <w:tr w:rsidR="001421F7" w:rsidRPr="004A2D54" w14:paraId="6D372F4A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6FE74733" w:rsidR="001421F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561427D2" w:rsidR="001421F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„X8“, Markgrafenstraße 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4319CEEA" w:rsidR="001421F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BImA für Bundesbauministerium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2E102AD1" w:rsidR="001421F7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25.000</w:t>
            </w:r>
          </w:p>
        </w:tc>
      </w:tr>
      <w:tr w:rsidR="009C7CAD" w:rsidRPr="004A2D54" w14:paraId="0BA6F12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1D5" w14:textId="3BB643A8" w:rsidR="009C7CAD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E34" w14:textId="592B59D9" w:rsidR="009C7CAD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„W2 Campus“, Am Wallgraben/Schockenriedstraße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3B65" w14:textId="0603775E" w:rsidR="009C7CAD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SSB Stuttgarter Straßenbahn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139" w14:textId="2DB634F0" w:rsidR="009C7CAD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14.500</w:t>
            </w:r>
          </w:p>
        </w:tc>
      </w:tr>
      <w:tr w:rsidR="008E25DF" w:rsidRPr="004A2D54" w14:paraId="305A4E35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1274" w14:textId="0BD7BC1F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E32" w14:textId="05654825" w:rsidR="008E25DF" w:rsidRP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8E25D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„Go four </w:t>
            </w:r>
            <w:proofErr w:type="gramStart"/>
            <w:r w:rsidRPr="008E25D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it“</w:t>
            </w:r>
            <w:proofErr w:type="gramEnd"/>
            <w:r w:rsidRPr="008E25D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, </w:t>
            </w:r>
            <w:r w:rsidRPr="006D2B6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Hanauer </w:t>
            </w:r>
            <w:proofErr w:type="spellStart"/>
            <w:r w:rsidRPr="006D2B6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Straße</w:t>
            </w:r>
            <w:proofErr w:type="spellEnd"/>
            <w:r w:rsidR="00C43F46" w:rsidRPr="006D2B6F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91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487" w14:textId="7C2CD8EE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DMG MORI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102" w14:textId="735C5568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10.000</w:t>
            </w:r>
          </w:p>
        </w:tc>
      </w:tr>
      <w:tr w:rsidR="004A2D54" w:rsidRPr="004A2D54" w14:paraId="026A2FAB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ADFC" w14:textId="470B3FB0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F0B" w14:textId="1EAE57D1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„Schlossgartenquartier“, Königstraße 1c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250" w14:textId="08A604FD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Land Baden-Württemberg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E52" w14:textId="6762FC04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10.000</w:t>
            </w:r>
          </w:p>
        </w:tc>
      </w:tr>
      <w:tr w:rsidR="004A2D54" w:rsidRPr="004A2D54" w14:paraId="49C3D06F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85C" w14:textId="27760BF9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5D5" w14:textId="272C0A22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Übergangsquartier, </w:t>
            </w: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Spreeweg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FC8" w14:textId="6A211A9C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BImA für Bundespräsidialamt </w:t>
            </w:r>
            <w:r w:rsidRPr="0021727D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B65D" w14:textId="2374A5D4" w:rsidR="004A2D54" w:rsidRP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10.000</w:t>
            </w:r>
          </w:p>
        </w:tc>
      </w:tr>
      <w:tr w:rsidR="00052B49" w:rsidRPr="004A2D54" w14:paraId="3D289B7B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CDFF" w14:textId="687A927A" w:rsid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739" w14:textId="38E4B2C5" w:rsid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„Le Coeur“, Königsallee 37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0BA6" w14:textId="546D7266" w:rsid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Noerr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642" w14:textId="2BEB891B" w:rsidR="00052B49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6.000</w:t>
            </w:r>
          </w:p>
        </w:tc>
      </w:tr>
      <w:tr w:rsidR="008E25DF" w:rsidRPr="004A2D54" w14:paraId="0EFC2DDC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4FF0" w14:textId="5D38BA1E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921D" w14:textId="5F702587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„Falckenberg Ensemble“, </w:t>
            </w:r>
            <w:r w:rsidRPr="006D2B6F">
              <w:rPr>
                <w:rFonts w:ascii="Source Sans Pro" w:hAnsi="Source Sans Pro" w:cs="Arial"/>
                <w:bCs/>
                <w:sz w:val="16"/>
                <w:szCs w:val="16"/>
              </w:rPr>
              <w:t>Neuturmstraße</w:t>
            </w:r>
            <w:r w:rsidR="00C43F46" w:rsidRPr="006D2B6F">
              <w:rPr>
                <w:rFonts w:ascii="Source Sans Pro" w:hAnsi="Source Sans Pro" w:cs="Arial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39E8" w14:textId="78E5904E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</w:rPr>
              <w:t>Milbank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D1" w14:textId="309AD552" w:rsidR="008E25DF" w:rsidRDefault="008E25DF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5.800</w:t>
            </w:r>
          </w:p>
        </w:tc>
      </w:tr>
    </w:tbl>
    <w:p w14:paraId="444FE02E" w14:textId="1EF8693E" w:rsidR="004A2D54" w:rsidRPr="004A2D54" w:rsidRDefault="00052B49" w:rsidP="004A2D5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sz w:val="16"/>
          <w:szCs w:val="16"/>
          <w:lang w:val="en-GB"/>
        </w:rPr>
        <w:t>Q</w:t>
      </w:r>
      <w:r w:rsidR="004A2D54" w:rsidRPr="0051046D">
        <w:rPr>
          <w:rFonts w:ascii="Source Sans Pro" w:hAnsi="Source Sans Pro" w:cs="Arial"/>
          <w:sz w:val="16"/>
          <w:szCs w:val="16"/>
          <w:lang w:val="en-GB"/>
        </w:rPr>
        <w:t>uelle:</w:t>
      </w:r>
      <w:r w:rsidR="004A2D54" w:rsidRPr="004A2D54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475827B1" w14:textId="78BF3D2F" w:rsidR="00A67512" w:rsidRDefault="00A67512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5B9B2836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75A1F579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11085DE5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 w:type="page"/>
      </w:r>
    </w:p>
    <w:p w14:paraId="50B0AF24" w14:textId="0C28B730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 xml:space="preserve">ÜBER GERMAN PROPERTY PARTNERS. </w:t>
      </w:r>
    </w:p>
    <w:p w14:paraId="47B60849" w14:textId="77777777" w:rsidR="00E1280F" w:rsidRPr="00E1280F" w:rsidRDefault="006D2B6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77777777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62C4FFC2" w14:textId="1B639EDA" w:rsidR="00DA733A" w:rsidRPr="00917410" w:rsidRDefault="004000A8" w:rsidP="006609C2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18698016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740EB7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740EB7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2BA7FB68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90528">
      <w:rPr>
        <w:rFonts w:ascii="Source Sans Pro" w:hAnsi="Source Sans Pro" w:cs="Source Sans Pro"/>
        <w:color w:val="0087A8"/>
        <w:sz w:val="18"/>
        <w:szCs w:val="18"/>
      </w:rPr>
      <w:t>993</w:t>
    </w:r>
  </w:p>
  <w:p w14:paraId="6F9C1B3C" w14:textId="6C567E4A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528">
      <w:rPr>
        <w:rFonts w:ascii="Source Sans Pro" w:hAnsi="Source Sans Pro" w:cs="Source Sans Pro"/>
        <w:color w:val="0087A8"/>
        <w:sz w:val="18"/>
        <w:szCs w:val="18"/>
      </w:rPr>
      <w:t>Britt Finke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70C144EF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740EB7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740EB7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61624933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993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5F2FA427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528">
      <w:rPr>
        <w:rFonts w:ascii="Source Sans Pro" w:hAnsi="Source Sans Pro" w:cs="Source Sans Pro"/>
        <w:color w:val="0087A8"/>
        <w:sz w:val="18"/>
        <w:szCs w:val="18"/>
      </w:rPr>
      <w:t>Britt Finke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363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3819"/>
    <w:rsid w:val="00004E93"/>
    <w:rsid w:val="00007A82"/>
    <w:rsid w:val="00012426"/>
    <w:rsid w:val="000136D7"/>
    <w:rsid w:val="00013D73"/>
    <w:rsid w:val="00013FE8"/>
    <w:rsid w:val="0001488A"/>
    <w:rsid w:val="000173C0"/>
    <w:rsid w:val="00020AC9"/>
    <w:rsid w:val="0002187D"/>
    <w:rsid w:val="00022CE1"/>
    <w:rsid w:val="00022F25"/>
    <w:rsid w:val="00024032"/>
    <w:rsid w:val="000243CC"/>
    <w:rsid w:val="00024C47"/>
    <w:rsid w:val="00027EA3"/>
    <w:rsid w:val="00032028"/>
    <w:rsid w:val="00033F7F"/>
    <w:rsid w:val="0003409F"/>
    <w:rsid w:val="00035322"/>
    <w:rsid w:val="00041A34"/>
    <w:rsid w:val="000440EB"/>
    <w:rsid w:val="0005029E"/>
    <w:rsid w:val="000513D0"/>
    <w:rsid w:val="00052B49"/>
    <w:rsid w:val="00053277"/>
    <w:rsid w:val="00054FE9"/>
    <w:rsid w:val="000663B5"/>
    <w:rsid w:val="00066A8A"/>
    <w:rsid w:val="0007043A"/>
    <w:rsid w:val="00070F97"/>
    <w:rsid w:val="00071BAF"/>
    <w:rsid w:val="00077E8A"/>
    <w:rsid w:val="00082C59"/>
    <w:rsid w:val="00091562"/>
    <w:rsid w:val="0009382E"/>
    <w:rsid w:val="000A4F68"/>
    <w:rsid w:val="000A4FBB"/>
    <w:rsid w:val="000A5015"/>
    <w:rsid w:val="000A6A78"/>
    <w:rsid w:val="000B310B"/>
    <w:rsid w:val="000B4143"/>
    <w:rsid w:val="000C36A5"/>
    <w:rsid w:val="000C3A22"/>
    <w:rsid w:val="000C3EF6"/>
    <w:rsid w:val="000C5B2A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57F1"/>
    <w:rsid w:val="000F6013"/>
    <w:rsid w:val="000F79F5"/>
    <w:rsid w:val="00101220"/>
    <w:rsid w:val="00103C4E"/>
    <w:rsid w:val="0010452E"/>
    <w:rsid w:val="00104EC7"/>
    <w:rsid w:val="001116D7"/>
    <w:rsid w:val="00113D8C"/>
    <w:rsid w:val="00120624"/>
    <w:rsid w:val="0012156C"/>
    <w:rsid w:val="00127A45"/>
    <w:rsid w:val="00133961"/>
    <w:rsid w:val="00137831"/>
    <w:rsid w:val="001416A0"/>
    <w:rsid w:val="001421F7"/>
    <w:rsid w:val="0014498B"/>
    <w:rsid w:val="00146881"/>
    <w:rsid w:val="001504EA"/>
    <w:rsid w:val="001550FE"/>
    <w:rsid w:val="00155828"/>
    <w:rsid w:val="00157F0D"/>
    <w:rsid w:val="001647B3"/>
    <w:rsid w:val="001668E1"/>
    <w:rsid w:val="00166ED2"/>
    <w:rsid w:val="00173AA4"/>
    <w:rsid w:val="0017641E"/>
    <w:rsid w:val="00184BB0"/>
    <w:rsid w:val="00187963"/>
    <w:rsid w:val="0019039E"/>
    <w:rsid w:val="001963BB"/>
    <w:rsid w:val="001A08CF"/>
    <w:rsid w:val="001A22F5"/>
    <w:rsid w:val="001A33B3"/>
    <w:rsid w:val="001A4E95"/>
    <w:rsid w:val="001A60D1"/>
    <w:rsid w:val="001B786B"/>
    <w:rsid w:val="001C15E0"/>
    <w:rsid w:val="001C518B"/>
    <w:rsid w:val="001C5D5B"/>
    <w:rsid w:val="001C6C29"/>
    <w:rsid w:val="001D3808"/>
    <w:rsid w:val="001E1829"/>
    <w:rsid w:val="001E5503"/>
    <w:rsid w:val="001E5CBD"/>
    <w:rsid w:val="001E6935"/>
    <w:rsid w:val="001E73A9"/>
    <w:rsid w:val="001E77A9"/>
    <w:rsid w:val="001F218D"/>
    <w:rsid w:val="001F35E1"/>
    <w:rsid w:val="00200C83"/>
    <w:rsid w:val="002014F7"/>
    <w:rsid w:val="00202DD3"/>
    <w:rsid w:val="00205386"/>
    <w:rsid w:val="002076E6"/>
    <w:rsid w:val="0021392B"/>
    <w:rsid w:val="0021727D"/>
    <w:rsid w:val="00221CD3"/>
    <w:rsid w:val="00223AD5"/>
    <w:rsid w:val="00226210"/>
    <w:rsid w:val="0022694F"/>
    <w:rsid w:val="002303B6"/>
    <w:rsid w:val="002350C4"/>
    <w:rsid w:val="00235393"/>
    <w:rsid w:val="002371FE"/>
    <w:rsid w:val="00245D99"/>
    <w:rsid w:val="002468C0"/>
    <w:rsid w:val="00256932"/>
    <w:rsid w:val="00264A0A"/>
    <w:rsid w:val="00270180"/>
    <w:rsid w:val="0028070D"/>
    <w:rsid w:val="00282ED8"/>
    <w:rsid w:val="002A09C2"/>
    <w:rsid w:val="002A41A8"/>
    <w:rsid w:val="002A480D"/>
    <w:rsid w:val="002A59DD"/>
    <w:rsid w:val="002A7D58"/>
    <w:rsid w:val="002B4422"/>
    <w:rsid w:val="002B537B"/>
    <w:rsid w:val="002C52C5"/>
    <w:rsid w:val="002C67D7"/>
    <w:rsid w:val="002D5B8F"/>
    <w:rsid w:val="002E0FB5"/>
    <w:rsid w:val="002F461A"/>
    <w:rsid w:val="002F746F"/>
    <w:rsid w:val="00300B29"/>
    <w:rsid w:val="00303901"/>
    <w:rsid w:val="003054EB"/>
    <w:rsid w:val="00315269"/>
    <w:rsid w:val="003152C9"/>
    <w:rsid w:val="00316196"/>
    <w:rsid w:val="003250ED"/>
    <w:rsid w:val="003278F6"/>
    <w:rsid w:val="0033523C"/>
    <w:rsid w:val="003366E6"/>
    <w:rsid w:val="00337E28"/>
    <w:rsid w:val="00341D84"/>
    <w:rsid w:val="003424EC"/>
    <w:rsid w:val="00343846"/>
    <w:rsid w:val="0034454C"/>
    <w:rsid w:val="0035249E"/>
    <w:rsid w:val="00355438"/>
    <w:rsid w:val="00355ED1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4F87"/>
    <w:rsid w:val="00381A5A"/>
    <w:rsid w:val="00381D14"/>
    <w:rsid w:val="00387EEF"/>
    <w:rsid w:val="00392C51"/>
    <w:rsid w:val="003948FA"/>
    <w:rsid w:val="003A0CF9"/>
    <w:rsid w:val="003A343C"/>
    <w:rsid w:val="003A44CB"/>
    <w:rsid w:val="003A463F"/>
    <w:rsid w:val="003B496B"/>
    <w:rsid w:val="003D36F0"/>
    <w:rsid w:val="003D37E4"/>
    <w:rsid w:val="003D40B2"/>
    <w:rsid w:val="003D5215"/>
    <w:rsid w:val="003E772C"/>
    <w:rsid w:val="003F293B"/>
    <w:rsid w:val="003F4EE7"/>
    <w:rsid w:val="003F5E07"/>
    <w:rsid w:val="004000A8"/>
    <w:rsid w:val="0040331F"/>
    <w:rsid w:val="00403C95"/>
    <w:rsid w:val="0041251D"/>
    <w:rsid w:val="00421D43"/>
    <w:rsid w:val="00423DAC"/>
    <w:rsid w:val="00425DBF"/>
    <w:rsid w:val="004329C6"/>
    <w:rsid w:val="004333FF"/>
    <w:rsid w:val="004343B1"/>
    <w:rsid w:val="00434EB9"/>
    <w:rsid w:val="00441174"/>
    <w:rsid w:val="00445495"/>
    <w:rsid w:val="004501A9"/>
    <w:rsid w:val="00453BB0"/>
    <w:rsid w:val="00453F14"/>
    <w:rsid w:val="004563C8"/>
    <w:rsid w:val="00456442"/>
    <w:rsid w:val="00464D30"/>
    <w:rsid w:val="0047027D"/>
    <w:rsid w:val="00474099"/>
    <w:rsid w:val="00483578"/>
    <w:rsid w:val="00491CBC"/>
    <w:rsid w:val="00494AE2"/>
    <w:rsid w:val="004A2A30"/>
    <w:rsid w:val="004A2D54"/>
    <w:rsid w:val="004A5F84"/>
    <w:rsid w:val="004A6E04"/>
    <w:rsid w:val="004B5CB6"/>
    <w:rsid w:val="004C616B"/>
    <w:rsid w:val="004D21F1"/>
    <w:rsid w:val="004D2CD0"/>
    <w:rsid w:val="004D5D1F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1046D"/>
    <w:rsid w:val="00510C33"/>
    <w:rsid w:val="005122A0"/>
    <w:rsid w:val="00520B8C"/>
    <w:rsid w:val="005306BF"/>
    <w:rsid w:val="005319DF"/>
    <w:rsid w:val="0054038E"/>
    <w:rsid w:val="0054593A"/>
    <w:rsid w:val="00546364"/>
    <w:rsid w:val="005476AA"/>
    <w:rsid w:val="00554C9F"/>
    <w:rsid w:val="00557B57"/>
    <w:rsid w:val="005644BE"/>
    <w:rsid w:val="00567755"/>
    <w:rsid w:val="0057524E"/>
    <w:rsid w:val="00575A55"/>
    <w:rsid w:val="00580A44"/>
    <w:rsid w:val="005810F0"/>
    <w:rsid w:val="00583BFE"/>
    <w:rsid w:val="00591D42"/>
    <w:rsid w:val="00596092"/>
    <w:rsid w:val="005A5999"/>
    <w:rsid w:val="005A7DA9"/>
    <w:rsid w:val="005B52B7"/>
    <w:rsid w:val="005B74A4"/>
    <w:rsid w:val="005C25D5"/>
    <w:rsid w:val="005D0D0E"/>
    <w:rsid w:val="005D1D6F"/>
    <w:rsid w:val="005D21C5"/>
    <w:rsid w:val="005D449F"/>
    <w:rsid w:val="005D73BE"/>
    <w:rsid w:val="005E21DE"/>
    <w:rsid w:val="005E6515"/>
    <w:rsid w:val="005F27EF"/>
    <w:rsid w:val="005F283A"/>
    <w:rsid w:val="005F3B7B"/>
    <w:rsid w:val="0060257F"/>
    <w:rsid w:val="00605989"/>
    <w:rsid w:val="006110D3"/>
    <w:rsid w:val="00613713"/>
    <w:rsid w:val="00613E6C"/>
    <w:rsid w:val="0062180F"/>
    <w:rsid w:val="006224FB"/>
    <w:rsid w:val="00630505"/>
    <w:rsid w:val="0063115F"/>
    <w:rsid w:val="006363DA"/>
    <w:rsid w:val="00640E69"/>
    <w:rsid w:val="006432C0"/>
    <w:rsid w:val="006456EA"/>
    <w:rsid w:val="00646995"/>
    <w:rsid w:val="00650F25"/>
    <w:rsid w:val="00653983"/>
    <w:rsid w:val="00655943"/>
    <w:rsid w:val="006609C2"/>
    <w:rsid w:val="00664262"/>
    <w:rsid w:val="006724DF"/>
    <w:rsid w:val="00675BA1"/>
    <w:rsid w:val="00675E89"/>
    <w:rsid w:val="00684F14"/>
    <w:rsid w:val="006853DC"/>
    <w:rsid w:val="00685E14"/>
    <w:rsid w:val="006923BE"/>
    <w:rsid w:val="00695F46"/>
    <w:rsid w:val="006A0549"/>
    <w:rsid w:val="006A3192"/>
    <w:rsid w:val="006A3C35"/>
    <w:rsid w:val="006A49B1"/>
    <w:rsid w:val="006A5878"/>
    <w:rsid w:val="006A6D11"/>
    <w:rsid w:val="006B2259"/>
    <w:rsid w:val="006B2684"/>
    <w:rsid w:val="006B5252"/>
    <w:rsid w:val="006C1FF3"/>
    <w:rsid w:val="006C5754"/>
    <w:rsid w:val="006C5831"/>
    <w:rsid w:val="006D2948"/>
    <w:rsid w:val="006D2B6F"/>
    <w:rsid w:val="006D2DAE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3858"/>
    <w:rsid w:val="006F3CBD"/>
    <w:rsid w:val="006F3F00"/>
    <w:rsid w:val="00700A62"/>
    <w:rsid w:val="0070136B"/>
    <w:rsid w:val="0070363C"/>
    <w:rsid w:val="00712023"/>
    <w:rsid w:val="007144E9"/>
    <w:rsid w:val="00714A1F"/>
    <w:rsid w:val="00717328"/>
    <w:rsid w:val="0072073D"/>
    <w:rsid w:val="007355B6"/>
    <w:rsid w:val="007366B7"/>
    <w:rsid w:val="00740EB7"/>
    <w:rsid w:val="00742C04"/>
    <w:rsid w:val="0074571D"/>
    <w:rsid w:val="007627C8"/>
    <w:rsid w:val="0076666B"/>
    <w:rsid w:val="00766717"/>
    <w:rsid w:val="00771C92"/>
    <w:rsid w:val="007755D7"/>
    <w:rsid w:val="007832C8"/>
    <w:rsid w:val="00790528"/>
    <w:rsid w:val="00793C7D"/>
    <w:rsid w:val="00797DA3"/>
    <w:rsid w:val="007A2D16"/>
    <w:rsid w:val="007A4844"/>
    <w:rsid w:val="007B3142"/>
    <w:rsid w:val="007B33CE"/>
    <w:rsid w:val="007B35E6"/>
    <w:rsid w:val="007B7B81"/>
    <w:rsid w:val="007D1495"/>
    <w:rsid w:val="007D5A52"/>
    <w:rsid w:val="007D75C8"/>
    <w:rsid w:val="007E2C66"/>
    <w:rsid w:val="007E46C3"/>
    <w:rsid w:val="007E6244"/>
    <w:rsid w:val="007F02A1"/>
    <w:rsid w:val="007F1021"/>
    <w:rsid w:val="007F2DBB"/>
    <w:rsid w:val="007F7E7C"/>
    <w:rsid w:val="008010F4"/>
    <w:rsid w:val="00801337"/>
    <w:rsid w:val="008113A7"/>
    <w:rsid w:val="0081554E"/>
    <w:rsid w:val="00821A81"/>
    <w:rsid w:val="00833779"/>
    <w:rsid w:val="008373FC"/>
    <w:rsid w:val="00846E84"/>
    <w:rsid w:val="00856A7C"/>
    <w:rsid w:val="008739E7"/>
    <w:rsid w:val="00874645"/>
    <w:rsid w:val="00881685"/>
    <w:rsid w:val="00882014"/>
    <w:rsid w:val="008844D9"/>
    <w:rsid w:val="00891C3A"/>
    <w:rsid w:val="008931F2"/>
    <w:rsid w:val="00895BBC"/>
    <w:rsid w:val="008A3A3B"/>
    <w:rsid w:val="008A5E54"/>
    <w:rsid w:val="008A7188"/>
    <w:rsid w:val="008B4EB4"/>
    <w:rsid w:val="008C1EBB"/>
    <w:rsid w:val="008D24F1"/>
    <w:rsid w:val="008D6864"/>
    <w:rsid w:val="008D6B2E"/>
    <w:rsid w:val="008E25DF"/>
    <w:rsid w:val="008E5C25"/>
    <w:rsid w:val="008F0275"/>
    <w:rsid w:val="008F1872"/>
    <w:rsid w:val="008F2058"/>
    <w:rsid w:val="009064CE"/>
    <w:rsid w:val="00912233"/>
    <w:rsid w:val="00915F18"/>
    <w:rsid w:val="00917111"/>
    <w:rsid w:val="00917410"/>
    <w:rsid w:val="009264D0"/>
    <w:rsid w:val="009312C4"/>
    <w:rsid w:val="009321F1"/>
    <w:rsid w:val="0093360A"/>
    <w:rsid w:val="009358D3"/>
    <w:rsid w:val="00955433"/>
    <w:rsid w:val="00955764"/>
    <w:rsid w:val="00957A6F"/>
    <w:rsid w:val="009649C2"/>
    <w:rsid w:val="00965DEB"/>
    <w:rsid w:val="00971DF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690F"/>
    <w:rsid w:val="00996D38"/>
    <w:rsid w:val="00997675"/>
    <w:rsid w:val="009A3211"/>
    <w:rsid w:val="009A53E2"/>
    <w:rsid w:val="009B008F"/>
    <w:rsid w:val="009B0C09"/>
    <w:rsid w:val="009C11F2"/>
    <w:rsid w:val="009C3FDE"/>
    <w:rsid w:val="009C51BD"/>
    <w:rsid w:val="009C7CAD"/>
    <w:rsid w:val="009D1C7A"/>
    <w:rsid w:val="009D2111"/>
    <w:rsid w:val="009D2836"/>
    <w:rsid w:val="009D686B"/>
    <w:rsid w:val="009E6FDF"/>
    <w:rsid w:val="009F28F5"/>
    <w:rsid w:val="009F2DA7"/>
    <w:rsid w:val="00A0582F"/>
    <w:rsid w:val="00A0717D"/>
    <w:rsid w:val="00A07846"/>
    <w:rsid w:val="00A12AFE"/>
    <w:rsid w:val="00A13548"/>
    <w:rsid w:val="00A159F8"/>
    <w:rsid w:val="00A17CA6"/>
    <w:rsid w:val="00A2086A"/>
    <w:rsid w:val="00A20DD4"/>
    <w:rsid w:val="00A2291B"/>
    <w:rsid w:val="00A22C2C"/>
    <w:rsid w:val="00A32496"/>
    <w:rsid w:val="00A346EF"/>
    <w:rsid w:val="00A54087"/>
    <w:rsid w:val="00A549F3"/>
    <w:rsid w:val="00A65690"/>
    <w:rsid w:val="00A65FB0"/>
    <w:rsid w:val="00A66A23"/>
    <w:rsid w:val="00A67512"/>
    <w:rsid w:val="00A743C6"/>
    <w:rsid w:val="00A908C3"/>
    <w:rsid w:val="00A908E3"/>
    <w:rsid w:val="00A90FFC"/>
    <w:rsid w:val="00A9412B"/>
    <w:rsid w:val="00A95739"/>
    <w:rsid w:val="00A96A38"/>
    <w:rsid w:val="00AA0491"/>
    <w:rsid w:val="00AA0AB4"/>
    <w:rsid w:val="00AB0EF0"/>
    <w:rsid w:val="00AB2F7B"/>
    <w:rsid w:val="00AB300C"/>
    <w:rsid w:val="00AB449B"/>
    <w:rsid w:val="00AB69AD"/>
    <w:rsid w:val="00AB7CFA"/>
    <w:rsid w:val="00AC00F8"/>
    <w:rsid w:val="00AC49D3"/>
    <w:rsid w:val="00AC6B15"/>
    <w:rsid w:val="00AC7376"/>
    <w:rsid w:val="00AD2569"/>
    <w:rsid w:val="00AD3799"/>
    <w:rsid w:val="00AD4124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05"/>
    <w:rsid w:val="00AF237D"/>
    <w:rsid w:val="00AF2F5E"/>
    <w:rsid w:val="00B005BD"/>
    <w:rsid w:val="00B03444"/>
    <w:rsid w:val="00B03542"/>
    <w:rsid w:val="00B04F23"/>
    <w:rsid w:val="00B06E5F"/>
    <w:rsid w:val="00B10FC3"/>
    <w:rsid w:val="00B14E68"/>
    <w:rsid w:val="00B226FB"/>
    <w:rsid w:val="00B23669"/>
    <w:rsid w:val="00B23A2B"/>
    <w:rsid w:val="00B24860"/>
    <w:rsid w:val="00B30599"/>
    <w:rsid w:val="00B340CD"/>
    <w:rsid w:val="00B41CC3"/>
    <w:rsid w:val="00B4714C"/>
    <w:rsid w:val="00B50A63"/>
    <w:rsid w:val="00B53AEB"/>
    <w:rsid w:val="00B56AFB"/>
    <w:rsid w:val="00B576A5"/>
    <w:rsid w:val="00B57BCE"/>
    <w:rsid w:val="00B62EDB"/>
    <w:rsid w:val="00B6613A"/>
    <w:rsid w:val="00B7165E"/>
    <w:rsid w:val="00B71718"/>
    <w:rsid w:val="00B717E3"/>
    <w:rsid w:val="00B71BBD"/>
    <w:rsid w:val="00B72F21"/>
    <w:rsid w:val="00B776EA"/>
    <w:rsid w:val="00B83DA7"/>
    <w:rsid w:val="00B84498"/>
    <w:rsid w:val="00B862DB"/>
    <w:rsid w:val="00B922EE"/>
    <w:rsid w:val="00B9596E"/>
    <w:rsid w:val="00BA6227"/>
    <w:rsid w:val="00BB0F85"/>
    <w:rsid w:val="00BB21C3"/>
    <w:rsid w:val="00BC0132"/>
    <w:rsid w:val="00BC0598"/>
    <w:rsid w:val="00BC410C"/>
    <w:rsid w:val="00BC72A5"/>
    <w:rsid w:val="00BD0426"/>
    <w:rsid w:val="00BD10B3"/>
    <w:rsid w:val="00BD2784"/>
    <w:rsid w:val="00BD4A4F"/>
    <w:rsid w:val="00BE0C9E"/>
    <w:rsid w:val="00BF11C6"/>
    <w:rsid w:val="00BF5F7B"/>
    <w:rsid w:val="00BF69F6"/>
    <w:rsid w:val="00BF702E"/>
    <w:rsid w:val="00C00EA0"/>
    <w:rsid w:val="00C0282D"/>
    <w:rsid w:val="00C074BD"/>
    <w:rsid w:val="00C11004"/>
    <w:rsid w:val="00C111FE"/>
    <w:rsid w:val="00C14603"/>
    <w:rsid w:val="00C1497F"/>
    <w:rsid w:val="00C20B9C"/>
    <w:rsid w:val="00C2509E"/>
    <w:rsid w:val="00C2778C"/>
    <w:rsid w:val="00C27F6A"/>
    <w:rsid w:val="00C35841"/>
    <w:rsid w:val="00C41C74"/>
    <w:rsid w:val="00C43C76"/>
    <w:rsid w:val="00C43F46"/>
    <w:rsid w:val="00C47F8B"/>
    <w:rsid w:val="00C500B4"/>
    <w:rsid w:val="00C51A09"/>
    <w:rsid w:val="00C52723"/>
    <w:rsid w:val="00C616A4"/>
    <w:rsid w:val="00C64096"/>
    <w:rsid w:val="00C654E1"/>
    <w:rsid w:val="00C832FA"/>
    <w:rsid w:val="00C846F6"/>
    <w:rsid w:val="00C85B10"/>
    <w:rsid w:val="00C90DE4"/>
    <w:rsid w:val="00C96048"/>
    <w:rsid w:val="00C96214"/>
    <w:rsid w:val="00C9797F"/>
    <w:rsid w:val="00CA1FB9"/>
    <w:rsid w:val="00CA73C1"/>
    <w:rsid w:val="00CA79D7"/>
    <w:rsid w:val="00CB3EA4"/>
    <w:rsid w:val="00CC40B9"/>
    <w:rsid w:val="00CC646D"/>
    <w:rsid w:val="00CC7CBA"/>
    <w:rsid w:val="00CD463B"/>
    <w:rsid w:val="00CD687A"/>
    <w:rsid w:val="00CD77DD"/>
    <w:rsid w:val="00CD7E39"/>
    <w:rsid w:val="00CE2EFB"/>
    <w:rsid w:val="00CE5A10"/>
    <w:rsid w:val="00CF6D99"/>
    <w:rsid w:val="00D002D6"/>
    <w:rsid w:val="00D02522"/>
    <w:rsid w:val="00D02FD8"/>
    <w:rsid w:val="00D10832"/>
    <w:rsid w:val="00D14315"/>
    <w:rsid w:val="00D30707"/>
    <w:rsid w:val="00D3104C"/>
    <w:rsid w:val="00D3143B"/>
    <w:rsid w:val="00D41ABC"/>
    <w:rsid w:val="00D478CC"/>
    <w:rsid w:val="00D50FDD"/>
    <w:rsid w:val="00D51669"/>
    <w:rsid w:val="00D602AC"/>
    <w:rsid w:val="00D70824"/>
    <w:rsid w:val="00D70F9E"/>
    <w:rsid w:val="00D760A9"/>
    <w:rsid w:val="00D8401E"/>
    <w:rsid w:val="00D925B8"/>
    <w:rsid w:val="00D92C1C"/>
    <w:rsid w:val="00D92E46"/>
    <w:rsid w:val="00D95197"/>
    <w:rsid w:val="00DA0D62"/>
    <w:rsid w:val="00DA3B66"/>
    <w:rsid w:val="00DA6836"/>
    <w:rsid w:val="00DA733A"/>
    <w:rsid w:val="00DB2417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E7EFC"/>
    <w:rsid w:val="00DF1EEF"/>
    <w:rsid w:val="00DF226F"/>
    <w:rsid w:val="00DF25FA"/>
    <w:rsid w:val="00DF2B8B"/>
    <w:rsid w:val="00E03DB3"/>
    <w:rsid w:val="00E05ECE"/>
    <w:rsid w:val="00E1280F"/>
    <w:rsid w:val="00E131B0"/>
    <w:rsid w:val="00E17B2C"/>
    <w:rsid w:val="00E200B3"/>
    <w:rsid w:val="00E20271"/>
    <w:rsid w:val="00E23ABF"/>
    <w:rsid w:val="00E27DEF"/>
    <w:rsid w:val="00E32743"/>
    <w:rsid w:val="00E342C7"/>
    <w:rsid w:val="00E354F6"/>
    <w:rsid w:val="00E404DC"/>
    <w:rsid w:val="00E41A83"/>
    <w:rsid w:val="00E4317C"/>
    <w:rsid w:val="00E51A3A"/>
    <w:rsid w:val="00E606F4"/>
    <w:rsid w:val="00E63703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471E"/>
    <w:rsid w:val="00E9085A"/>
    <w:rsid w:val="00E942DA"/>
    <w:rsid w:val="00E94EF3"/>
    <w:rsid w:val="00E959E9"/>
    <w:rsid w:val="00E95E00"/>
    <w:rsid w:val="00E9704C"/>
    <w:rsid w:val="00E97167"/>
    <w:rsid w:val="00EB19E5"/>
    <w:rsid w:val="00EB468A"/>
    <w:rsid w:val="00EC3DC1"/>
    <w:rsid w:val="00EC6CC2"/>
    <w:rsid w:val="00ED0970"/>
    <w:rsid w:val="00ED6DCA"/>
    <w:rsid w:val="00EF20B1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5FE"/>
    <w:rsid w:val="00F31FE6"/>
    <w:rsid w:val="00F43811"/>
    <w:rsid w:val="00F45BB8"/>
    <w:rsid w:val="00F53E0E"/>
    <w:rsid w:val="00F53F80"/>
    <w:rsid w:val="00F5697E"/>
    <w:rsid w:val="00F63BFA"/>
    <w:rsid w:val="00F64376"/>
    <w:rsid w:val="00F6556A"/>
    <w:rsid w:val="00F65709"/>
    <w:rsid w:val="00F673A2"/>
    <w:rsid w:val="00F70A1C"/>
    <w:rsid w:val="00F72A3E"/>
    <w:rsid w:val="00F7577B"/>
    <w:rsid w:val="00F77715"/>
    <w:rsid w:val="00F84A25"/>
    <w:rsid w:val="00F84C57"/>
    <w:rsid w:val="00F937F1"/>
    <w:rsid w:val="00FA3D12"/>
    <w:rsid w:val="00FA4024"/>
    <w:rsid w:val="00FA76AB"/>
    <w:rsid w:val="00FB28C0"/>
    <w:rsid w:val="00FB2A50"/>
    <w:rsid w:val="00FB3B53"/>
    <w:rsid w:val="00FC570A"/>
    <w:rsid w:val="00FC69D9"/>
    <w:rsid w:val="00FD6D0F"/>
    <w:rsid w:val="00FD7412"/>
    <w:rsid w:val="00FE2133"/>
    <w:rsid w:val="00FE6C3C"/>
    <w:rsid w:val="00FF01B7"/>
    <w:rsid w:val="00FF1703"/>
    <w:rsid w:val="00FF1E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Britt Finke</cp:lastModifiedBy>
  <cp:revision>37</cp:revision>
  <cp:lastPrinted>2019-05-13T13:17:00Z</cp:lastPrinted>
  <dcterms:created xsi:type="dcterms:W3CDTF">2024-03-22T14:51:00Z</dcterms:created>
  <dcterms:modified xsi:type="dcterms:W3CDTF">2024-03-28T16:05:00Z</dcterms:modified>
</cp:coreProperties>
</file>