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D308A0" w14:paraId="707C356D" w14:textId="77777777" w:rsidTr="00040684">
        <w:trPr>
          <w:trHeight w:val="227"/>
        </w:trPr>
        <w:tc>
          <w:tcPr>
            <w:tcW w:w="5000" w:type="pct"/>
            <w:gridSpan w:val="2"/>
          </w:tcPr>
          <w:p w14:paraId="198A7A22" w14:textId="056921FE" w:rsidR="0031158E" w:rsidRPr="007711FD" w:rsidRDefault="00D308A0" w:rsidP="00A95E94">
            <w:pPr>
              <w:pStyle w:val="Titel"/>
              <w:framePr w:hSpace="0" w:wrap="auto" w:yAlign="inline"/>
              <w:suppressOverlap w:val="0"/>
              <w:rPr>
                <w:highlight w:val="yellow"/>
                <w:lang w:val="de-DE"/>
              </w:rPr>
            </w:pPr>
            <w:r w:rsidRPr="00D308A0">
              <w:rPr>
                <w:lang w:val="de-DE"/>
              </w:rPr>
              <w:t xml:space="preserve">dormakaba als „Liebling der Baubranche“ mit 2 </w:t>
            </w:r>
            <w:proofErr w:type="spellStart"/>
            <w:r w:rsidRPr="00D308A0">
              <w:rPr>
                <w:lang w:val="de-DE"/>
              </w:rPr>
              <w:t>Architects</w:t>
            </w:r>
            <w:proofErr w:type="spellEnd"/>
            <w:r w:rsidRPr="00D308A0">
              <w:rPr>
                <w:lang w:val="de-DE"/>
              </w:rPr>
              <w:t xml:space="preserve">‘ Darling in Gold ausgezeichnet </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D308A0"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3C2A6073" w:rsidR="00593430" w:rsidRPr="00593430" w:rsidRDefault="00593430" w:rsidP="00593430">
      <w:pPr>
        <w:rPr>
          <w:lang w:val="de-DE"/>
        </w:rPr>
      </w:pPr>
      <w:r w:rsidRPr="00A95E94">
        <w:rPr>
          <w:lang w:val="de-DE"/>
        </w:rPr>
        <w:t xml:space="preserve">Ennepetal, </w:t>
      </w:r>
      <w:r w:rsidR="00FB34B6">
        <w:rPr>
          <w:lang w:val="de-DE"/>
        </w:rPr>
        <w:t>1</w:t>
      </w:r>
      <w:r w:rsidR="00D308A0">
        <w:rPr>
          <w:lang w:val="de-DE"/>
        </w:rPr>
        <w:t>6</w:t>
      </w:r>
      <w:r w:rsidRPr="00A95E94">
        <w:rPr>
          <w:lang w:val="de-DE"/>
        </w:rPr>
        <w:t xml:space="preserve">. </w:t>
      </w:r>
      <w:r w:rsidR="00D308A0">
        <w:rPr>
          <w:lang w:val="de-DE"/>
        </w:rPr>
        <w:t>November</w:t>
      </w:r>
      <w:r w:rsidRPr="00A95E94">
        <w:rPr>
          <w:lang w:val="de-DE"/>
        </w:rPr>
        <w:t xml:space="preserve"> 202</w:t>
      </w:r>
      <w:r w:rsidR="00000E2B">
        <w:rPr>
          <w:lang w:val="de-DE"/>
        </w:rPr>
        <w:t>1</w:t>
      </w:r>
      <w:r w:rsidRPr="00593430">
        <w:rPr>
          <w:lang w:val="de-DE"/>
        </w:rPr>
        <w:t xml:space="preserve"> – </w:t>
      </w:r>
      <w:r w:rsidR="00D308A0" w:rsidRPr="00D308A0">
        <w:rPr>
          <w:lang w:val="de-DE"/>
        </w:rPr>
        <w:t xml:space="preserve">In der bundesweit größten Branchenbefragung durch den Heinze Verlag haben 1.800 Architekten und Planer und eine Fachjury aus namhaften Vertretern internationaler Architekturbüros und Media- oder Kommunikations-Experten die Hersteller der Bauindustrie und ihr Angebot bewertet und ihre </w:t>
      </w:r>
      <w:proofErr w:type="spellStart"/>
      <w:r w:rsidR="00D308A0" w:rsidRPr="00D308A0">
        <w:rPr>
          <w:lang w:val="de-DE"/>
        </w:rPr>
        <w:t>Architect’s</w:t>
      </w:r>
      <w:proofErr w:type="spellEnd"/>
      <w:r w:rsidR="00D308A0" w:rsidRPr="00D308A0">
        <w:rPr>
          <w:lang w:val="de-DE"/>
        </w:rPr>
        <w:t xml:space="preserve"> Darlings in 24 Produktkategorien und 14 übergreifenden Marketingdisziplinen bestimmt. Mit zwei Awards in Gold, zwei in Silber und einem in Bronze gehört dormakaba auch 2021 zu den großen Gewinnern.</w:t>
      </w:r>
    </w:p>
    <w:p w14:paraId="7A71EEA6" w14:textId="77777777" w:rsidR="00593430" w:rsidRPr="00593430" w:rsidRDefault="00593430" w:rsidP="00593430">
      <w:pPr>
        <w:rPr>
          <w:lang w:val="de-DE"/>
        </w:rPr>
      </w:pPr>
    </w:p>
    <w:p w14:paraId="09A77A1B" w14:textId="4503D635" w:rsidR="00C50132" w:rsidRDefault="00D308A0" w:rsidP="00593430">
      <w:pPr>
        <w:rPr>
          <w:lang w:val="de-DE"/>
        </w:rPr>
      </w:pPr>
      <w:r w:rsidRPr="00D308A0">
        <w:rPr>
          <w:lang w:val="de-DE"/>
        </w:rPr>
        <w:t>Bei der feierlichen Preisverleihung am 09.November in Celle erhielt dormakaba je einen Award in Gold in den Kategorien Automatiktüren und Glas/Glas-Konstruktionen, Silber in den Kategorien Sicherheitstechnik/Zutrittskontrolle und Bester Film 'Unternehmen', außerdem einen Award in Bronze in der Kategorie Best BIM Database.</w:t>
      </w:r>
    </w:p>
    <w:p w14:paraId="2D59E0B5" w14:textId="77777777" w:rsidR="00C50132" w:rsidRDefault="00C50132" w:rsidP="00593430">
      <w:pPr>
        <w:rPr>
          <w:lang w:val="de-DE"/>
        </w:rPr>
      </w:pPr>
    </w:p>
    <w:p w14:paraId="7FDD3E3A" w14:textId="11201403" w:rsidR="00593430" w:rsidRPr="00593430" w:rsidRDefault="00D308A0" w:rsidP="00593430">
      <w:pPr>
        <w:rPr>
          <w:lang w:val="de-DE"/>
        </w:rPr>
      </w:pPr>
      <w:r w:rsidRPr="00D308A0">
        <w:rPr>
          <w:lang w:val="de-DE"/>
        </w:rPr>
        <w:t>„Das ist fantastisch! Wir freuen uns sehr über die zahlreichen Auszeichnungen. Sie belegen eindrucksvoll, dass wir für die Experten aus Architektur, Planung und Architekturkommunikation, also für die wichtigsten Entscheidungsträger im Baubereich, ein idealer Partner sind und zu den begehrtesten Lieferanten Deutschlands zählen“, erklärt Uwe Eisele, Marketingleiter Deutschland. „Das ehrt uns und spornt uns gleichzeitig an, unsere Innovationsstrategie konsequent fortzuführen.“</w:t>
      </w:r>
    </w:p>
    <w:p w14:paraId="65A934DF" w14:textId="77777777" w:rsidR="00593430" w:rsidRPr="00593430" w:rsidRDefault="00593430" w:rsidP="00593430">
      <w:pPr>
        <w:rPr>
          <w:lang w:val="de-DE"/>
        </w:rPr>
      </w:pPr>
    </w:p>
    <w:p w14:paraId="67EF4434" w14:textId="2AEB3CE6" w:rsidR="00593430" w:rsidRPr="00CF2403" w:rsidRDefault="00593430" w:rsidP="00593430">
      <w:pPr>
        <w:rPr>
          <w:b/>
          <w:bCs/>
          <w:lang w:val="de-DE"/>
        </w:rPr>
      </w:pP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5B4D6B29" w14:textId="14E9D0D9" w:rsidR="00D308A0" w:rsidRPr="00D308A0" w:rsidRDefault="00D308A0" w:rsidP="00D308A0">
      <w:pPr>
        <w:rPr>
          <w:lang w:val="de-DE"/>
        </w:rPr>
      </w:pPr>
      <w:r w:rsidRPr="00D308A0">
        <w:rPr>
          <w:lang w:val="de-DE"/>
        </w:rPr>
        <w:t xml:space="preserve">Jens Kronenberg (Leiter Objektmanagement) und Bernd </w:t>
      </w:r>
      <w:proofErr w:type="spellStart"/>
      <w:r w:rsidRPr="00D308A0">
        <w:rPr>
          <w:lang w:val="de-DE"/>
        </w:rPr>
        <w:t>Blümmers</w:t>
      </w:r>
      <w:proofErr w:type="spellEnd"/>
      <w:r w:rsidRPr="00D308A0">
        <w:rPr>
          <w:lang w:val="de-DE"/>
        </w:rPr>
        <w:t xml:space="preserve"> (Leiter Vertrieb Product-Sales) nahmen die begehrten </w:t>
      </w:r>
      <w:proofErr w:type="spellStart"/>
      <w:r w:rsidRPr="00D308A0">
        <w:rPr>
          <w:lang w:val="de-DE"/>
        </w:rPr>
        <w:t>Architects</w:t>
      </w:r>
      <w:proofErr w:type="spellEnd"/>
      <w:r w:rsidRPr="00D308A0">
        <w:rPr>
          <w:lang w:val="de-DE"/>
        </w:rPr>
        <w:t>‘ Darling Awards in Empfang.</w:t>
      </w:r>
    </w:p>
    <w:p w14:paraId="662C0573" w14:textId="4414E3CE" w:rsidR="00FB34B6" w:rsidRDefault="00D308A0" w:rsidP="00D308A0">
      <w:pPr>
        <w:rPr>
          <w:lang w:val="de-DE"/>
        </w:rPr>
      </w:pPr>
      <w:r w:rsidRPr="00D308A0">
        <w:rPr>
          <w:lang w:val="de-DE"/>
        </w:rPr>
        <w:t>Fotonachweis: Heinze GmbH, Marcus Jacobs</w:t>
      </w:r>
    </w:p>
    <w:p w14:paraId="3FFD41F6" w14:textId="7B8CDDF5" w:rsidR="00BA3A4C" w:rsidRPr="00BA3A4C" w:rsidRDefault="007D5164" w:rsidP="00593430">
      <w:pPr>
        <w:rPr>
          <w:lang w:val="de-DE"/>
        </w:rPr>
      </w:pPr>
      <w:r>
        <w:rPr>
          <w:lang w:val="de-DE"/>
        </w:rPr>
        <w:t xml:space="preserve"> </w:t>
      </w:r>
    </w:p>
    <w:p w14:paraId="52B25A80" w14:textId="7ACE1318" w:rsidR="002F235E" w:rsidRPr="00BA3A4C" w:rsidRDefault="00F277AA" w:rsidP="00593430">
      <w:pPr>
        <w:rPr>
          <w:lang w:val="de-DE"/>
        </w:rPr>
      </w:pPr>
      <w:r w:rsidRPr="00BA3A4C">
        <w:rPr>
          <w:lang w:val="de-DE"/>
        </w:rPr>
        <w:t xml:space="preserve"> </w:t>
      </w: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A42E" w14:textId="77777777" w:rsidR="008A2428" w:rsidRDefault="008A2428" w:rsidP="00E207FD">
      <w:pPr>
        <w:spacing w:line="240" w:lineRule="auto"/>
      </w:pPr>
      <w:r>
        <w:separator/>
      </w:r>
    </w:p>
  </w:endnote>
  <w:endnote w:type="continuationSeparator" w:id="0">
    <w:p w14:paraId="195AF1B8" w14:textId="77777777" w:rsidR="008A2428" w:rsidRDefault="008A242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6F59" w14:textId="77777777" w:rsidR="008A2428" w:rsidRDefault="008A2428" w:rsidP="00E207FD">
      <w:pPr>
        <w:spacing w:line="240" w:lineRule="auto"/>
      </w:pPr>
      <w:r>
        <w:separator/>
      </w:r>
    </w:p>
  </w:footnote>
  <w:footnote w:type="continuationSeparator" w:id="0">
    <w:p w14:paraId="0E8C9B19" w14:textId="77777777" w:rsidR="008A2428" w:rsidRDefault="008A242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1277A195" w14:textId="77777777" w:rsidR="00D308A0" w:rsidRPr="009A410B" w:rsidRDefault="00D308A0" w:rsidP="00D308A0">
    <w:pPr>
      <w:pStyle w:val="Headertextsmall"/>
      <w:rPr>
        <w:lang w:val="de-DE"/>
      </w:rPr>
    </w:pPr>
    <w:r>
      <w:rPr>
        <w:lang w:val="de-DE"/>
      </w:rPr>
      <w:t xml:space="preserve">dormakaba </w:t>
    </w:r>
    <w:r w:rsidRPr="00D308A0">
      <w:rPr>
        <w:lang w:val="de-DE"/>
      </w:rPr>
      <w:t xml:space="preserve">mit 2 </w:t>
    </w:r>
    <w:proofErr w:type="spellStart"/>
    <w:r w:rsidRPr="00D308A0">
      <w:rPr>
        <w:lang w:val="de-DE"/>
      </w:rPr>
      <w:t>Architects</w:t>
    </w:r>
    <w:proofErr w:type="spellEnd"/>
    <w:r w:rsidRPr="00D308A0">
      <w:rPr>
        <w:lang w:val="de-DE"/>
      </w:rPr>
      <w:t xml:space="preserve">‘ Darling in Gold ausgezeichnet </w:t>
    </w:r>
    <w:r w:rsidRPr="004D2803">
      <w:rPr>
        <w:lang w:val="de-DE"/>
      </w:rPr>
      <w:t xml:space="preserve"> </w:t>
    </w:r>
    <w:r w:rsidRPr="00CA4CC1">
      <w:rPr>
        <w:lang w:val="de-DE"/>
      </w:rPr>
      <w:t xml:space="preserve"> </w:t>
    </w:r>
    <w:r w:rsidRPr="00A95E94">
      <w:rPr>
        <w:lang w:val="de-DE"/>
      </w:rPr>
      <w:t xml:space="preserve"> </w:t>
    </w:r>
    <w:r>
      <w:rPr>
        <w:lang w:val="de-DE"/>
      </w:rPr>
      <w:t xml:space="preserve"> </w:t>
    </w:r>
    <w:r w:rsidRPr="00E57EF8">
      <w:rPr>
        <w:lang w:val="de-DE"/>
      </w:rPr>
      <w:t xml:space="preserve"> </w:t>
    </w:r>
  </w:p>
  <w:p w14:paraId="7F200BD9" w14:textId="46CFF893" w:rsidR="00FB34B6" w:rsidRPr="009A410B" w:rsidRDefault="00FB34B6" w:rsidP="00FB34B6">
    <w:pPr>
      <w:pStyle w:val="Headertextsmall"/>
      <w:rPr>
        <w:lang w:val="de-DE"/>
      </w:rPr>
    </w:pPr>
    <w:r>
      <w:rPr>
        <w:lang w:val="de-DE"/>
      </w:rPr>
      <w:t xml:space="preserve"> </w:t>
    </w:r>
    <w:r w:rsidRPr="00E57EF8">
      <w:rPr>
        <w:lang w:val="de-DE"/>
      </w:rPr>
      <w:t xml:space="preserve"> </w:t>
    </w:r>
  </w:p>
  <w:p w14:paraId="79F66D6B" w14:textId="74DF4686"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24C1C321" w:rsidR="001360F2" w:rsidRPr="009A410B" w:rsidRDefault="00D308A0" w:rsidP="0032694F">
    <w:pPr>
      <w:pStyle w:val="Headertextsmall"/>
      <w:rPr>
        <w:lang w:val="de-DE"/>
      </w:rPr>
    </w:pPr>
    <w:r>
      <w:rPr>
        <w:lang w:val="de-DE"/>
      </w:rPr>
      <w:t xml:space="preserve">dormakaba </w:t>
    </w:r>
    <w:r w:rsidRPr="00D308A0">
      <w:rPr>
        <w:lang w:val="de-DE"/>
      </w:rPr>
      <w:t xml:space="preserve">mit 2 </w:t>
    </w:r>
    <w:proofErr w:type="spellStart"/>
    <w:r w:rsidRPr="00D308A0">
      <w:rPr>
        <w:lang w:val="de-DE"/>
      </w:rPr>
      <w:t>Architects</w:t>
    </w:r>
    <w:proofErr w:type="spellEnd"/>
    <w:r w:rsidRPr="00D308A0">
      <w:rPr>
        <w:lang w:val="de-DE"/>
      </w:rPr>
      <w:t xml:space="preserve">‘ Darling in Gold ausgezeichnet </w:t>
    </w:r>
    <w:r w:rsidRPr="004D2803">
      <w:rPr>
        <w:lang w:val="de-DE"/>
      </w:rPr>
      <w:t xml:space="preserve"> </w:t>
    </w:r>
    <w:r w:rsidRPr="00CA4CC1">
      <w:rPr>
        <w:lang w:val="de-DE"/>
      </w:rPr>
      <w:t xml:space="preserve"> </w:t>
    </w:r>
    <w:r w:rsidRPr="00A95E94">
      <w:rPr>
        <w:lang w:val="de-DE"/>
      </w:rPr>
      <w:t xml:space="preserve">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1BC2"/>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905E5"/>
    <w:rsid w:val="004A2C7D"/>
    <w:rsid w:val="004A31DB"/>
    <w:rsid w:val="004B0A2F"/>
    <w:rsid w:val="004B4A9C"/>
    <w:rsid w:val="004B78AC"/>
    <w:rsid w:val="004C234A"/>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044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28"/>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C05C5B"/>
    <w:rsid w:val="00C11047"/>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2403"/>
    <w:rsid w:val="00CF764C"/>
    <w:rsid w:val="00D03487"/>
    <w:rsid w:val="00D242CA"/>
    <w:rsid w:val="00D25E23"/>
    <w:rsid w:val="00D308A0"/>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1AD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34B6"/>
    <w:rsid w:val="00FB5C11"/>
    <w:rsid w:val="00FD29C4"/>
    <w:rsid w:val="00FE31BA"/>
    <w:rsid w:val="00FF4125"/>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615</Words>
  <Characters>4025</Characters>
  <Application>Microsoft Office Word</Application>
  <DocSecurity>0</DocSecurity>
  <Lines>134</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2021-11-15T15:14:00Z</dcterms:created>
  <dcterms:modified xsi:type="dcterms:W3CDTF">2021-11-15T15:14:00Z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