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D763" w14:textId="61F2B03F" w:rsidR="009276BE" w:rsidRPr="00F657CA" w:rsidRDefault="009276BE" w:rsidP="00F657CA">
      <w:pPr>
        <w:jc w:val="center"/>
        <w:rPr>
          <w:rFonts w:ascii="Arial" w:hAnsi="Arial" w:cs="Arial"/>
          <w:b/>
          <w:bCs/>
          <w:sz w:val="24"/>
          <w:szCs w:val="24"/>
        </w:rPr>
      </w:pPr>
      <w:r w:rsidRPr="00F657CA">
        <w:rPr>
          <w:rFonts w:ascii="Arial" w:hAnsi="Arial" w:cs="Arial"/>
          <w:b/>
          <w:bCs/>
          <w:sz w:val="24"/>
          <w:szCs w:val="24"/>
        </w:rPr>
        <w:t>Ökologische Wechselwirkungen in Kläranlagen beeinflussen Antibiotikaresistenzen</w:t>
      </w:r>
    </w:p>
    <w:p w14:paraId="507EEE78" w14:textId="5EB94082" w:rsidR="009276BE" w:rsidRPr="00F657CA" w:rsidRDefault="009276BE" w:rsidP="00F657CA">
      <w:pPr>
        <w:jc w:val="both"/>
        <w:rPr>
          <w:rFonts w:ascii="Arial" w:hAnsi="Arial" w:cs="Arial"/>
          <w:sz w:val="24"/>
          <w:szCs w:val="24"/>
        </w:rPr>
      </w:pPr>
      <w:r w:rsidRPr="00F657CA">
        <w:rPr>
          <w:rFonts w:ascii="Arial" w:hAnsi="Arial" w:cs="Arial"/>
          <w:bCs/>
          <w:sz w:val="24"/>
          <w:szCs w:val="24"/>
        </w:rPr>
        <w:t xml:space="preserve">Forschende der Universität Koblenz </w:t>
      </w:r>
      <w:r w:rsidR="00F657CA" w:rsidRPr="00F657CA">
        <w:rPr>
          <w:rFonts w:ascii="Arial" w:hAnsi="Arial" w:cs="Arial"/>
          <w:bCs/>
          <w:sz w:val="24"/>
          <w:szCs w:val="24"/>
        </w:rPr>
        <w:t xml:space="preserve">haben </w:t>
      </w:r>
      <w:r w:rsidR="00F657CA">
        <w:rPr>
          <w:rFonts w:ascii="Arial" w:hAnsi="Arial" w:cs="Arial"/>
          <w:bCs/>
          <w:sz w:val="24"/>
          <w:szCs w:val="24"/>
        </w:rPr>
        <w:t xml:space="preserve">jüngst </w:t>
      </w:r>
      <w:r w:rsidR="00F657CA" w:rsidRPr="00F657CA">
        <w:rPr>
          <w:rFonts w:ascii="Arial" w:hAnsi="Arial" w:cs="Arial"/>
          <w:bCs/>
          <w:sz w:val="24"/>
          <w:szCs w:val="24"/>
        </w:rPr>
        <w:t>gezeigt</w:t>
      </w:r>
      <w:r w:rsidRPr="00F657CA">
        <w:rPr>
          <w:rFonts w:ascii="Arial" w:hAnsi="Arial" w:cs="Arial"/>
          <w:bCs/>
          <w:sz w:val="24"/>
          <w:szCs w:val="24"/>
        </w:rPr>
        <w:t>, dass das Zusammenspiel von Viren, mikrobiellen Räubern und Bakterien maßgeblich die Zusammensetzung von Resistenzgenen im Abwasser bestimmen</w:t>
      </w:r>
      <w:r w:rsidR="00F657CA" w:rsidRPr="00F657CA">
        <w:rPr>
          <w:rFonts w:ascii="Arial" w:hAnsi="Arial" w:cs="Arial"/>
          <w:bCs/>
          <w:sz w:val="24"/>
          <w:szCs w:val="24"/>
        </w:rPr>
        <w:t>.</w:t>
      </w:r>
    </w:p>
    <w:p w14:paraId="308F54F3" w14:textId="77777777" w:rsidR="009276BE" w:rsidRPr="00F657CA" w:rsidRDefault="009276BE" w:rsidP="00F657CA">
      <w:pPr>
        <w:jc w:val="both"/>
        <w:rPr>
          <w:rFonts w:ascii="Arial" w:hAnsi="Arial" w:cs="Arial"/>
          <w:sz w:val="24"/>
          <w:szCs w:val="24"/>
        </w:rPr>
      </w:pPr>
      <w:r w:rsidRPr="00F657CA">
        <w:rPr>
          <w:rFonts w:ascii="Arial" w:hAnsi="Arial" w:cs="Arial"/>
          <w:sz w:val="24"/>
          <w:szCs w:val="24"/>
        </w:rPr>
        <w:t>Antibiotika gehören zu den wichtigsten medizinischen Werkzeugen, doch ihre Wirksamkeit wird zunehmend durch die globale Ausbreitung von Antibiotikaresistenzen bedroht. Kläranlagen gelten dabei als zentrale Knotenpunkte, an denen sich resistente Bakterien und ihre Gene ansammeln und weiterverbreiten können. Ein besseres Verständnis ihrer ökologischen Steuerungsmechanismen ist daher entscheidend – sowohl für den Gesundheits- als auch den Umweltschutz.</w:t>
      </w:r>
    </w:p>
    <w:p w14:paraId="05BAC293" w14:textId="45C92259" w:rsidR="009276BE" w:rsidRPr="00F657CA" w:rsidRDefault="009276BE" w:rsidP="00F657CA">
      <w:pPr>
        <w:jc w:val="both"/>
        <w:rPr>
          <w:rFonts w:ascii="Arial" w:hAnsi="Arial" w:cs="Arial"/>
          <w:sz w:val="24"/>
          <w:szCs w:val="24"/>
        </w:rPr>
      </w:pPr>
      <w:r w:rsidRPr="00F657CA">
        <w:rPr>
          <w:rFonts w:ascii="Arial" w:hAnsi="Arial" w:cs="Arial"/>
          <w:sz w:val="24"/>
          <w:szCs w:val="24"/>
        </w:rPr>
        <w:t>Ein Forschungsteam der Universität Koblenz zeigt nun, dass biologische Wechselwirkungen in Kläranlagen stärker auf die Vielfalt von Antibiotikaresistenzgenen wirken als bisher angenommen. D</w:t>
      </w:r>
      <w:r w:rsidR="00F657CA">
        <w:rPr>
          <w:rFonts w:ascii="Arial" w:hAnsi="Arial" w:cs="Arial"/>
          <w:sz w:val="24"/>
          <w:szCs w:val="24"/>
        </w:rPr>
        <w:t>essen</w:t>
      </w:r>
      <w:r w:rsidRPr="00F657CA">
        <w:rPr>
          <w:rFonts w:ascii="Arial" w:hAnsi="Arial" w:cs="Arial"/>
          <w:sz w:val="24"/>
          <w:szCs w:val="24"/>
        </w:rPr>
        <w:t xml:space="preserve"> in </w:t>
      </w:r>
      <w:r w:rsidR="00F657CA">
        <w:rPr>
          <w:rFonts w:ascii="Arial" w:hAnsi="Arial" w:cs="Arial"/>
          <w:sz w:val="24"/>
          <w:szCs w:val="24"/>
        </w:rPr>
        <w:t xml:space="preserve">der Fachzeitschrift </w:t>
      </w:r>
      <w:r w:rsidRPr="00F657CA">
        <w:rPr>
          <w:rFonts w:ascii="Arial" w:hAnsi="Arial" w:cs="Arial"/>
          <w:i/>
          <w:iCs/>
          <w:sz w:val="24"/>
          <w:szCs w:val="24"/>
        </w:rPr>
        <w:t>Microbiome</w:t>
      </w:r>
      <w:r w:rsidRPr="00F657CA">
        <w:rPr>
          <w:rFonts w:ascii="Arial" w:hAnsi="Arial" w:cs="Arial"/>
          <w:sz w:val="24"/>
          <w:szCs w:val="24"/>
        </w:rPr>
        <w:t xml:space="preserve"> veröffentlichte Studie demonstriert, dass Viren und </w:t>
      </w:r>
      <w:proofErr w:type="spellStart"/>
      <w:r w:rsidRPr="00F657CA">
        <w:rPr>
          <w:rFonts w:ascii="Arial" w:hAnsi="Arial" w:cs="Arial"/>
          <w:sz w:val="24"/>
          <w:szCs w:val="24"/>
        </w:rPr>
        <w:t>protistische</w:t>
      </w:r>
      <w:proofErr w:type="spellEnd"/>
      <w:r w:rsidRPr="00F657CA">
        <w:rPr>
          <w:rFonts w:ascii="Arial" w:hAnsi="Arial" w:cs="Arial"/>
          <w:sz w:val="24"/>
          <w:szCs w:val="24"/>
        </w:rPr>
        <w:t xml:space="preserve"> Räuber – </w:t>
      </w:r>
      <w:r w:rsidR="00F657CA" w:rsidRPr="00F657CA">
        <w:rPr>
          <w:rFonts w:ascii="Arial" w:hAnsi="Arial" w:cs="Arial"/>
          <w:sz w:val="24"/>
          <w:szCs w:val="24"/>
        </w:rPr>
        <w:t xml:space="preserve">nicht näher </w:t>
      </w:r>
      <w:r w:rsidR="00F657CA">
        <w:rPr>
          <w:rFonts w:ascii="Arial" w:hAnsi="Arial" w:cs="Arial"/>
          <w:sz w:val="24"/>
          <w:szCs w:val="24"/>
        </w:rPr>
        <w:t xml:space="preserve">miteinander </w:t>
      </w:r>
      <w:r w:rsidR="00F657CA" w:rsidRPr="00F657CA">
        <w:rPr>
          <w:rFonts w:ascii="Arial" w:hAnsi="Arial" w:cs="Arial"/>
          <w:sz w:val="24"/>
          <w:szCs w:val="24"/>
        </w:rPr>
        <w:t xml:space="preserve">verwandte </w:t>
      </w:r>
      <w:hyperlink r:id="rId4" w:tooltip="Mikroorganismus" w:history="1">
        <w:r w:rsidR="00F657CA" w:rsidRPr="00F657CA">
          <w:rPr>
            <w:rStyle w:val="Hyperlink"/>
            <w:rFonts w:ascii="Arial" w:hAnsi="Arial" w:cs="Arial"/>
            <w:color w:val="auto"/>
            <w:sz w:val="24"/>
            <w:szCs w:val="24"/>
            <w:u w:val="none"/>
          </w:rPr>
          <w:t>mikroskopisch</w:t>
        </w:r>
        <w:r w:rsidR="00F657CA">
          <w:rPr>
            <w:rStyle w:val="Hyperlink"/>
            <w:rFonts w:ascii="Arial" w:hAnsi="Arial" w:cs="Arial"/>
            <w:color w:val="auto"/>
            <w:sz w:val="24"/>
            <w:szCs w:val="24"/>
            <w:u w:val="none"/>
          </w:rPr>
          <w:t xml:space="preserve"> kleine</w:t>
        </w:r>
        <w:r w:rsidR="00F657CA" w:rsidRPr="00F657CA">
          <w:rPr>
            <w:rStyle w:val="Hyperlink"/>
            <w:rFonts w:ascii="Arial" w:hAnsi="Arial" w:cs="Arial"/>
            <w:color w:val="auto"/>
            <w:sz w:val="24"/>
            <w:szCs w:val="24"/>
            <w:u w:val="none"/>
          </w:rPr>
          <w:t xml:space="preserve"> Lebewesen</w:t>
        </w:r>
      </w:hyperlink>
      <w:r w:rsidR="00F657CA" w:rsidRPr="00F657CA">
        <w:rPr>
          <w:rFonts w:ascii="Arial" w:hAnsi="Arial" w:cs="Arial"/>
          <w:sz w:val="24"/>
          <w:szCs w:val="24"/>
        </w:rPr>
        <w:t xml:space="preserve"> und</w:t>
      </w:r>
      <w:r w:rsidR="00F657CA" w:rsidRPr="00F657CA">
        <w:t xml:space="preserve"> </w:t>
      </w:r>
      <w:r w:rsidRPr="00F657CA">
        <w:rPr>
          <w:rFonts w:ascii="Arial" w:hAnsi="Arial" w:cs="Arial"/>
          <w:sz w:val="24"/>
          <w:szCs w:val="24"/>
        </w:rPr>
        <w:t>lange unterschätzte Akteure im mikrobiellen Gefüge – maßgeblich die Struktur der bakteriellen Gemeinschaften prägen. Die Diversität dieser trophischen Gruppen wirkt sich wiederum direkt auf die Vielfalt der Resistenzgene aus.</w:t>
      </w:r>
    </w:p>
    <w:p w14:paraId="68C74223" w14:textId="12A53CB1" w:rsidR="009276BE" w:rsidRPr="00F657CA" w:rsidRDefault="009276BE" w:rsidP="00F657CA">
      <w:pPr>
        <w:jc w:val="both"/>
        <w:rPr>
          <w:rFonts w:ascii="Arial" w:hAnsi="Arial" w:cs="Arial"/>
          <w:sz w:val="24"/>
          <w:szCs w:val="24"/>
        </w:rPr>
      </w:pPr>
      <w:r w:rsidRPr="00F657CA">
        <w:rPr>
          <w:rFonts w:ascii="Arial" w:hAnsi="Arial" w:cs="Arial"/>
          <w:sz w:val="24"/>
          <w:szCs w:val="24"/>
        </w:rPr>
        <w:t xml:space="preserve">„Unsere Ergebnisse belegen, dass man das gesamte ökologische Netzwerk betrachten muss, um Resistenzentwicklungen zu verstehen“, erklärt Prof. Dr. Kenneth </w:t>
      </w:r>
      <w:proofErr w:type="spellStart"/>
      <w:r w:rsidRPr="00F657CA">
        <w:rPr>
          <w:rFonts w:ascii="Arial" w:hAnsi="Arial" w:cs="Arial"/>
          <w:sz w:val="24"/>
          <w:szCs w:val="24"/>
        </w:rPr>
        <w:t>Dumack</w:t>
      </w:r>
      <w:proofErr w:type="spellEnd"/>
      <w:r w:rsidR="00F657CA">
        <w:rPr>
          <w:rFonts w:ascii="Arial" w:hAnsi="Arial" w:cs="Arial"/>
          <w:sz w:val="24"/>
          <w:szCs w:val="24"/>
        </w:rPr>
        <w:t xml:space="preserve"> von der Abteilung Biologie der Universität Koblenz</w:t>
      </w:r>
      <w:r w:rsidRPr="00F657CA">
        <w:rPr>
          <w:rFonts w:ascii="Arial" w:hAnsi="Arial" w:cs="Arial"/>
          <w:sz w:val="24"/>
          <w:szCs w:val="24"/>
        </w:rPr>
        <w:t>. „Viren und Protisten formen die bakterielle Gemeinschaft, und genau diese Struktur entscheidet darüber, welche Resistenzgene sich durchsetzen. Das eröffnet neue Perspektiven für nachhaltige Wassertechnologien.“</w:t>
      </w:r>
    </w:p>
    <w:p w14:paraId="3F413685" w14:textId="2515C730" w:rsidR="009276BE" w:rsidRPr="00F657CA" w:rsidRDefault="009276BE" w:rsidP="00F657CA">
      <w:pPr>
        <w:jc w:val="both"/>
        <w:rPr>
          <w:rFonts w:ascii="Arial" w:hAnsi="Arial" w:cs="Arial"/>
          <w:sz w:val="24"/>
          <w:szCs w:val="24"/>
        </w:rPr>
      </w:pPr>
      <w:r w:rsidRPr="00F657CA">
        <w:rPr>
          <w:rFonts w:ascii="Arial" w:hAnsi="Arial" w:cs="Arial"/>
          <w:sz w:val="24"/>
          <w:szCs w:val="24"/>
        </w:rPr>
        <w:t xml:space="preserve">Die Studie zeigt, dass sowohl virale Infektionsprozesse als auch </w:t>
      </w:r>
      <w:proofErr w:type="spellStart"/>
      <w:r w:rsidRPr="00F657CA">
        <w:rPr>
          <w:rFonts w:ascii="Arial" w:hAnsi="Arial" w:cs="Arial"/>
          <w:sz w:val="24"/>
          <w:szCs w:val="24"/>
        </w:rPr>
        <w:t>protistische</w:t>
      </w:r>
      <w:proofErr w:type="spellEnd"/>
      <w:r w:rsidRPr="00F657CA">
        <w:rPr>
          <w:rFonts w:ascii="Arial" w:hAnsi="Arial" w:cs="Arial"/>
          <w:sz w:val="24"/>
          <w:szCs w:val="24"/>
        </w:rPr>
        <w:t xml:space="preserve"> Prädation zu höherer bakterieller Diversität beitragen können. Gleichzeitig reagieren die beteiligten Mikroorganismen sensibel auf Umweltfaktoren wie Temperatur und pH-Wert, was die saisonale Dynamik zusätzlich verstärkt.</w:t>
      </w:r>
    </w:p>
    <w:p w14:paraId="6C977FE2" w14:textId="6E687BEB" w:rsidR="009276BE" w:rsidRPr="00F657CA" w:rsidRDefault="009276BE" w:rsidP="00F657CA">
      <w:pPr>
        <w:jc w:val="both"/>
        <w:rPr>
          <w:rFonts w:ascii="Arial" w:hAnsi="Arial" w:cs="Arial"/>
          <w:b/>
          <w:bCs/>
          <w:sz w:val="24"/>
          <w:szCs w:val="24"/>
        </w:rPr>
      </w:pPr>
      <w:r w:rsidRPr="00F657CA">
        <w:rPr>
          <w:rFonts w:ascii="Arial" w:hAnsi="Arial" w:cs="Arial"/>
          <w:b/>
          <w:bCs/>
          <w:sz w:val="24"/>
          <w:szCs w:val="24"/>
        </w:rPr>
        <w:t>Ausbildung für eine nachhaltige Wasserwirtschaft</w:t>
      </w:r>
      <w:r w:rsidR="00F657CA">
        <w:rPr>
          <w:rFonts w:ascii="Arial" w:hAnsi="Arial" w:cs="Arial"/>
          <w:b/>
          <w:bCs/>
          <w:sz w:val="24"/>
          <w:szCs w:val="24"/>
        </w:rPr>
        <w:t xml:space="preserve"> an der Universität Koblenz</w:t>
      </w:r>
    </w:p>
    <w:p w14:paraId="207BDD8F" w14:textId="3994A0EB" w:rsidR="009276BE" w:rsidRPr="00F657CA" w:rsidRDefault="009276BE" w:rsidP="00F657CA">
      <w:pPr>
        <w:jc w:val="both"/>
        <w:rPr>
          <w:rFonts w:ascii="Arial" w:hAnsi="Arial" w:cs="Arial"/>
          <w:sz w:val="24"/>
          <w:szCs w:val="24"/>
        </w:rPr>
      </w:pPr>
      <w:r w:rsidRPr="00F657CA">
        <w:rPr>
          <w:rFonts w:ascii="Arial" w:hAnsi="Arial" w:cs="Arial"/>
          <w:sz w:val="24"/>
          <w:szCs w:val="24"/>
        </w:rPr>
        <w:t xml:space="preserve">Die Ergebnisse unterstreichen, wie wichtig ein tiefes Verständnis mikrobieller Ökosysteme für die Entwicklung zukunftsfähiger Wassertechnologien ist. </w:t>
      </w:r>
      <w:r w:rsidR="00F657CA">
        <w:rPr>
          <w:rFonts w:ascii="Arial" w:hAnsi="Arial" w:cs="Arial"/>
          <w:sz w:val="24"/>
          <w:szCs w:val="24"/>
        </w:rPr>
        <w:t>H</w:t>
      </w:r>
      <w:r w:rsidRPr="00F657CA">
        <w:rPr>
          <w:rFonts w:ascii="Arial" w:hAnsi="Arial" w:cs="Arial"/>
          <w:sz w:val="24"/>
          <w:szCs w:val="24"/>
        </w:rPr>
        <w:t xml:space="preserve">ier setzen die innovativen Studiengänge </w:t>
      </w:r>
      <w:r w:rsidRPr="00F657CA">
        <w:rPr>
          <w:rFonts w:ascii="Arial" w:hAnsi="Arial" w:cs="Arial"/>
          <w:bCs/>
          <w:sz w:val="24"/>
          <w:szCs w:val="24"/>
        </w:rPr>
        <w:t xml:space="preserve">Bachelor </w:t>
      </w:r>
      <w:proofErr w:type="spellStart"/>
      <w:r w:rsidRPr="00F657CA">
        <w:rPr>
          <w:rFonts w:ascii="Arial" w:hAnsi="Arial" w:cs="Arial"/>
          <w:bCs/>
          <w:sz w:val="24"/>
          <w:szCs w:val="24"/>
        </w:rPr>
        <w:t>of</w:t>
      </w:r>
      <w:proofErr w:type="spellEnd"/>
      <w:r w:rsidRPr="00F657CA">
        <w:rPr>
          <w:rFonts w:ascii="Arial" w:hAnsi="Arial" w:cs="Arial"/>
          <w:bCs/>
          <w:sz w:val="24"/>
          <w:szCs w:val="24"/>
        </w:rPr>
        <w:t xml:space="preserve"> Science (B. Sc.) und Master </w:t>
      </w:r>
      <w:proofErr w:type="spellStart"/>
      <w:r w:rsidRPr="00F657CA">
        <w:rPr>
          <w:rFonts w:ascii="Arial" w:hAnsi="Arial" w:cs="Arial"/>
          <w:bCs/>
          <w:sz w:val="24"/>
          <w:szCs w:val="24"/>
        </w:rPr>
        <w:t>of</w:t>
      </w:r>
      <w:proofErr w:type="spellEnd"/>
      <w:r w:rsidRPr="00F657CA">
        <w:rPr>
          <w:rFonts w:ascii="Arial" w:hAnsi="Arial" w:cs="Arial"/>
          <w:bCs/>
          <w:sz w:val="24"/>
          <w:szCs w:val="24"/>
        </w:rPr>
        <w:t xml:space="preserve"> Science (M. Sc.) Gewässerkunde und Wasserwirtschaft</w:t>
      </w:r>
      <w:r w:rsidRPr="00F657CA">
        <w:rPr>
          <w:rFonts w:ascii="Arial" w:hAnsi="Arial" w:cs="Arial"/>
          <w:sz w:val="24"/>
          <w:szCs w:val="24"/>
        </w:rPr>
        <w:t xml:space="preserve"> der Universität Koblenz an.</w:t>
      </w:r>
    </w:p>
    <w:p w14:paraId="4AEF8240" w14:textId="77777777" w:rsidR="009276BE" w:rsidRPr="00F657CA" w:rsidRDefault="009276BE" w:rsidP="00F657CA">
      <w:pPr>
        <w:jc w:val="both"/>
        <w:rPr>
          <w:rFonts w:ascii="Arial" w:hAnsi="Arial" w:cs="Arial"/>
          <w:sz w:val="24"/>
          <w:szCs w:val="24"/>
        </w:rPr>
      </w:pPr>
      <w:r w:rsidRPr="00F657CA">
        <w:rPr>
          <w:rFonts w:ascii="Arial" w:hAnsi="Arial" w:cs="Arial"/>
          <w:sz w:val="24"/>
          <w:szCs w:val="24"/>
        </w:rPr>
        <w:t>Sie verbinden Ökologie, Mikrobiologie, Chemie und Ingenieurwissenschaften und bereiten Studierende darauf vor, sowohl natürliche Gewässersysteme als auch technische Infrastrukturen wie Kläranlagen nachhaltig zu gestalten.</w:t>
      </w:r>
    </w:p>
    <w:p w14:paraId="6164C024" w14:textId="15EE2633" w:rsidR="009276BE" w:rsidRPr="00F657CA" w:rsidRDefault="009276BE" w:rsidP="00F657CA">
      <w:pPr>
        <w:jc w:val="both"/>
        <w:rPr>
          <w:rFonts w:ascii="Arial" w:hAnsi="Arial" w:cs="Arial"/>
          <w:sz w:val="24"/>
          <w:szCs w:val="24"/>
        </w:rPr>
      </w:pPr>
      <w:r w:rsidRPr="00F657CA">
        <w:rPr>
          <w:rFonts w:ascii="Arial" w:hAnsi="Arial" w:cs="Arial"/>
          <w:sz w:val="24"/>
          <w:szCs w:val="24"/>
        </w:rPr>
        <w:t xml:space="preserve">„Wir wollen Studierende befähigen, die Wasserwelt der Zukunft ganzheitlich zu verstehen und verantwortungsvoll weiterzuentwickeln“, betont </w:t>
      </w:r>
      <w:proofErr w:type="spellStart"/>
      <w:r w:rsidRPr="00F657CA">
        <w:rPr>
          <w:rFonts w:ascii="Arial" w:hAnsi="Arial" w:cs="Arial"/>
          <w:sz w:val="24"/>
          <w:szCs w:val="24"/>
        </w:rPr>
        <w:t>Dumack</w:t>
      </w:r>
      <w:proofErr w:type="spellEnd"/>
      <w:r w:rsidRPr="00F657CA">
        <w:rPr>
          <w:rFonts w:ascii="Arial" w:hAnsi="Arial" w:cs="Arial"/>
          <w:sz w:val="24"/>
          <w:szCs w:val="24"/>
        </w:rPr>
        <w:t>.</w:t>
      </w:r>
    </w:p>
    <w:p w14:paraId="69923ED4" w14:textId="77777777" w:rsidR="00CC7327" w:rsidRPr="00F657CA" w:rsidRDefault="00CC7327" w:rsidP="00F657CA">
      <w:pPr>
        <w:spacing w:before="100" w:beforeAutospacing="1" w:after="100" w:afterAutospacing="1" w:line="240" w:lineRule="auto"/>
        <w:jc w:val="both"/>
        <w:rPr>
          <w:rFonts w:ascii="Arial" w:eastAsia="Times New Roman" w:hAnsi="Arial" w:cs="Arial"/>
          <w:sz w:val="24"/>
          <w:szCs w:val="24"/>
          <w:lang w:eastAsia="de-DE"/>
        </w:rPr>
      </w:pPr>
      <w:proofErr w:type="spellStart"/>
      <w:r w:rsidRPr="00F657CA">
        <w:rPr>
          <w:rFonts w:ascii="Arial" w:hAnsi="Arial" w:cs="Arial"/>
          <w:sz w:val="24"/>
          <w:szCs w:val="24"/>
        </w:rPr>
        <w:t>Dumacks</w:t>
      </w:r>
      <w:proofErr w:type="spellEnd"/>
      <w:r w:rsidRPr="00F657CA">
        <w:rPr>
          <w:rFonts w:ascii="Arial" w:hAnsi="Arial" w:cs="Arial"/>
          <w:sz w:val="24"/>
          <w:szCs w:val="24"/>
        </w:rPr>
        <w:t xml:space="preserve"> Professur für Aquatische Ökosystemanalyse wird von der Bundesanstalt für Gewässerkunde (BfG), verankert im Haushalt des Bundesministeriums für Verkehr (BMV), finanziert. Die inhaltliche Verantwortung liegt bei der Universität Koblenz.</w:t>
      </w:r>
    </w:p>
    <w:p w14:paraId="116BA47E" w14:textId="77777777" w:rsidR="00CC7327" w:rsidRPr="00F657CA" w:rsidRDefault="00CC7327" w:rsidP="00F657CA">
      <w:pPr>
        <w:jc w:val="both"/>
        <w:rPr>
          <w:rFonts w:ascii="Arial" w:hAnsi="Arial" w:cs="Arial"/>
          <w:sz w:val="24"/>
          <w:szCs w:val="24"/>
        </w:rPr>
      </w:pPr>
    </w:p>
    <w:p w14:paraId="712C1EAF" w14:textId="77777777" w:rsidR="009276BE" w:rsidRPr="00F657CA" w:rsidRDefault="00F657CA" w:rsidP="00F657CA">
      <w:pPr>
        <w:jc w:val="both"/>
        <w:rPr>
          <w:rFonts w:ascii="Arial" w:hAnsi="Arial" w:cs="Arial"/>
          <w:sz w:val="24"/>
          <w:szCs w:val="24"/>
        </w:rPr>
      </w:pPr>
      <w:r w:rsidRPr="00F657CA">
        <w:rPr>
          <w:rFonts w:ascii="Arial" w:hAnsi="Arial" w:cs="Arial"/>
          <w:sz w:val="24"/>
          <w:szCs w:val="24"/>
        </w:rPr>
        <w:pict w14:anchorId="7278FE3F">
          <v:rect id="_x0000_i1026" style="width:0;height:1.5pt" o:hralign="center" o:hrstd="t" o:hr="t" fillcolor="#a0a0a0" stroked="f"/>
        </w:pict>
      </w:r>
    </w:p>
    <w:p w14:paraId="44A21835" w14:textId="77777777" w:rsidR="009276BE" w:rsidRPr="00F657CA" w:rsidRDefault="009276BE" w:rsidP="00F657CA">
      <w:pPr>
        <w:jc w:val="both"/>
        <w:rPr>
          <w:rFonts w:ascii="Arial" w:hAnsi="Arial" w:cs="Arial"/>
          <w:b/>
          <w:bCs/>
          <w:sz w:val="24"/>
          <w:szCs w:val="24"/>
          <w:lang w:val="en-US"/>
        </w:rPr>
      </w:pPr>
      <w:proofErr w:type="spellStart"/>
      <w:r w:rsidRPr="00F657CA">
        <w:rPr>
          <w:rFonts w:ascii="Arial" w:hAnsi="Arial" w:cs="Arial"/>
          <w:b/>
          <w:bCs/>
          <w:sz w:val="24"/>
          <w:szCs w:val="24"/>
          <w:lang w:val="en-US"/>
        </w:rPr>
        <w:t>Publikation</w:t>
      </w:r>
      <w:proofErr w:type="spellEnd"/>
    </w:p>
    <w:p w14:paraId="014C63E9" w14:textId="22228042" w:rsidR="009276BE" w:rsidRPr="00F657CA" w:rsidRDefault="009276BE" w:rsidP="00F657CA">
      <w:pPr>
        <w:jc w:val="both"/>
        <w:rPr>
          <w:rFonts w:ascii="Arial" w:hAnsi="Arial" w:cs="Arial"/>
          <w:sz w:val="24"/>
          <w:szCs w:val="24"/>
        </w:rPr>
      </w:pPr>
      <w:r w:rsidRPr="00F657CA">
        <w:rPr>
          <w:rFonts w:ascii="Arial" w:hAnsi="Arial" w:cs="Arial"/>
          <w:sz w:val="24"/>
          <w:szCs w:val="24"/>
          <w:lang w:val="en-US"/>
        </w:rPr>
        <w:t xml:space="preserve">Weiss A., Elena A.X., </w:t>
      </w:r>
      <w:proofErr w:type="spellStart"/>
      <w:r w:rsidRPr="00F657CA">
        <w:rPr>
          <w:rFonts w:ascii="Arial" w:hAnsi="Arial" w:cs="Arial"/>
          <w:sz w:val="24"/>
          <w:szCs w:val="24"/>
          <w:lang w:val="en-US"/>
        </w:rPr>
        <w:t>Klümper</w:t>
      </w:r>
      <w:proofErr w:type="spellEnd"/>
      <w:r w:rsidRPr="00F657CA">
        <w:rPr>
          <w:rFonts w:ascii="Arial" w:hAnsi="Arial" w:cs="Arial"/>
          <w:sz w:val="24"/>
          <w:szCs w:val="24"/>
          <w:lang w:val="en-US"/>
        </w:rPr>
        <w:t xml:space="preserve"> U., </w:t>
      </w:r>
      <w:proofErr w:type="spellStart"/>
      <w:r w:rsidRPr="00F657CA">
        <w:rPr>
          <w:rFonts w:ascii="Arial" w:hAnsi="Arial" w:cs="Arial"/>
          <w:sz w:val="24"/>
          <w:szCs w:val="24"/>
          <w:lang w:val="en-US"/>
        </w:rPr>
        <w:t>Dumack</w:t>
      </w:r>
      <w:proofErr w:type="spellEnd"/>
      <w:r w:rsidRPr="00F657CA">
        <w:rPr>
          <w:rFonts w:ascii="Arial" w:hAnsi="Arial" w:cs="Arial"/>
          <w:sz w:val="24"/>
          <w:szCs w:val="24"/>
          <w:lang w:val="en-US"/>
        </w:rPr>
        <w:t xml:space="preserve"> K. (2025). </w:t>
      </w:r>
      <w:r w:rsidRPr="00F657CA">
        <w:rPr>
          <w:rFonts w:ascii="Arial" w:hAnsi="Arial" w:cs="Arial"/>
          <w:i/>
          <w:iCs/>
          <w:sz w:val="24"/>
          <w:szCs w:val="24"/>
          <w:lang w:val="en-US"/>
        </w:rPr>
        <w:t>Viral and eukaryotic drivers of prokaryotic and antibiotic resistance gene diversity in wastewater microbiomes.</w:t>
      </w:r>
      <w:r w:rsidRPr="00F657CA">
        <w:rPr>
          <w:rFonts w:ascii="Arial" w:hAnsi="Arial" w:cs="Arial"/>
          <w:sz w:val="24"/>
          <w:szCs w:val="24"/>
          <w:lang w:val="en-US"/>
        </w:rPr>
        <w:t xml:space="preserve"> </w:t>
      </w:r>
      <w:r w:rsidRPr="00F657CA">
        <w:rPr>
          <w:rFonts w:ascii="Arial" w:hAnsi="Arial" w:cs="Arial"/>
          <w:b/>
          <w:bCs/>
          <w:sz w:val="24"/>
          <w:szCs w:val="24"/>
        </w:rPr>
        <w:t>Microbiome.</w:t>
      </w:r>
      <w:r w:rsidRPr="00F657CA">
        <w:rPr>
          <w:rFonts w:ascii="Arial" w:hAnsi="Arial" w:cs="Arial"/>
          <w:sz w:val="24"/>
          <w:szCs w:val="24"/>
        </w:rPr>
        <w:t xml:space="preserve"> DOI: 10.1186/s40168-025-02307-3 </w:t>
      </w:r>
    </w:p>
    <w:p w14:paraId="6AA181C9" w14:textId="0CF65400" w:rsidR="009276BE" w:rsidRPr="00F657CA" w:rsidRDefault="009276BE" w:rsidP="00F657CA">
      <w:pPr>
        <w:jc w:val="both"/>
        <w:rPr>
          <w:rFonts w:ascii="Arial" w:hAnsi="Arial" w:cs="Arial"/>
          <w:sz w:val="24"/>
          <w:szCs w:val="24"/>
        </w:rPr>
      </w:pPr>
    </w:p>
    <w:p w14:paraId="50FCF94D" w14:textId="7C6CC0C0" w:rsidR="009276BE" w:rsidRPr="00F657CA" w:rsidRDefault="00F657CA" w:rsidP="00F657CA">
      <w:pPr>
        <w:jc w:val="both"/>
        <w:rPr>
          <w:rFonts w:ascii="Arial" w:hAnsi="Arial" w:cs="Arial"/>
          <w:b/>
          <w:bCs/>
          <w:sz w:val="24"/>
          <w:szCs w:val="24"/>
        </w:rPr>
      </w:pPr>
      <w:r>
        <w:rPr>
          <w:rFonts w:ascii="Arial" w:hAnsi="Arial" w:cs="Arial"/>
          <w:b/>
          <w:bCs/>
          <w:sz w:val="24"/>
          <w:szCs w:val="24"/>
        </w:rPr>
        <w:t>Fachlicher Ansprechpartner</w:t>
      </w:r>
      <w:bookmarkStart w:id="0" w:name="_GoBack"/>
      <w:bookmarkEnd w:id="0"/>
    </w:p>
    <w:p w14:paraId="5B094058" w14:textId="77777777" w:rsidR="00F657CA" w:rsidRDefault="009276BE" w:rsidP="00F657CA">
      <w:pPr>
        <w:rPr>
          <w:rFonts w:ascii="Arial" w:hAnsi="Arial" w:cs="Arial"/>
          <w:sz w:val="24"/>
          <w:szCs w:val="24"/>
        </w:rPr>
      </w:pPr>
      <w:r w:rsidRPr="00F657CA">
        <w:rPr>
          <w:rFonts w:ascii="Arial" w:hAnsi="Arial" w:cs="Arial"/>
          <w:bCs/>
          <w:sz w:val="24"/>
          <w:szCs w:val="24"/>
        </w:rPr>
        <w:t>Prof. Dr. Kenneth Dumack</w:t>
      </w:r>
      <w:r w:rsidRPr="00F657CA">
        <w:rPr>
          <w:rFonts w:ascii="Arial" w:hAnsi="Arial" w:cs="Arial"/>
          <w:sz w:val="24"/>
          <w:szCs w:val="24"/>
        </w:rPr>
        <w:br/>
        <w:t>Universität Koblenz</w:t>
      </w:r>
      <w:r w:rsidRPr="00F657CA">
        <w:rPr>
          <w:rFonts w:ascii="Arial" w:hAnsi="Arial" w:cs="Arial"/>
          <w:sz w:val="24"/>
          <w:szCs w:val="24"/>
        </w:rPr>
        <w:br/>
        <w:t>Universitätsstraße 1</w:t>
      </w:r>
      <w:r w:rsidRPr="00F657CA">
        <w:rPr>
          <w:rFonts w:ascii="Arial" w:hAnsi="Arial" w:cs="Arial"/>
          <w:sz w:val="24"/>
          <w:szCs w:val="24"/>
        </w:rPr>
        <w:br/>
        <w:t>56070 Koblenz</w:t>
      </w:r>
    </w:p>
    <w:p w14:paraId="13F4D8E4" w14:textId="6C3C294C" w:rsidR="009276BE" w:rsidRPr="00F657CA" w:rsidRDefault="009276BE" w:rsidP="00F657CA">
      <w:pPr>
        <w:rPr>
          <w:rFonts w:ascii="Arial" w:hAnsi="Arial" w:cs="Arial"/>
          <w:sz w:val="24"/>
          <w:szCs w:val="24"/>
        </w:rPr>
      </w:pPr>
      <w:r w:rsidRPr="00F657CA">
        <w:rPr>
          <w:rFonts w:ascii="Arial" w:hAnsi="Arial" w:cs="Arial"/>
          <w:sz w:val="24"/>
          <w:szCs w:val="24"/>
        </w:rPr>
        <w:br/>
        <w:t>Tel.: 0261 287 2380</w:t>
      </w:r>
      <w:r w:rsidRPr="00F657CA">
        <w:rPr>
          <w:rFonts w:ascii="Arial" w:hAnsi="Arial" w:cs="Arial"/>
          <w:sz w:val="24"/>
          <w:szCs w:val="24"/>
        </w:rPr>
        <w:br/>
        <w:t>E-Mail: kenneth.dumack@uni-koblenz.de</w:t>
      </w:r>
    </w:p>
    <w:p w14:paraId="3331551B" w14:textId="77777777" w:rsidR="009276BE" w:rsidRPr="00F657CA" w:rsidRDefault="00F657CA" w:rsidP="00F657CA">
      <w:pPr>
        <w:jc w:val="both"/>
        <w:rPr>
          <w:rFonts w:ascii="Arial" w:hAnsi="Arial" w:cs="Arial"/>
          <w:sz w:val="24"/>
          <w:szCs w:val="24"/>
        </w:rPr>
      </w:pPr>
      <w:r w:rsidRPr="00F657CA">
        <w:rPr>
          <w:rFonts w:ascii="Arial" w:hAnsi="Arial" w:cs="Arial"/>
          <w:sz w:val="24"/>
          <w:szCs w:val="24"/>
        </w:rPr>
        <w:pict w14:anchorId="7B9A1516">
          <v:rect id="_x0000_i1028" style="width:0;height:1.5pt" o:hralign="center" o:hrstd="t" o:hr="t" fillcolor="#a0a0a0" stroked="f"/>
        </w:pict>
      </w:r>
    </w:p>
    <w:p w14:paraId="4E84DB72" w14:textId="77777777" w:rsidR="003A16F8" w:rsidRPr="00F657CA" w:rsidRDefault="003A16F8" w:rsidP="00F657CA">
      <w:pPr>
        <w:jc w:val="both"/>
        <w:rPr>
          <w:rFonts w:ascii="Arial" w:hAnsi="Arial" w:cs="Arial"/>
          <w:sz w:val="24"/>
          <w:szCs w:val="24"/>
        </w:rPr>
      </w:pPr>
    </w:p>
    <w:sectPr w:rsidR="003A16F8" w:rsidRPr="00F657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BE"/>
    <w:rsid w:val="003A16F8"/>
    <w:rsid w:val="006457DF"/>
    <w:rsid w:val="009276BE"/>
    <w:rsid w:val="00C94F8D"/>
    <w:rsid w:val="00CC7327"/>
    <w:rsid w:val="00DA0F8C"/>
    <w:rsid w:val="00F65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9EF12C"/>
  <w15:chartTrackingRefBased/>
  <w15:docId w15:val="{F1021CFE-36FF-483E-9565-523A1286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7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7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76B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76B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76B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76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76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76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76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76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76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76B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76B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76B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76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76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76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76BE"/>
    <w:rPr>
      <w:rFonts w:eastAsiaTheme="majorEastAsia" w:cstheme="majorBidi"/>
      <w:color w:val="272727" w:themeColor="text1" w:themeTint="D8"/>
    </w:rPr>
  </w:style>
  <w:style w:type="paragraph" w:styleId="Titel">
    <w:name w:val="Title"/>
    <w:basedOn w:val="Standard"/>
    <w:next w:val="Standard"/>
    <w:link w:val="TitelZchn"/>
    <w:uiPriority w:val="10"/>
    <w:qFormat/>
    <w:rsid w:val="00927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76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76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76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76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76BE"/>
    <w:rPr>
      <w:i/>
      <w:iCs/>
      <w:color w:val="404040" w:themeColor="text1" w:themeTint="BF"/>
    </w:rPr>
  </w:style>
  <w:style w:type="paragraph" w:styleId="Listenabsatz">
    <w:name w:val="List Paragraph"/>
    <w:basedOn w:val="Standard"/>
    <w:uiPriority w:val="34"/>
    <w:qFormat/>
    <w:rsid w:val="009276BE"/>
    <w:pPr>
      <w:ind w:left="720"/>
      <w:contextualSpacing/>
    </w:pPr>
  </w:style>
  <w:style w:type="character" w:styleId="IntensiveHervorhebung">
    <w:name w:val="Intense Emphasis"/>
    <w:basedOn w:val="Absatz-Standardschriftart"/>
    <w:uiPriority w:val="21"/>
    <w:qFormat/>
    <w:rsid w:val="009276BE"/>
    <w:rPr>
      <w:i/>
      <w:iCs/>
      <w:color w:val="0F4761" w:themeColor="accent1" w:themeShade="BF"/>
    </w:rPr>
  </w:style>
  <w:style w:type="paragraph" w:styleId="IntensivesZitat">
    <w:name w:val="Intense Quote"/>
    <w:basedOn w:val="Standard"/>
    <w:next w:val="Standard"/>
    <w:link w:val="IntensivesZitatZchn"/>
    <w:uiPriority w:val="30"/>
    <w:qFormat/>
    <w:rsid w:val="00927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76BE"/>
    <w:rPr>
      <w:i/>
      <w:iCs/>
      <w:color w:val="0F4761" w:themeColor="accent1" w:themeShade="BF"/>
    </w:rPr>
  </w:style>
  <w:style w:type="character" w:styleId="IntensiverVerweis">
    <w:name w:val="Intense Reference"/>
    <w:basedOn w:val="Absatz-Standardschriftart"/>
    <w:uiPriority w:val="32"/>
    <w:qFormat/>
    <w:rsid w:val="009276BE"/>
    <w:rPr>
      <w:b/>
      <w:bCs/>
      <w:smallCaps/>
      <w:color w:val="0F4761" w:themeColor="accent1" w:themeShade="BF"/>
      <w:spacing w:val="5"/>
    </w:rPr>
  </w:style>
  <w:style w:type="character" w:styleId="Hyperlink">
    <w:name w:val="Hyperlink"/>
    <w:basedOn w:val="Absatz-Standardschriftart"/>
    <w:uiPriority w:val="99"/>
    <w:semiHidden/>
    <w:unhideWhenUsed/>
    <w:rsid w:val="00F65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wikipedia.org/wiki/Mikroorganismu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DBC62D13</Template>
  <TotalTime>0</TotalTime>
  <Pages>2</Pages>
  <Words>484</Words>
  <Characters>3050</Characters>
  <Application>Microsoft Office Word</Application>
  <DocSecurity>4</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Dumack</dc:creator>
  <cp:keywords/>
  <dc:description/>
  <cp:lastModifiedBy>Dr. Birgit Förg</cp:lastModifiedBy>
  <cp:revision>2</cp:revision>
  <dcterms:created xsi:type="dcterms:W3CDTF">2025-11-26T14:09:00Z</dcterms:created>
  <dcterms:modified xsi:type="dcterms:W3CDTF">2025-11-26T14:09:00Z</dcterms:modified>
</cp:coreProperties>
</file>