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29" w:rsidRDefault="00AD335C">
      <w:r>
        <w:t>Medienmitteilung</w:t>
      </w:r>
      <w:r w:rsidR="00F736C1">
        <w:t xml:space="preserve"> </w:t>
      </w:r>
    </w:p>
    <w:p w:rsidR="00A4068B" w:rsidRDefault="00602607" w:rsidP="004A526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UN-</w:t>
      </w:r>
      <w:r w:rsidR="00094AA6">
        <w:rPr>
          <w:b/>
          <w:sz w:val="32"/>
          <w:szCs w:val="32"/>
        </w:rPr>
        <w:t>Bauernrech</w:t>
      </w:r>
      <w:r>
        <w:rPr>
          <w:b/>
          <w:sz w:val="32"/>
          <w:szCs w:val="32"/>
        </w:rPr>
        <w:t xml:space="preserve">tsdeklaration: </w:t>
      </w:r>
      <w:r w:rsidR="00200F0F">
        <w:rPr>
          <w:b/>
          <w:sz w:val="32"/>
          <w:szCs w:val="32"/>
        </w:rPr>
        <w:t>Nun steht d</w:t>
      </w:r>
      <w:r w:rsidR="00894526">
        <w:rPr>
          <w:b/>
          <w:sz w:val="32"/>
          <w:szCs w:val="32"/>
        </w:rPr>
        <w:t>ie Schweiz in der Pflicht</w:t>
      </w:r>
    </w:p>
    <w:p w:rsidR="002B4261" w:rsidRPr="004A5264" w:rsidRDefault="002B4261" w:rsidP="004A5264">
      <w:pPr>
        <w:spacing w:after="0"/>
        <w:rPr>
          <w:b/>
          <w:sz w:val="28"/>
          <w:szCs w:val="28"/>
        </w:rPr>
      </w:pPr>
    </w:p>
    <w:p w:rsidR="00DB25AE" w:rsidRDefault="0025704A">
      <w:pPr>
        <w:rPr>
          <w:b/>
        </w:rPr>
      </w:pPr>
      <w:r>
        <w:t xml:space="preserve">Luzern, </w:t>
      </w:r>
      <w:r w:rsidR="00894526">
        <w:t xml:space="preserve">Bern, </w:t>
      </w:r>
      <w:r>
        <w:t>27. August</w:t>
      </w:r>
    </w:p>
    <w:p w:rsidR="00CC0792" w:rsidRPr="00E07356" w:rsidRDefault="00E07356">
      <w:pPr>
        <w:rPr>
          <w:b/>
        </w:rPr>
      </w:pPr>
      <w:r w:rsidRPr="00E07356">
        <w:rPr>
          <w:b/>
        </w:rPr>
        <w:t xml:space="preserve">Bauern und Bäuerinnen </w:t>
      </w:r>
      <w:r>
        <w:rPr>
          <w:b/>
        </w:rPr>
        <w:t xml:space="preserve">ernähren </w:t>
      </w:r>
      <w:r w:rsidRPr="00E07356">
        <w:rPr>
          <w:b/>
        </w:rPr>
        <w:t xml:space="preserve">die Welt und </w:t>
      </w:r>
      <w:r>
        <w:rPr>
          <w:b/>
        </w:rPr>
        <w:t xml:space="preserve">sind </w:t>
      </w:r>
      <w:r w:rsidR="00516539">
        <w:rPr>
          <w:b/>
        </w:rPr>
        <w:t>paradoxerweise</w:t>
      </w:r>
      <w:r w:rsidR="00516539" w:rsidRPr="00E07356">
        <w:rPr>
          <w:b/>
        </w:rPr>
        <w:t xml:space="preserve"> </w:t>
      </w:r>
      <w:r w:rsidRPr="00E07356">
        <w:rPr>
          <w:b/>
        </w:rPr>
        <w:t>in vielen Ländern die Hauptbetroffenen von Hunger und extremer Armut</w:t>
      </w:r>
      <w:r>
        <w:rPr>
          <w:b/>
        </w:rPr>
        <w:t xml:space="preserve">. </w:t>
      </w:r>
      <w:r w:rsidR="00894526" w:rsidRPr="00894526">
        <w:rPr>
          <w:b/>
        </w:rPr>
        <w:t xml:space="preserve">Seit 2018 legt die UN-Deklaration die Rechte der weltweit marginalisierten Kleinbauern und </w:t>
      </w:r>
      <w:r w:rsidR="00FD17A7">
        <w:rPr>
          <w:b/>
        </w:rPr>
        <w:t>-</w:t>
      </w:r>
      <w:r w:rsidR="00894526" w:rsidRPr="00894526">
        <w:rPr>
          <w:b/>
        </w:rPr>
        <w:t>bäuerinnen</w:t>
      </w:r>
      <w:r w:rsidR="00AF0699">
        <w:rPr>
          <w:b/>
        </w:rPr>
        <w:t>*</w:t>
      </w:r>
      <w:r w:rsidR="00894526" w:rsidRPr="00894526">
        <w:rPr>
          <w:b/>
        </w:rPr>
        <w:t xml:space="preserve"> fest. Eine neue Studie zeigt, dass in der Schweizer Aussenpolitik ein beachtlicher Handlungsbedarf besteht, um die Umsetzung der UN-Deklaration, zu der sich die Schweiz verpflichtet hat, voranzubringen</w:t>
      </w:r>
      <w:r w:rsidR="00894526">
        <w:rPr>
          <w:b/>
        </w:rPr>
        <w:t xml:space="preserve">. </w:t>
      </w:r>
      <w:r w:rsidR="00741ADA">
        <w:rPr>
          <w:b/>
        </w:rPr>
        <w:t xml:space="preserve">Die Studie wurde heute </w:t>
      </w:r>
      <w:r w:rsidR="009750D0">
        <w:rPr>
          <w:b/>
        </w:rPr>
        <w:t>Vormittag den zuständigen Schweizer Ämtern vorgestellt.</w:t>
      </w:r>
    </w:p>
    <w:p w:rsidR="00857FB4" w:rsidRDefault="00501040">
      <w:r>
        <w:t xml:space="preserve">Für die </w:t>
      </w:r>
      <w:r w:rsidR="009753D1">
        <w:t xml:space="preserve">weltweite Ernährungssicherung spielen </w:t>
      </w:r>
      <w:r w:rsidR="007632F0">
        <w:t>Kleinb</w:t>
      </w:r>
      <w:r w:rsidR="00EA64CA">
        <w:t>äuerinnen und Kleinbauern</w:t>
      </w:r>
      <w:r w:rsidR="007632F0">
        <w:t xml:space="preserve"> eine zentrale Rolle.</w:t>
      </w:r>
      <w:r w:rsidR="00055AA1">
        <w:t xml:space="preserve"> </w:t>
      </w:r>
      <w:r w:rsidR="00516539">
        <w:t xml:space="preserve">Dennoch </w:t>
      </w:r>
      <w:r w:rsidR="00055AA1">
        <w:t xml:space="preserve">sind </w:t>
      </w:r>
      <w:r w:rsidR="00945DC2">
        <w:t xml:space="preserve">sie </w:t>
      </w:r>
      <w:r w:rsidR="00200F0F">
        <w:t>gleichzeitig</w:t>
      </w:r>
      <w:r w:rsidR="00945DC2">
        <w:t xml:space="preserve"> </w:t>
      </w:r>
      <w:r w:rsidR="00055AA1">
        <w:t xml:space="preserve">die Hauptbetroffenen </w:t>
      </w:r>
      <w:r w:rsidR="00055AA1" w:rsidRPr="00055AA1">
        <w:t>von Hunger und extremer Armut</w:t>
      </w:r>
      <w:r w:rsidR="00055AA1">
        <w:t xml:space="preserve">. </w:t>
      </w:r>
      <w:r w:rsidR="001A6D24">
        <w:t xml:space="preserve">Zahlreiche Regierungen vernachlässigen in ihrer Landwirtschafts- und Handelspolitik </w:t>
      </w:r>
      <w:r w:rsidR="00200F0F">
        <w:t>ihre</w:t>
      </w:r>
      <w:r w:rsidR="001A6D24">
        <w:t xml:space="preserve"> Rechte und Bedürfnisse</w:t>
      </w:r>
      <w:r w:rsidR="00857FB4">
        <w:t xml:space="preserve">, </w:t>
      </w:r>
      <w:r w:rsidR="001A6D24">
        <w:t xml:space="preserve">und </w:t>
      </w:r>
      <w:r w:rsidR="00200F0F">
        <w:t xml:space="preserve">überlassen </w:t>
      </w:r>
      <w:r w:rsidR="001A6D24">
        <w:t xml:space="preserve">das Geschäft mit der Nahrung </w:t>
      </w:r>
      <w:r w:rsidR="00200F0F">
        <w:t>den</w:t>
      </w:r>
      <w:r w:rsidR="008A5E22">
        <w:t xml:space="preserve"> </w:t>
      </w:r>
      <w:r w:rsidR="001A6D24">
        <w:t>Agrarkonzerne</w:t>
      </w:r>
      <w:r w:rsidR="00200F0F">
        <w:t>n</w:t>
      </w:r>
      <w:r w:rsidR="001A6D24">
        <w:t>.</w:t>
      </w:r>
      <w:r w:rsidR="00E973E5">
        <w:t xml:space="preserve"> </w:t>
      </w:r>
    </w:p>
    <w:p w:rsidR="003B3B84" w:rsidRDefault="00200F0F">
      <w:r>
        <w:t>Im Verhandlungsprozess</w:t>
      </w:r>
      <w:r w:rsidR="00E973E5">
        <w:t xml:space="preserve"> der </w:t>
      </w:r>
      <w:r w:rsidR="00857FB4">
        <w:t xml:space="preserve">2018 </w:t>
      </w:r>
      <w:r w:rsidR="00250352">
        <w:t xml:space="preserve">von der UNO angenommenen </w:t>
      </w:r>
      <w:r w:rsidR="00E973E5">
        <w:t xml:space="preserve">Deklaration über die Rechte der </w:t>
      </w:r>
      <w:r w:rsidR="008A5E22">
        <w:t>Kleinb</w:t>
      </w:r>
      <w:r w:rsidR="006C6029">
        <w:t xml:space="preserve">äuerinnen und </w:t>
      </w:r>
      <w:r w:rsidR="008A5E22">
        <w:t>-b</w:t>
      </w:r>
      <w:r w:rsidR="00E973E5">
        <w:t>auern</w:t>
      </w:r>
      <w:r w:rsidR="006D73C9">
        <w:t xml:space="preserve"> (UNDROP)</w:t>
      </w:r>
      <w:r>
        <w:t>, mit der</w:t>
      </w:r>
      <w:r w:rsidR="00E973E5">
        <w:t xml:space="preserve"> ein umfassendes inter</w:t>
      </w:r>
      <w:r w:rsidR="0025704A">
        <w:t>nationales Instrument</w:t>
      </w:r>
      <w:r w:rsidR="00857FB4">
        <w:t xml:space="preserve"> vor</w:t>
      </w:r>
      <w:r>
        <w:t>liegt</w:t>
      </w:r>
      <w:r w:rsidR="0025704A">
        <w:t xml:space="preserve">, </w:t>
      </w:r>
      <w:r>
        <w:t>um</w:t>
      </w:r>
      <w:r w:rsidR="0025704A">
        <w:t xml:space="preserve"> </w:t>
      </w:r>
      <w:r w:rsidR="00E564FB">
        <w:t>ihre</w:t>
      </w:r>
      <w:r w:rsidR="00857FB4">
        <w:t xml:space="preserve"> Rechte </w:t>
      </w:r>
      <w:r>
        <w:t>einzufordern und zu verteidigen,</w:t>
      </w:r>
      <w:r w:rsidR="00857FB4">
        <w:t xml:space="preserve"> </w:t>
      </w:r>
      <w:r w:rsidR="00DE5B0D">
        <w:t>hatte der Bund eine Schlüsselrolle</w:t>
      </w:r>
      <w:r w:rsidR="00327DA9">
        <w:t xml:space="preserve"> inne und setzte sich für deren</w:t>
      </w:r>
      <w:r w:rsidR="003B3B84">
        <w:t xml:space="preserve"> Annahme ein. </w:t>
      </w:r>
    </w:p>
    <w:p w:rsidR="00BB710E" w:rsidRDefault="00857FB4">
      <w:r>
        <w:t xml:space="preserve">Nun </w:t>
      </w:r>
      <w:r w:rsidR="00200F0F">
        <w:t xml:space="preserve">aber </w:t>
      </w:r>
      <w:r>
        <w:t xml:space="preserve">zeigt </w:t>
      </w:r>
      <w:r w:rsidR="001E7462">
        <w:t xml:space="preserve">die </w:t>
      </w:r>
      <w:r w:rsidR="004D6577">
        <w:t xml:space="preserve">von Schweizer </w:t>
      </w:r>
      <w:r w:rsidR="00E07356">
        <w:t xml:space="preserve">NGOs </w:t>
      </w:r>
      <w:r w:rsidR="004D6577">
        <w:t>in Auft</w:t>
      </w:r>
      <w:r w:rsidR="0025704A">
        <w:t xml:space="preserve">rag gegebene Studie, </w:t>
      </w:r>
      <w:r w:rsidR="00200F0F">
        <w:t xml:space="preserve">dass </w:t>
      </w:r>
      <w:r w:rsidR="004D6577">
        <w:t>die Schweiz zentrale Bereiche ihrer Aussenpolitik kohärent</w:t>
      </w:r>
      <w:r w:rsidR="00164CBD">
        <w:t>er</w:t>
      </w:r>
      <w:r w:rsidR="004D6577">
        <w:t xml:space="preserve"> gestalten </w:t>
      </w:r>
      <w:r w:rsidR="00164CBD">
        <w:t>sollte, um</w:t>
      </w:r>
      <w:r w:rsidR="004D6577">
        <w:t xml:space="preserve"> zur </w:t>
      </w:r>
      <w:r w:rsidR="00200F0F">
        <w:t xml:space="preserve">weltweiten </w:t>
      </w:r>
      <w:r w:rsidR="004D6577">
        <w:t xml:space="preserve">Verwirklichung der Bauernrechte </w:t>
      </w:r>
      <w:r w:rsidR="00164CBD">
        <w:t>beizutragen</w:t>
      </w:r>
      <w:r w:rsidR="00AF0699">
        <w:t>.</w:t>
      </w:r>
    </w:p>
    <w:p w:rsidR="006C6029" w:rsidRPr="00327DA9" w:rsidRDefault="00327DA9">
      <w:pPr>
        <w:rPr>
          <w:b/>
        </w:rPr>
      </w:pPr>
      <w:r>
        <w:rPr>
          <w:b/>
        </w:rPr>
        <w:t xml:space="preserve">Die Richtung stimmt, aber es bleibt noch viel zu </w:t>
      </w:r>
      <w:r w:rsidR="0081537E">
        <w:rPr>
          <w:b/>
        </w:rPr>
        <w:t>tun</w:t>
      </w:r>
    </w:p>
    <w:p w:rsidR="003B3B84" w:rsidRDefault="003B3B84" w:rsidP="006C6029">
      <w:r>
        <w:t xml:space="preserve">Die von den </w:t>
      </w:r>
      <w:r w:rsidR="0009576A">
        <w:t xml:space="preserve">Organisationen </w:t>
      </w:r>
      <w:r w:rsidR="00B622ED" w:rsidRPr="00DE5B0D">
        <w:rPr>
          <w:i/>
        </w:rPr>
        <w:t>Brot für alle</w:t>
      </w:r>
      <w:r w:rsidR="00AD335C">
        <w:t>, CETIM</w:t>
      </w:r>
      <w:r w:rsidR="00B622ED">
        <w:t xml:space="preserve">, </w:t>
      </w:r>
      <w:r w:rsidR="00B622ED" w:rsidRPr="00DE5B0D">
        <w:rPr>
          <w:i/>
        </w:rPr>
        <w:t>Fastenopfer</w:t>
      </w:r>
      <w:r w:rsidR="00B622ED">
        <w:t>, FIAN</w:t>
      </w:r>
      <w:r w:rsidR="00A23A3C">
        <w:t>-Schweiz</w:t>
      </w:r>
      <w:r w:rsidR="00B622ED">
        <w:t>, H</w:t>
      </w:r>
      <w:r w:rsidR="00297B9E">
        <w:t>EKS</w:t>
      </w:r>
      <w:r w:rsidR="00B622ED">
        <w:t xml:space="preserve">, </w:t>
      </w:r>
      <w:r w:rsidR="000A349C">
        <w:t xml:space="preserve">SWISSAID </w:t>
      </w:r>
      <w:r w:rsidR="00B622ED">
        <w:t xml:space="preserve">und </w:t>
      </w:r>
      <w:proofErr w:type="spellStart"/>
      <w:r w:rsidR="00B622ED">
        <w:t>Uniterre</w:t>
      </w:r>
      <w:proofErr w:type="spellEnd"/>
      <w:r w:rsidR="00C770E7">
        <w:t xml:space="preserve"> </w:t>
      </w:r>
      <w:r>
        <w:t>in Auftrag gegebene Studie</w:t>
      </w:r>
      <w:r w:rsidR="00DE5B0D">
        <w:t>,</w:t>
      </w:r>
      <w:r>
        <w:t xml:space="preserve"> analysiert </w:t>
      </w:r>
      <w:r w:rsidR="00C770E7" w:rsidRPr="00C770E7">
        <w:t xml:space="preserve">die Schweizer Aussenpolitik in den Bereichen Handel, Saatgut und Landrechte sowie </w:t>
      </w:r>
      <w:r w:rsidR="00962450">
        <w:t xml:space="preserve">die </w:t>
      </w:r>
      <w:r w:rsidR="00C770E7" w:rsidRPr="00C770E7">
        <w:t xml:space="preserve">Entwicklungszusammenarbeit im Lichte </w:t>
      </w:r>
      <w:r>
        <w:t>der UN</w:t>
      </w:r>
      <w:r w:rsidR="00C770E7" w:rsidRPr="00C770E7">
        <w:t>-</w:t>
      </w:r>
      <w:r w:rsidR="00520B6F">
        <w:t>Dekl</w:t>
      </w:r>
      <w:r w:rsidR="00AF0699">
        <w:t>a</w:t>
      </w:r>
      <w:r w:rsidR="00520B6F">
        <w:t>ration</w:t>
      </w:r>
      <w:r w:rsidR="006E3F17">
        <w:t>, deckt Mängel auf und präsentiert einen Forderungskatalog.</w:t>
      </w:r>
    </w:p>
    <w:p w:rsidR="006E3F17" w:rsidRDefault="006C6029" w:rsidP="001B5607">
      <w:r w:rsidRPr="00C610E3">
        <w:t xml:space="preserve">Die Schweiz setzt auf </w:t>
      </w:r>
      <w:r w:rsidR="00C610E3" w:rsidRPr="00C610E3">
        <w:t xml:space="preserve">Handelsliberalisierung und </w:t>
      </w:r>
      <w:r w:rsidR="00525F65" w:rsidRPr="00C610E3">
        <w:t>trifft bestimmte Massnahmen zum Schu</w:t>
      </w:r>
      <w:r w:rsidR="00C610E3" w:rsidRPr="00C610E3">
        <w:t>tz der Schweizer Landwirtschaft</w:t>
      </w:r>
      <w:r w:rsidR="008F2349" w:rsidRPr="00C610E3">
        <w:t>.</w:t>
      </w:r>
      <w:r w:rsidR="00620332" w:rsidRPr="00C610E3">
        <w:t xml:space="preserve"> </w:t>
      </w:r>
      <w:r w:rsidR="00CD01C7" w:rsidRPr="00C610E3">
        <w:t>Diese</w:t>
      </w:r>
      <w:r w:rsidR="00CD01C7" w:rsidRPr="006E3F17">
        <w:t xml:space="preserve"> national ausgerichtete Politik</w:t>
      </w:r>
      <w:r w:rsidR="001F5BB7" w:rsidRPr="006E3F17">
        <w:t xml:space="preserve"> benachteiligt </w:t>
      </w:r>
      <w:r w:rsidR="001B5607">
        <w:t xml:space="preserve">jedoch </w:t>
      </w:r>
      <w:r w:rsidR="00FD17A7">
        <w:t>die Kleinbauern und -</w:t>
      </w:r>
      <w:r w:rsidR="00C610E3">
        <w:t xml:space="preserve">bäuerinnen in den Ländern des Südens </w:t>
      </w:r>
      <w:r w:rsidR="009A3A8B" w:rsidRPr="006E3F17">
        <w:t xml:space="preserve">und </w:t>
      </w:r>
      <w:r w:rsidR="00E63F26" w:rsidRPr="006E3F17">
        <w:t>verletzt</w:t>
      </w:r>
      <w:r w:rsidR="00AF0699" w:rsidRPr="006E3F17">
        <w:t xml:space="preserve"> </w:t>
      </w:r>
      <w:r w:rsidR="006D73C9" w:rsidRPr="006E3F17">
        <w:t>die in der UNDROP</w:t>
      </w:r>
      <w:r w:rsidR="00F0633B" w:rsidRPr="006E3F17">
        <w:t xml:space="preserve"> verankerten Rechte</w:t>
      </w:r>
      <w:r w:rsidR="002B5A8A" w:rsidRPr="006E3F17">
        <w:t xml:space="preserve">. Dadurch </w:t>
      </w:r>
      <w:r w:rsidR="00C63AAB" w:rsidRPr="006E3F17">
        <w:t xml:space="preserve">verlieren </w:t>
      </w:r>
      <w:r w:rsidR="002D684E" w:rsidRPr="006E3F17">
        <w:t xml:space="preserve">unzählige </w:t>
      </w:r>
      <w:r w:rsidR="00DE2095" w:rsidRPr="006E3F17">
        <w:t>M</w:t>
      </w:r>
      <w:r w:rsidR="00BF1957" w:rsidRPr="006E3F17">
        <w:t>e</w:t>
      </w:r>
      <w:r w:rsidR="00DE2095" w:rsidRPr="006E3F17">
        <w:t xml:space="preserve">nschen </w:t>
      </w:r>
      <w:r w:rsidR="00F15D99" w:rsidRPr="006E3F17">
        <w:t>ihr</w:t>
      </w:r>
      <w:r w:rsidR="00976355" w:rsidRPr="006E3F17">
        <w:t xml:space="preserve"> Recht auf Land</w:t>
      </w:r>
      <w:r w:rsidR="00810773" w:rsidRPr="006E3F17">
        <w:t xml:space="preserve">, </w:t>
      </w:r>
      <w:r w:rsidR="00B24F40" w:rsidRPr="006E3F17">
        <w:t xml:space="preserve">auf </w:t>
      </w:r>
      <w:r w:rsidR="00A13188" w:rsidRPr="006E3F17">
        <w:t>biologische</w:t>
      </w:r>
      <w:r w:rsidR="00810773" w:rsidRPr="006E3F17">
        <w:t xml:space="preserve"> Vielfalt</w:t>
      </w:r>
      <w:r w:rsidR="00C616BF" w:rsidRPr="006E3F17">
        <w:t xml:space="preserve"> sowie auf </w:t>
      </w:r>
      <w:r w:rsidR="00810773" w:rsidRPr="006E3F17">
        <w:t>ei</w:t>
      </w:r>
      <w:r w:rsidR="006E3F17" w:rsidRPr="006E3F17">
        <w:t xml:space="preserve">ne saubere und gesunde Umwelt. </w:t>
      </w:r>
      <w:r w:rsidR="008B47ED" w:rsidRPr="006E3F17">
        <w:t>Hier ist d</w:t>
      </w:r>
      <w:r w:rsidRPr="006E3F17">
        <w:t xml:space="preserve">ie Schweiz </w:t>
      </w:r>
      <w:r w:rsidR="008B47ED" w:rsidRPr="006E3F17">
        <w:t>aufgefordert</w:t>
      </w:r>
      <w:r w:rsidR="00611DBA">
        <w:t>,</w:t>
      </w:r>
      <w:r w:rsidR="008B47ED" w:rsidRPr="006E3F17">
        <w:t xml:space="preserve"> genau hinzuschauen und</w:t>
      </w:r>
      <w:r w:rsidRPr="006E3F17">
        <w:t xml:space="preserve"> die Auswirkungen </w:t>
      </w:r>
      <w:r w:rsidR="006E3F17">
        <w:t>der bestehenden</w:t>
      </w:r>
      <w:r w:rsidR="004D5854" w:rsidRPr="006E3F17">
        <w:t xml:space="preserve"> oder künftiger</w:t>
      </w:r>
      <w:r w:rsidRPr="006E3F17">
        <w:t xml:space="preserve"> Freihandelsabkommen auf Bauern</w:t>
      </w:r>
      <w:r w:rsidR="002B5A8A" w:rsidRPr="006E3F17">
        <w:t>familien</w:t>
      </w:r>
      <w:r w:rsidRPr="006E3F17">
        <w:t xml:space="preserve"> in der </w:t>
      </w:r>
      <w:r w:rsidRPr="006E3F17">
        <w:lastRenderedPageBreak/>
        <w:t xml:space="preserve">Schweiz </w:t>
      </w:r>
      <w:r w:rsidR="008B47ED" w:rsidRPr="006E3F17">
        <w:t>so</w:t>
      </w:r>
      <w:r w:rsidRPr="006E3F17">
        <w:t xml:space="preserve">wie in Partnerländern </w:t>
      </w:r>
      <w:r w:rsidR="008B47ED" w:rsidRPr="006E3F17">
        <w:t xml:space="preserve">zu </w:t>
      </w:r>
      <w:r w:rsidRPr="006E3F17">
        <w:t>überprüfen</w:t>
      </w:r>
      <w:r w:rsidR="006E3F17">
        <w:t>. Zudem muss</w:t>
      </w:r>
      <w:r w:rsidR="00250352" w:rsidRPr="006E3F17">
        <w:t xml:space="preserve"> </w:t>
      </w:r>
      <w:r w:rsidR="00C053C1" w:rsidRPr="006E3F17">
        <w:t xml:space="preserve">die </w:t>
      </w:r>
      <w:r w:rsidR="0081537E">
        <w:t>Mitsprache</w:t>
      </w:r>
      <w:r w:rsidR="0081537E" w:rsidRPr="006E3F17">
        <w:t xml:space="preserve"> </w:t>
      </w:r>
      <w:r w:rsidR="00C053C1" w:rsidRPr="006E3F17">
        <w:t>der B</w:t>
      </w:r>
      <w:r w:rsidR="00DE5B0D" w:rsidRPr="006E3F17">
        <w:t>äuerinnen und Bauern</w:t>
      </w:r>
      <w:r w:rsidR="00C053C1" w:rsidRPr="006E3F17">
        <w:t xml:space="preserve"> in den Verhandlungen proaktiv </w:t>
      </w:r>
      <w:r w:rsidR="006E3F17">
        <w:t xml:space="preserve">gefördert </w:t>
      </w:r>
      <w:r w:rsidR="00250352" w:rsidRPr="006E3F17">
        <w:t xml:space="preserve">und </w:t>
      </w:r>
      <w:r w:rsidR="00DE5B0D" w:rsidRPr="006E3F17">
        <w:t>die</w:t>
      </w:r>
      <w:r w:rsidR="004D5854" w:rsidRPr="006E3F17">
        <w:t xml:space="preserve"> Standards </w:t>
      </w:r>
      <w:r w:rsidR="00DE5B0D" w:rsidRPr="006E3F17">
        <w:t xml:space="preserve">entsprechend </w:t>
      </w:r>
      <w:r w:rsidR="006E3F17">
        <w:t>angepasst werden</w:t>
      </w:r>
      <w:r w:rsidR="00E564FB" w:rsidRPr="006E3F17">
        <w:t xml:space="preserve">. </w:t>
      </w:r>
      <w:r w:rsidR="006E3F17">
        <w:t>D</w:t>
      </w:r>
      <w:r w:rsidRPr="006E3F17">
        <w:t xml:space="preserve">ie Schweiz </w:t>
      </w:r>
      <w:r w:rsidR="006E3F17">
        <w:t xml:space="preserve">soll </w:t>
      </w:r>
      <w:r w:rsidRPr="006E3F17">
        <w:t>sich klar für das Recht auf Saatgut positionieren</w:t>
      </w:r>
      <w:r w:rsidR="007B2C97" w:rsidRPr="006E3F17">
        <w:t xml:space="preserve"> </w:t>
      </w:r>
      <w:r w:rsidR="004C72AE" w:rsidRPr="006E3F17">
        <w:t>und damit</w:t>
      </w:r>
      <w:r w:rsidRPr="006E3F17">
        <w:t xml:space="preserve"> auf </w:t>
      </w:r>
      <w:r w:rsidR="004C6A08">
        <w:t xml:space="preserve">strenge Sortenschutzgesetze </w:t>
      </w:r>
      <w:r w:rsidRPr="006E3F17">
        <w:t>als Bestandteil von Freihandelsabkommen verzichten</w:t>
      </w:r>
      <w:r w:rsidR="006E3F17">
        <w:t>.</w:t>
      </w:r>
      <w:r w:rsidRPr="006E3F17">
        <w:t xml:space="preserve"> </w:t>
      </w:r>
    </w:p>
    <w:p w:rsidR="006E3F17" w:rsidRDefault="006E3F17" w:rsidP="001B5607">
      <w:r>
        <w:t>Bauern und Bäuerinnen züchten, nutzen und vervielfältigen seit jeher Saatgut und tragen damit zum Schutz der Biodiversität bei. Ü</w:t>
      </w:r>
      <w:r w:rsidR="006C6029" w:rsidRPr="006E3F17">
        <w:t xml:space="preserve">ber </w:t>
      </w:r>
      <w:r>
        <w:t xml:space="preserve">die </w:t>
      </w:r>
      <w:r w:rsidR="006C6029" w:rsidRPr="006E3F17">
        <w:t>Entwicklungszusammenarbeit</w:t>
      </w:r>
      <w:r>
        <w:t xml:space="preserve"> soll die Schweiz </w:t>
      </w:r>
      <w:r w:rsidR="006C6029" w:rsidRPr="006E3F17">
        <w:t>die Entwicklung alternativer Sortenschutzgesetze anregen sowie lokale bäuerliche Saatgutsysteme stärken</w:t>
      </w:r>
      <w:r w:rsidR="008B47ED" w:rsidRPr="006E3F17">
        <w:t>.</w:t>
      </w:r>
      <w:r w:rsidR="00E564FB" w:rsidRPr="006E3F17">
        <w:t xml:space="preserve"> </w:t>
      </w:r>
    </w:p>
    <w:p w:rsidR="006C6029" w:rsidRPr="00200F0F" w:rsidRDefault="00A6159B" w:rsidP="00D8319C">
      <w:pPr>
        <w:rPr>
          <w:lang w:val="de-DE"/>
        </w:rPr>
      </w:pPr>
      <w:r>
        <w:t xml:space="preserve">Zudem zeigt die Studie, dass </w:t>
      </w:r>
      <w:r w:rsidR="00FD17A7">
        <w:t>in der</w:t>
      </w:r>
      <w:r w:rsidR="00FD17A7" w:rsidRPr="006E3F17">
        <w:t xml:space="preserve"> </w:t>
      </w:r>
      <w:r w:rsidR="006C6029" w:rsidRPr="006E3F17">
        <w:t>ne</w:t>
      </w:r>
      <w:r w:rsidR="000356C1" w:rsidRPr="006E3F17">
        <w:t>ue</w:t>
      </w:r>
      <w:r w:rsidR="00FD17A7">
        <w:t>n</w:t>
      </w:r>
      <w:r w:rsidR="000356C1" w:rsidRPr="006E3F17">
        <w:t xml:space="preserve"> Botschaft zur Strategie der </w:t>
      </w:r>
      <w:r w:rsidR="00254CE8">
        <w:t>i</w:t>
      </w:r>
      <w:r w:rsidR="00254CE8" w:rsidRPr="006E3F17">
        <w:t>nternationalen</w:t>
      </w:r>
      <w:r w:rsidR="006C6029" w:rsidRPr="006E3F17">
        <w:t xml:space="preserve"> Zusammenarbeit 2021-2024 </w:t>
      </w:r>
      <w:r>
        <w:t>die Bauernrechte</w:t>
      </w:r>
      <w:r w:rsidR="00FD17A7">
        <w:t>,</w:t>
      </w:r>
      <w:r>
        <w:t xml:space="preserve"> ausser im </w:t>
      </w:r>
      <w:r w:rsidR="006C6029" w:rsidRPr="006E3F17">
        <w:t>Global</w:t>
      </w:r>
      <w:r w:rsidR="00FE6A79" w:rsidRPr="006E3F17">
        <w:t>p</w:t>
      </w:r>
      <w:r w:rsidR="006C6029" w:rsidRPr="006E3F17">
        <w:t xml:space="preserve">rogramm für Ernährungssicherheit der </w:t>
      </w:r>
      <w:proofErr w:type="spellStart"/>
      <w:r w:rsidR="006C6029" w:rsidRPr="006E3F17">
        <w:t>D</w:t>
      </w:r>
      <w:r w:rsidR="00FE6A79" w:rsidRPr="006E3F17">
        <w:t>eza</w:t>
      </w:r>
      <w:proofErr w:type="spellEnd"/>
      <w:r w:rsidR="00FD17A7">
        <w:t>,</w:t>
      </w:r>
      <w:r w:rsidR="006C6029" w:rsidRPr="006E3F17">
        <w:t xml:space="preserve"> keine Erwähnung</w:t>
      </w:r>
      <w:r>
        <w:t xml:space="preserve"> finden</w:t>
      </w:r>
      <w:r w:rsidR="00301C74">
        <w:t>, und dass die starke Beteiligung des Privatsektors ein beträchtliches Risiko hinsichtlich der Einhaltung der Menschenrechte und traditioneller Landnutzung darstellt.</w:t>
      </w:r>
      <w:r w:rsidR="006C6029" w:rsidRPr="006E3F17">
        <w:t xml:space="preserve"> </w:t>
      </w:r>
      <w:r w:rsidR="006C6029" w:rsidRPr="00200F0F">
        <w:t xml:space="preserve">Die Schweiz muss </w:t>
      </w:r>
      <w:r w:rsidR="001B5607">
        <w:t xml:space="preserve">jedoch </w:t>
      </w:r>
      <w:r w:rsidR="006C6029" w:rsidRPr="00200F0F">
        <w:t>sicherstellen, dass alle Projekte</w:t>
      </w:r>
      <w:r w:rsidR="000356C1" w:rsidRPr="00200F0F">
        <w:t xml:space="preserve"> </w:t>
      </w:r>
      <w:r w:rsidR="006C6029" w:rsidRPr="00200F0F">
        <w:t xml:space="preserve">von </w:t>
      </w:r>
      <w:proofErr w:type="spellStart"/>
      <w:r w:rsidR="006C6029" w:rsidRPr="00200F0F">
        <w:t>Seco</w:t>
      </w:r>
      <w:proofErr w:type="spellEnd"/>
      <w:r w:rsidR="006C6029" w:rsidRPr="00200F0F">
        <w:t xml:space="preserve"> und </w:t>
      </w:r>
      <w:proofErr w:type="spellStart"/>
      <w:r w:rsidR="006C6029" w:rsidRPr="00200F0F">
        <w:t>Deza</w:t>
      </w:r>
      <w:proofErr w:type="spellEnd"/>
      <w:r w:rsidR="006C6029" w:rsidRPr="00200F0F">
        <w:t xml:space="preserve"> in Einklang mit den </w:t>
      </w:r>
      <w:r w:rsidR="00CF3170" w:rsidRPr="00200F0F">
        <w:t xml:space="preserve">Rechten der </w:t>
      </w:r>
      <w:r w:rsidR="006C6029" w:rsidRPr="00200F0F">
        <w:t>B</w:t>
      </w:r>
      <w:r w:rsidR="00CF3170" w:rsidRPr="00200F0F">
        <w:t>ä</w:t>
      </w:r>
      <w:r w:rsidR="006C6029" w:rsidRPr="00200F0F">
        <w:t>uer</w:t>
      </w:r>
      <w:r w:rsidR="00CF3170" w:rsidRPr="00200F0F">
        <w:t>in</w:t>
      </w:r>
      <w:r w:rsidR="006C6029" w:rsidRPr="00200F0F">
        <w:t>n</w:t>
      </w:r>
      <w:r w:rsidR="00CF3170" w:rsidRPr="00200F0F">
        <w:t xml:space="preserve">en und Bauern </w:t>
      </w:r>
      <w:r w:rsidR="006C6029" w:rsidRPr="00200F0F">
        <w:t>stehen</w:t>
      </w:r>
      <w:r w:rsidR="000356C1" w:rsidRPr="00200F0F">
        <w:t>.</w:t>
      </w:r>
      <w:r w:rsidR="006C6029" w:rsidRPr="00200F0F">
        <w:t xml:space="preserve"> Um </w:t>
      </w:r>
      <w:r w:rsidR="00163D87" w:rsidRPr="00200F0F">
        <w:t xml:space="preserve">ihre </w:t>
      </w:r>
      <w:r w:rsidR="006C6029" w:rsidRPr="00200F0F">
        <w:t>Mitsprache und Mitwirkung zu ermöglichen und zu stä</w:t>
      </w:r>
      <w:r w:rsidR="000356C1" w:rsidRPr="00200F0F">
        <w:t xml:space="preserve">rken, empfiehlt die Studie bei </w:t>
      </w:r>
      <w:r w:rsidR="00422BDD" w:rsidRPr="00200F0F">
        <w:t xml:space="preserve">der </w:t>
      </w:r>
      <w:r w:rsidR="000356C1" w:rsidRPr="00200F0F">
        <w:t>internationale</w:t>
      </w:r>
      <w:r w:rsidR="00422BDD" w:rsidRPr="00200F0F">
        <w:t>n</w:t>
      </w:r>
      <w:r w:rsidR="006C6029" w:rsidRPr="00200F0F">
        <w:t xml:space="preserve"> Zusammenarbeit, </w:t>
      </w:r>
      <w:r w:rsidR="007F79BF" w:rsidRPr="00200F0F">
        <w:t>Bauern und Bäuerinnen</w:t>
      </w:r>
      <w:r w:rsidR="003D3DDF" w:rsidRPr="00200F0F">
        <w:t xml:space="preserve"> zu unterstützen</w:t>
      </w:r>
      <w:r w:rsidR="001B5607">
        <w:t>,</w:t>
      </w:r>
      <w:r w:rsidR="003D3DDF" w:rsidRPr="00200F0F">
        <w:t xml:space="preserve"> </w:t>
      </w:r>
      <w:r w:rsidR="00611DBA">
        <w:t xml:space="preserve">damit sie </w:t>
      </w:r>
      <w:r w:rsidR="003D3DDF" w:rsidRPr="00200F0F">
        <w:t>ihre Rechte einfordern und wahrnehmen</w:t>
      </w:r>
      <w:r w:rsidR="00865C2D">
        <w:t xml:space="preserve"> können. </w:t>
      </w:r>
      <w:r w:rsidR="00611DBA">
        <w:t xml:space="preserve">Zudem soll sie </w:t>
      </w:r>
      <w:r w:rsidR="006C6029" w:rsidRPr="00200F0F">
        <w:t xml:space="preserve">die Bildung und Förderung bäuerlicher Organisationen und </w:t>
      </w:r>
      <w:r w:rsidR="000356C1" w:rsidRPr="00200F0F">
        <w:t>nationale</w:t>
      </w:r>
      <w:r w:rsidR="000579EE" w:rsidRPr="00200F0F">
        <w:t>r</w:t>
      </w:r>
      <w:r w:rsidR="000356C1" w:rsidRPr="00200F0F">
        <w:t xml:space="preserve"> </w:t>
      </w:r>
      <w:r w:rsidR="00611DBA" w:rsidRPr="00200F0F">
        <w:t>bäuerliche</w:t>
      </w:r>
      <w:r w:rsidR="00611DBA">
        <w:t>r</w:t>
      </w:r>
      <w:r w:rsidR="00611DBA" w:rsidRPr="00200F0F">
        <w:t xml:space="preserve"> </w:t>
      </w:r>
      <w:r w:rsidR="006C6029" w:rsidRPr="00200F0F">
        <w:t>Räte unterstützen</w:t>
      </w:r>
      <w:r w:rsidR="000356C1" w:rsidRPr="00200F0F">
        <w:t>.</w:t>
      </w:r>
      <w:r w:rsidR="006C6029" w:rsidRPr="00200F0F">
        <w:t xml:space="preserve"> </w:t>
      </w:r>
    </w:p>
    <w:p w:rsidR="00231215" w:rsidRDefault="001B5607" w:rsidP="006C6029">
      <w:r w:rsidRPr="00AE0B8D">
        <w:t xml:space="preserve">Beim heutigen Treffen zwischen den </w:t>
      </w:r>
      <w:r w:rsidR="004C6A08" w:rsidRPr="00AE0B8D">
        <w:t>NGOs</w:t>
      </w:r>
      <w:r w:rsidRPr="00AE0B8D">
        <w:t xml:space="preserve"> und Vertreterinnen und Vertretern </w:t>
      </w:r>
      <w:r w:rsidR="00324CC9" w:rsidRPr="00AE0B8D">
        <w:t>der Bundesämter, darunter das Eidgenössische Departement für auswärtige Angelegenheiten und das Institut für Geistiges Eigentum</w:t>
      </w:r>
      <w:r w:rsidR="00231215" w:rsidRPr="00AE0B8D">
        <w:t xml:space="preserve">, </w:t>
      </w:r>
      <w:r w:rsidRPr="00AE0B8D">
        <w:t>konnten die Studienresultate präsentiert werden.</w:t>
      </w:r>
      <w:r w:rsidR="00231215" w:rsidRPr="00AE0B8D">
        <w:t xml:space="preserve"> Die Auftraggeber/innen der Studie schätzen die</w:t>
      </w:r>
      <w:r w:rsidRPr="00AE0B8D">
        <w:t>se</w:t>
      </w:r>
      <w:r w:rsidR="00231215" w:rsidRPr="00AE0B8D">
        <w:t xml:space="preserve"> Offenheit </w:t>
      </w:r>
      <w:r w:rsidRPr="00AE0B8D">
        <w:t xml:space="preserve">und hoffen </w:t>
      </w:r>
      <w:r w:rsidR="00324CC9" w:rsidRPr="00AE0B8D">
        <w:t xml:space="preserve">weiterhin </w:t>
      </w:r>
      <w:r w:rsidRPr="00AE0B8D">
        <w:t>auf einen konstruktiven Dialog</w:t>
      </w:r>
      <w:r w:rsidR="00231215" w:rsidRPr="00AE0B8D">
        <w:t>.</w:t>
      </w:r>
    </w:p>
    <w:p w:rsidR="00AD335C" w:rsidRPr="00200F0F" w:rsidRDefault="00AD335C" w:rsidP="00AD335C">
      <w:pPr>
        <w:rPr>
          <w:sz w:val="18"/>
          <w:szCs w:val="18"/>
        </w:rPr>
      </w:pPr>
      <w:r w:rsidRPr="00200F0F">
        <w:rPr>
          <w:sz w:val="18"/>
          <w:szCs w:val="18"/>
        </w:rPr>
        <w:t>*Erklärung der Vereinten Nationen über die Rechte von Kleinbauern und -bäuerinnen und anderen Menschen, die in ländlichen Regionen arbeiten</w:t>
      </w:r>
      <w:r>
        <w:rPr>
          <w:sz w:val="18"/>
          <w:szCs w:val="18"/>
        </w:rPr>
        <w:t>.</w:t>
      </w:r>
    </w:p>
    <w:p w:rsidR="00AD335C" w:rsidRPr="006C6029" w:rsidRDefault="00AD335C" w:rsidP="006C6029"/>
    <w:p w:rsidR="00D22010" w:rsidRDefault="00327DA9">
      <w:r w:rsidRPr="001B5607">
        <w:rPr>
          <w:b/>
          <w:u w:val="single"/>
        </w:rPr>
        <w:t>Weitere Auskünfte:</w:t>
      </w:r>
      <w:r w:rsidR="00200F0F">
        <w:t xml:space="preserve"> </w:t>
      </w:r>
    </w:p>
    <w:p w:rsidR="00327DA9" w:rsidRPr="00AE0B8D" w:rsidRDefault="00DC6121">
      <w:hyperlink r:id="rId11" w:history="1">
        <w:r w:rsidR="00AE0B8D" w:rsidRPr="00254CE8">
          <w:rPr>
            <w:rStyle w:val="Hyperlink"/>
          </w:rPr>
          <w:t>Claudia Fuhrer</w:t>
        </w:r>
      </w:hyperlink>
      <w:r w:rsidR="00200F0F" w:rsidRPr="00AE0B8D">
        <w:t>,</w:t>
      </w:r>
      <w:r>
        <w:t xml:space="preserve"> Verantwortliche Ernährungsgerechtigkeit </w:t>
      </w:r>
      <w:r w:rsidRPr="00DC6121">
        <w:rPr>
          <w:i/>
        </w:rPr>
        <w:t>Fastenopfer</w:t>
      </w:r>
      <w:r w:rsidR="00200F0F" w:rsidRPr="00AE0B8D">
        <w:t xml:space="preserve"> </w:t>
      </w:r>
      <w:r w:rsidR="00002820" w:rsidRPr="00AE0B8D">
        <w:t xml:space="preserve">Tel. </w:t>
      </w:r>
      <w:r w:rsidR="00254CE8">
        <w:t>+41 78 764 34 31</w:t>
      </w:r>
    </w:p>
    <w:p w:rsidR="00002820" w:rsidRPr="00AE0B8D" w:rsidRDefault="00DC6121">
      <w:hyperlink r:id="rId12" w:history="1">
        <w:r w:rsidR="00002820" w:rsidRPr="00254CE8">
          <w:rPr>
            <w:rStyle w:val="Hyperlink"/>
          </w:rPr>
          <w:t xml:space="preserve">Judith </w:t>
        </w:r>
        <w:proofErr w:type="spellStart"/>
        <w:r w:rsidR="00002820" w:rsidRPr="00254CE8">
          <w:rPr>
            <w:rStyle w:val="Hyperlink"/>
          </w:rPr>
          <w:t>Reusser</w:t>
        </w:r>
        <w:proofErr w:type="spellEnd"/>
      </w:hyperlink>
      <w:r w:rsidR="00BA1A75" w:rsidRPr="00AE0B8D">
        <w:t xml:space="preserve">, </w:t>
      </w:r>
      <w:r>
        <w:t xml:space="preserve">Verantwortliche Ernährungssouveränität, </w:t>
      </w:r>
      <w:proofErr w:type="spellStart"/>
      <w:r>
        <w:t>Swissaid</w:t>
      </w:r>
      <w:proofErr w:type="spellEnd"/>
      <w:r>
        <w:t xml:space="preserve"> </w:t>
      </w:r>
      <w:bookmarkStart w:id="0" w:name="_GoBack"/>
      <w:bookmarkEnd w:id="0"/>
      <w:r w:rsidR="00BA1A75" w:rsidRPr="00AE0B8D">
        <w:t xml:space="preserve">Tel. </w:t>
      </w:r>
      <w:r w:rsidR="006556FB">
        <w:t xml:space="preserve">+41 </w:t>
      </w:r>
      <w:r w:rsidR="006556FB" w:rsidRPr="006556FB">
        <w:t>78 700 49 61 </w:t>
      </w:r>
    </w:p>
    <w:sectPr w:rsidR="00002820" w:rsidRPr="00AE0B8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0435" w16cex:dateUtc="2020-08-11T09:49:00Z"/>
  <w16cex:commentExtensible w16cex:durableId="22DF79F9" w16cex:dateUtc="2020-08-13T06:36:00Z"/>
  <w16cex:commentExtensible w16cex:durableId="22DD08B5" w16cex:dateUtc="2020-08-11T10:08:00Z"/>
  <w16cex:commentExtensible w16cex:durableId="22DF7A51" w16cex:dateUtc="2020-08-13T06:37:00Z"/>
  <w16cex:commentExtensible w16cex:durableId="22DD05E7" w16cex:dateUtc="2020-08-11T09:56:00Z"/>
  <w16cex:commentExtensible w16cex:durableId="22DF7B1A" w16cex:dateUtc="2020-08-13T06:40:00Z"/>
  <w16cex:commentExtensible w16cex:durableId="22DCF899" w16cex:dateUtc="2020-08-11T08:59:00Z"/>
  <w16cex:commentExtensible w16cex:durableId="22DCFCB7" w16cex:dateUtc="2020-08-11T09:17:00Z"/>
  <w16cex:commentExtensible w16cex:durableId="22DD088C" w16cex:dateUtc="2020-08-11T10:07:00Z"/>
  <w16cex:commentExtensible w16cex:durableId="22DBBA62" w16cex:dateUtc="2020-08-10T10:21:00Z"/>
  <w16cex:commentExtensible w16cex:durableId="22DCF7E9" w16cex:dateUtc="2020-08-11T08:56:00Z"/>
  <w16cex:commentExtensible w16cex:durableId="22DF7BFB" w16cex:dateUtc="2020-08-13T06:44:00Z"/>
  <w16cex:commentExtensible w16cex:durableId="22DF7D26" w16cex:dateUtc="2020-08-13T06:49:00Z"/>
  <w16cex:commentExtensible w16cex:durableId="22DF7CA0" w16cex:dateUtc="2020-08-13T06:47:00Z"/>
  <w16cex:commentExtensible w16cex:durableId="22DCFE22" w16cex:dateUtc="2020-08-11T09:23:00Z"/>
  <w16cex:commentExtensible w16cex:durableId="22DF7D70" w16cex:dateUtc="2020-08-13T06:50:00Z"/>
  <w16cex:commentExtensible w16cex:durableId="22DF7DC7" w16cex:dateUtc="2020-08-13T06:52:00Z"/>
  <w16cex:commentExtensible w16cex:durableId="22DF7DF5" w16cex:dateUtc="2020-08-13T06:53:00Z"/>
  <w16cex:commentExtensible w16cex:durableId="22DBBFC5" w16cex:dateUtc="2020-08-10T10:44:00Z"/>
  <w16cex:commentExtensible w16cex:durableId="22DF7E9C" w16cex:dateUtc="2020-08-13T06:55:00Z"/>
  <w16cex:commentExtensible w16cex:durableId="22DD00B8" w16cex:dateUtc="2020-08-11T09:34:00Z"/>
  <w16cex:commentExtensible w16cex:durableId="22DBB393" w16cex:dateUtc="2020-08-10T09:52:00Z"/>
  <w16cex:commentExtensible w16cex:durableId="22DD01EF" w16cex:dateUtc="2020-08-11T09:39:00Z"/>
  <w16cex:commentExtensible w16cex:durableId="22DF8021" w16cex:dateUtc="2020-08-13T07:02:00Z"/>
  <w16cex:commentExtensible w16cex:durableId="22DF80AB" w16cex:dateUtc="2020-08-13T07:04:00Z"/>
  <w16cex:commentExtensible w16cex:durableId="22DF80C5" w16cex:dateUtc="2020-08-13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616B4A" w16cid:durableId="22DD0435"/>
  <w16cid:commentId w16cid:paraId="205C46C0" w16cid:durableId="22DF79F9"/>
  <w16cid:commentId w16cid:paraId="7D9EC914" w16cid:durableId="22DD08B5"/>
  <w16cid:commentId w16cid:paraId="454593F3" w16cid:durableId="22DF7A51"/>
  <w16cid:commentId w16cid:paraId="3D70990B" w16cid:durableId="22DD05E7"/>
  <w16cid:commentId w16cid:paraId="03693BE7" w16cid:durableId="22DF7B1A"/>
  <w16cid:commentId w16cid:paraId="4BBBA808" w16cid:durableId="22DCF899"/>
  <w16cid:commentId w16cid:paraId="4B404EC1" w16cid:durableId="22DCFCB7"/>
  <w16cid:commentId w16cid:paraId="167B39F4" w16cid:durableId="22DD088C"/>
  <w16cid:commentId w16cid:paraId="6FD4B560" w16cid:durableId="22DBBA62"/>
  <w16cid:commentId w16cid:paraId="64C1B4F6" w16cid:durableId="22DCF7E9"/>
  <w16cid:commentId w16cid:paraId="662CD435" w16cid:durableId="22DF7BFB"/>
  <w16cid:commentId w16cid:paraId="3B79D1F9" w16cid:durableId="22DF7D26"/>
  <w16cid:commentId w16cid:paraId="6D31FF00" w16cid:durableId="22DF7CA0"/>
  <w16cid:commentId w16cid:paraId="463D98C4" w16cid:durableId="22DCFE22"/>
  <w16cid:commentId w16cid:paraId="7AC7D865" w16cid:durableId="22DF7D70"/>
  <w16cid:commentId w16cid:paraId="1E064D69" w16cid:durableId="22DF7DC7"/>
  <w16cid:commentId w16cid:paraId="171F32FF" w16cid:durableId="22DF7DF5"/>
  <w16cid:commentId w16cid:paraId="147619D3" w16cid:durableId="22DBBFC5"/>
  <w16cid:commentId w16cid:paraId="2A6DAB73" w16cid:durableId="22DF7E9C"/>
  <w16cid:commentId w16cid:paraId="61D730E3" w16cid:durableId="22DD00B8"/>
  <w16cid:commentId w16cid:paraId="0BE6111F" w16cid:durableId="22DBB393"/>
  <w16cid:commentId w16cid:paraId="0DB51022" w16cid:durableId="22DD01EF"/>
  <w16cid:commentId w16cid:paraId="6A71D0F5" w16cid:durableId="22DF8021"/>
  <w16cid:commentId w16cid:paraId="0478534B" w16cid:durableId="22DF80AB"/>
  <w16cid:commentId w16cid:paraId="7AE92A08" w16cid:durableId="22DF80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96" w:rsidRDefault="006B2C96" w:rsidP="00AE0B8D">
      <w:pPr>
        <w:spacing w:after="0" w:line="240" w:lineRule="auto"/>
      </w:pPr>
      <w:r>
        <w:separator/>
      </w:r>
    </w:p>
  </w:endnote>
  <w:endnote w:type="continuationSeparator" w:id="0">
    <w:p w:rsidR="006B2C96" w:rsidRDefault="006B2C96" w:rsidP="00AE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96" w:rsidRDefault="006B2C96" w:rsidP="00AE0B8D">
      <w:pPr>
        <w:spacing w:after="0" w:line="240" w:lineRule="auto"/>
      </w:pPr>
      <w:r>
        <w:separator/>
      </w:r>
    </w:p>
  </w:footnote>
  <w:footnote w:type="continuationSeparator" w:id="0">
    <w:p w:rsidR="006B2C96" w:rsidRDefault="006B2C96" w:rsidP="00AE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1"/>
      <w:gridCol w:w="2223"/>
      <w:gridCol w:w="2521"/>
      <w:gridCol w:w="2577"/>
    </w:tblGrid>
    <w:tr w:rsidR="00EF1AA7" w:rsidTr="00EF1AA7">
      <w:tc>
        <w:tcPr>
          <w:tcW w:w="2265" w:type="dxa"/>
        </w:tcPr>
        <w:p w:rsidR="00EF1AA7" w:rsidRDefault="00EF1AA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E045F68" wp14:editId="38CD0068">
                <wp:extent cx="987425" cy="902335"/>
                <wp:effectExtent l="0" t="0" r="317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:rsidR="00EF1AA7" w:rsidRDefault="00EF1AA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5BDA8A3" wp14:editId="07FB5D25">
                <wp:extent cx="633730" cy="676910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EF1AA7" w:rsidRDefault="00EF1AA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7ED0D02" wp14:editId="1C18DBE6">
                <wp:extent cx="1487805" cy="4635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EF1AA7" w:rsidRDefault="00EF1AA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BC7EA94" wp14:editId="5F7EF586">
                <wp:extent cx="1518285" cy="433070"/>
                <wp:effectExtent l="0" t="0" r="5715" b="508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F1AA7" w:rsidTr="00EF1AA7">
      <w:tc>
        <w:tcPr>
          <w:tcW w:w="2265" w:type="dxa"/>
        </w:tcPr>
        <w:p w:rsidR="00EF1AA7" w:rsidRDefault="00EF1AA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2064905" wp14:editId="662BFB36">
                <wp:extent cx="670560" cy="98171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:rsidR="00EF1AA7" w:rsidRDefault="00EF1AA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D99DD8B" wp14:editId="22D504F9">
                <wp:extent cx="1286510" cy="311150"/>
                <wp:effectExtent l="0" t="0" r="889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EF1AA7" w:rsidRDefault="00EF1AA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731BE05" wp14:editId="7A53BC80">
                <wp:extent cx="1268095" cy="450850"/>
                <wp:effectExtent l="0" t="0" r="8255" b="635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EF1AA7" w:rsidRDefault="00EF1AA7">
          <w:pPr>
            <w:pStyle w:val="Kopfzeile"/>
          </w:pPr>
        </w:p>
      </w:tc>
    </w:tr>
  </w:tbl>
  <w:p w:rsidR="00AE0B8D" w:rsidRDefault="00AE0B8D" w:rsidP="00EF1A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D84"/>
    <w:multiLevelType w:val="hybridMultilevel"/>
    <w:tmpl w:val="A80A32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B73F6"/>
    <w:multiLevelType w:val="hybridMultilevel"/>
    <w:tmpl w:val="237223FA"/>
    <w:lvl w:ilvl="0" w:tplc="A53C8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0E"/>
    <w:rsid w:val="00002820"/>
    <w:rsid w:val="000055EA"/>
    <w:rsid w:val="00007C60"/>
    <w:rsid w:val="00020E84"/>
    <w:rsid w:val="00032712"/>
    <w:rsid w:val="000356C1"/>
    <w:rsid w:val="000541F6"/>
    <w:rsid w:val="00055AA1"/>
    <w:rsid w:val="000579EE"/>
    <w:rsid w:val="00063E4F"/>
    <w:rsid w:val="00074092"/>
    <w:rsid w:val="000877E0"/>
    <w:rsid w:val="000925C2"/>
    <w:rsid w:val="00094AA6"/>
    <w:rsid w:val="0009576A"/>
    <w:rsid w:val="0009674A"/>
    <w:rsid w:val="000A2058"/>
    <w:rsid w:val="000A349C"/>
    <w:rsid w:val="000B557F"/>
    <w:rsid w:val="000B7D8C"/>
    <w:rsid w:val="000C20D8"/>
    <w:rsid w:val="000D68DE"/>
    <w:rsid w:val="000F348A"/>
    <w:rsid w:val="000F5813"/>
    <w:rsid w:val="001213A5"/>
    <w:rsid w:val="00124429"/>
    <w:rsid w:val="00133560"/>
    <w:rsid w:val="00137C36"/>
    <w:rsid w:val="001476AB"/>
    <w:rsid w:val="00151CE3"/>
    <w:rsid w:val="001579C7"/>
    <w:rsid w:val="00160DA0"/>
    <w:rsid w:val="001632C6"/>
    <w:rsid w:val="00163D87"/>
    <w:rsid w:val="00164CBD"/>
    <w:rsid w:val="00170EA3"/>
    <w:rsid w:val="001972A2"/>
    <w:rsid w:val="001A6D24"/>
    <w:rsid w:val="001B0FC8"/>
    <w:rsid w:val="001B5607"/>
    <w:rsid w:val="001E658C"/>
    <w:rsid w:val="001E7462"/>
    <w:rsid w:val="001F5BB7"/>
    <w:rsid w:val="001F67B7"/>
    <w:rsid w:val="00200F0F"/>
    <w:rsid w:val="00210D6F"/>
    <w:rsid w:val="00231215"/>
    <w:rsid w:val="00232178"/>
    <w:rsid w:val="00240C54"/>
    <w:rsid w:val="002431FE"/>
    <w:rsid w:val="00250352"/>
    <w:rsid w:val="00254CE8"/>
    <w:rsid w:val="0025704A"/>
    <w:rsid w:val="00260791"/>
    <w:rsid w:val="002643EC"/>
    <w:rsid w:val="00294727"/>
    <w:rsid w:val="00296AB2"/>
    <w:rsid w:val="00296E6E"/>
    <w:rsid w:val="00297B9E"/>
    <w:rsid w:val="002A5A10"/>
    <w:rsid w:val="002B4261"/>
    <w:rsid w:val="002B5A8A"/>
    <w:rsid w:val="002D57CF"/>
    <w:rsid w:val="002D684E"/>
    <w:rsid w:val="002E5218"/>
    <w:rsid w:val="00301C74"/>
    <w:rsid w:val="0030575D"/>
    <w:rsid w:val="00313FA6"/>
    <w:rsid w:val="00317B7E"/>
    <w:rsid w:val="00317CF4"/>
    <w:rsid w:val="003208A6"/>
    <w:rsid w:val="00324CC9"/>
    <w:rsid w:val="00327DA9"/>
    <w:rsid w:val="003422B7"/>
    <w:rsid w:val="00343DA4"/>
    <w:rsid w:val="003571EA"/>
    <w:rsid w:val="00360F6E"/>
    <w:rsid w:val="003B3B84"/>
    <w:rsid w:val="003B538B"/>
    <w:rsid w:val="003D3DDF"/>
    <w:rsid w:val="003D60AC"/>
    <w:rsid w:val="003E0E1C"/>
    <w:rsid w:val="003E3D1B"/>
    <w:rsid w:val="00422BDD"/>
    <w:rsid w:val="00424FAB"/>
    <w:rsid w:val="00434A25"/>
    <w:rsid w:val="004444AF"/>
    <w:rsid w:val="00455114"/>
    <w:rsid w:val="00470FA9"/>
    <w:rsid w:val="00472332"/>
    <w:rsid w:val="00497DDA"/>
    <w:rsid w:val="004A3EEA"/>
    <w:rsid w:val="004A4D71"/>
    <w:rsid w:val="004A5264"/>
    <w:rsid w:val="004B6FE7"/>
    <w:rsid w:val="004C646D"/>
    <w:rsid w:val="004C6A08"/>
    <w:rsid w:val="004C72AE"/>
    <w:rsid w:val="004D5854"/>
    <w:rsid w:val="004D6577"/>
    <w:rsid w:val="00501040"/>
    <w:rsid w:val="00516539"/>
    <w:rsid w:val="00520856"/>
    <w:rsid w:val="00520B6F"/>
    <w:rsid w:val="00525F65"/>
    <w:rsid w:val="00526C58"/>
    <w:rsid w:val="0055028F"/>
    <w:rsid w:val="00560677"/>
    <w:rsid w:val="00564D73"/>
    <w:rsid w:val="0057044E"/>
    <w:rsid w:val="00575BF5"/>
    <w:rsid w:val="00580F6B"/>
    <w:rsid w:val="00586DF8"/>
    <w:rsid w:val="005B23E3"/>
    <w:rsid w:val="005B2C09"/>
    <w:rsid w:val="005C6725"/>
    <w:rsid w:val="005E3498"/>
    <w:rsid w:val="00602607"/>
    <w:rsid w:val="006032F8"/>
    <w:rsid w:val="0060768E"/>
    <w:rsid w:val="00611DBA"/>
    <w:rsid w:val="006145FE"/>
    <w:rsid w:val="00620332"/>
    <w:rsid w:val="00636483"/>
    <w:rsid w:val="0065078F"/>
    <w:rsid w:val="0065356A"/>
    <w:rsid w:val="006556FB"/>
    <w:rsid w:val="00662638"/>
    <w:rsid w:val="00686670"/>
    <w:rsid w:val="006926EF"/>
    <w:rsid w:val="00692E64"/>
    <w:rsid w:val="006B24EC"/>
    <w:rsid w:val="006B287F"/>
    <w:rsid w:val="006B2C96"/>
    <w:rsid w:val="006C5896"/>
    <w:rsid w:val="006C6029"/>
    <w:rsid w:val="006D72BF"/>
    <w:rsid w:val="006D73C9"/>
    <w:rsid w:val="006E2B10"/>
    <w:rsid w:val="006E3F17"/>
    <w:rsid w:val="006F0C8D"/>
    <w:rsid w:val="00701F71"/>
    <w:rsid w:val="00703899"/>
    <w:rsid w:val="00731076"/>
    <w:rsid w:val="00732CF5"/>
    <w:rsid w:val="00741ADA"/>
    <w:rsid w:val="00742104"/>
    <w:rsid w:val="0075404F"/>
    <w:rsid w:val="007632F0"/>
    <w:rsid w:val="00765D08"/>
    <w:rsid w:val="007B2C97"/>
    <w:rsid w:val="007F79BF"/>
    <w:rsid w:val="0080137B"/>
    <w:rsid w:val="00803710"/>
    <w:rsid w:val="0080606B"/>
    <w:rsid w:val="00810773"/>
    <w:rsid w:val="0081537E"/>
    <w:rsid w:val="0082036F"/>
    <w:rsid w:val="00853688"/>
    <w:rsid w:val="00857FB4"/>
    <w:rsid w:val="00860234"/>
    <w:rsid w:val="00862336"/>
    <w:rsid w:val="008657B8"/>
    <w:rsid w:val="00865C2D"/>
    <w:rsid w:val="00874CD9"/>
    <w:rsid w:val="008941B2"/>
    <w:rsid w:val="00894526"/>
    <w:rsid w:val="008A5E22"/>
    <w:rsid w:val="008B47ED"/>
    <w:rsid w:val="008F2349"/>
    <w:rsid w:val="008F394B"/>
    <w:rsid w:val="009001A2"/>
    <w:rsid w:val="009269C6"/>
    <w:rsid w:val="00945DC2"/>
    <w:rsid w:val="00947D8A"/>
    <w:rsid w:val="0095790F"/>
    <w:rsid w:val="00961994"/>
    <w:rsid w:val="00962450"/>
    <w:rsid w:val="009750D0"/>
    <w:rsid w:val="009753D1"/>
    <w:rsid w:val="00976355"/>
    <w:rsid w:val="009775B6"/>
    <w:rsid w:val="00984153"/>
    <w:rsid w:val="009A3A8B"/>
    <w:rsid w:val="009B1019"/>
    <w:rsid w:val="009C2B1A"/>
    <w:rsid w:val="009C7B2A"/>
    <w:rsid w:val="009E1CD5"/>
    <w:rsid w:val="00A13188"/>
    <w:rsid w:val="00A23A3C"/>
    <w:rsid w:val="00A23AA6"/>
    <w:rsid w:val="00A4068B"/>
    <w:rsid w:val="00A4182C"/>
    <w:rsid w:val="00A505E9"/>
    <w:rsid w:val="00A6159B"/>
    <w:rsid w:val="00A864F7"/>
    <w:rsid w:val="00AD335C"/>
    <w:rsid w:val="00AE0B8D"/>
    <w:rsid w:val="00AE1381"/>
    <w:rsid w:val="00AF0699"/>
    <w:rsid w:val="00B164F3"/>
    <w:rsid w:val="00B16925"/>
    <w:rsid w:val="00B24F40"/>
    <w:rsid w:val="00B457C6"/>
    <w:rsid w:val="00B622ED"/>
    <w:rsid w:val="00B676BD"/>
    <w:rsid w:val="00B72D04"/>
    <w:rsid w:val="00B7741B"/>
    <w:rsid w:val="00B77819"/>
    <w:rsid w:val="00B814F9"/>
    <w:rsid w:val="00BA1357"/>
    <w:rsid w:val="00BA1A75"/>
    <w:rsid w:val="00BB4C35"/>
    <w:rsid w:val="00BB710E"/>
    <w:rsid w:val="00BE0877"/>
    <w:rsid w:val="00BF1957"/>
    <w:rsid w:val="00C053C1"/>
    <w:rsid w:val="00C1769F"/>
    <w:rsid w:val="00C321D5"/>
    <w:rsid w:val="00C41A43"/>
    <w:rsid w:val="00C610E3"/>
    <w:rsid w:val="00C616BF"/>
    <w:rsid w:val="00C624C1"/>
    <w:rsid w:val="00C63AAB"/>
    <w:rsid w:val="00C7695C"/>
    <w:rsid w:val="00C770E7"/>
    <w:rsid w:val="00CA2BE3"/>
    <w:rsid w:val="00CC0792"/>
    <w:rsid w:val="00CD01C7"/>
    <w:rsid w:val="00CF3170"/>
    <w:rsid w:val="00D22010"/>
    <w:rsid w:val="00D47779"/>
    <w:rsid w:val="00D6360B"/>
    <w:rsid w:val="00D77BF1"/>
    <w:rsid w:val="00D8319C"/>
    <w:rsid w:val="00D96E47"/>
    <w:rsid w:val="00DA0E55"/>
    <w:rsid w:val="00DB25AE"/>
    <w:rsid w:val="00DC6121"/>
    <w:rsid w:val="00DD0DBA"/>
    <w:rsid w:val="00DD1D73"/>
    <w:rsid w:val="00DE2095"/>
    <w:rsid w:val="00DE5B0D"/>
    <w:rsid w:val="00E01D70"/>
    <w:rsid w:val="00E07356"/>
    <w:rsid w:val="00E40B55"/>
    <w:rsid w:val="00E54AED"/>
    <w:rsid w:val="00E564FB"/>
    <w:rsid w:val="00E60815"/>
    <w:rsid w:val="00E63F26"/>
    <w:rsid w:val="00E7673B"/>
    <w:rsid w:val="00E973E5"/>
    <w:rsid w:val="00EA58D7"/>
    <w:rsid w:val="00EA64CA"/>
    <w:rsid w:val="00EC4302"/>
    <w:rsid w:val="00ED0B2E"/>
    <w:rsid w:val="00ED4782"/>
    <w:rsid w:val="00EE00A9"/>
    <w:rsid w:val="00EF1AA7"/>
    <w:rsid w:val="00F00A19"/>
    <w:rsid w:val="00F0633B"/>
    <w:rsid w:val="00F15D99"/>
    <w:rsid w:val="00F210DD"/>
    <w:rsid w:val="00F56ABC"/>
    <w:rsid w:val="00F56D10"/>
    <w:rsid w:val="00F72E87"/>
    <w:rsid w:val="00F736C1"/>
    <w:rsid w:val="00F859DC"/>
    <w:rsid w:val="00F86885"/>
    <w:rsid w:val="00FA33D1"/>
    <w:rsid w:val="00FD17A7"/>
    <w:rsid w:val="00FE2ED1"/>
    <w:rsid w:val="00FE6A79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CC53DBE"/>
  <w15:chartTrackingRefBased/>
  <w15:docId w15:val="{3899505A-6474-44D3-AF94-AF68BA01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570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70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70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70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704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04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356C1"/>
    <w:pPr>
      <w:ind w:left="720"/>
      <w:contextualSpacing/>
    </w:pPr>
  </w:style>
  <w:style w:type="paragraph" w:styleId="berarbeitung">
    <w:name w:val="Revision"/>
    <w:hidden/>
    <w:uiPriority w:val="99"/>
    <w:semiHidden/>
    <w:rsid w:val="00DD0DB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E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B8D"/>
  </w:style>
  <w:style w:type="paragraph" w:styleId="Fuzeile">
    <w:name w:val="footer"/>
    <w:basedOn w:val="Standard"/>
    <w:link w:val="FuzeileZchn"/>
    <w:uiPriority w:val="99"/>
    <w:unhideWhenUsed/>
    <w:rsid w:val="00AE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B8D"/>
  </w:style>
  <w:style w:type="table" w:styleId="Tabellenraster">
    <w:name w:val="Table Grid"/>
    <w:basedOn w:val="NormaleTabelle"/>
    <w:uiPriority w:val="59"/>
    <w:rsid w:val="00EF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4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reusser@swissaid.ch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hrer@fastenopfer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34492CED5CF94BB4C5899CA8EE0FB1" ma:contentTypeVersion="12" ma:contentTypeDescription="Ein neues Dokument erstellen." ma:contentTypeScope="" ma:versionID="e9d0a136bbce5e1a0fead4b178624b1a">
  <xsd:schema xmlns:xsd="http://www.w3.org/2001/XMLSchema" xmlns:xs="http://www.w3.org/2001/XMLSchema" xmlns:p="http://schemas.microsoft.com/office/2006/metadata/properties" xmlns:ns2="877bd2cb-0414-4ffd-bc99-b5672dbb46e8" xmlns:ns3="2c1790c0-1d36-414d-b762-8bc093bd68ca" targetNamespace="http://schemas.microsoft.com/office/2006/metadata/properties" ma:root="true" ma:fieldsID="22092edf6c3da6bdb2d4f484ef442a86" ns2:_="" ns3:_="">
    <xsd:import namespace="877bd2cb-0414-4ffd-bc99-b5672dbb46e8"/>
    <xsd:import namespace="2c1790c0-1d36-414d-b762-8bc093bd6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d2cb-0414-4ffd-bc99-b5672dbb4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790c0-1d36-414d-b762-8bc093bd6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36D6-995B-4D0D-908C-1C558879A7BA}">
  <ds:schemaRefs>
    <ds:schemaRef ds:uri="http://purl.org/dc/elements/1.1/"/>
    <ds:schemaRef ds:uri="http://schemas.microsoft.com/office/2006/metadata/properties"/>
    <ds:schemaRef ds:uri="2c1790c0-1d36-414d-b762-8bc093bd68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77bd2cb-0414-4ffd-bc99-b5672dbb46e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CB8834-8D1A-477E-940E-BF299DFFB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59A74-AF81-4500-8D5C-AE2F232E7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bd2cb-0414-4ffd-bc99-b5672dbb46e8"/>
    <ds:schemaRef ds:uri="2c1790c0-1d36-414d-b762-8bc093bd6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1E936-DF30-4AC2-9CAF-6406658C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Fastenopfer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Fuhrer</dc:creator>
  <cp:keywords/>
  <dc:description/>
  <cp:lastModifiedBy>Colette Kalt</cp:lastModifiedBy>
  <cp:revision>2</cp:revision>
  <cp:lastPrinted>2020-08-25T14:32:00Z</cp:lastPrinted>
  <dcterms:created xsi:type="dcterms:W3CDTF">2020-08-26T13:15:00Z</dcterms:created>
  <dcterms:modified xsi:type="dcterms:W3CDTF">2020-08-26T13:15:00Z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0x0101007634492CED5CF94BB4C5899CA8EE0FB1</vt:lpwstr>
  </property>
  <property fmtid="{D5CDD505-2E9C-101B-9397-08002B2CF9AE}" pid="3" name="_dlc_DocIdItemGuid">
    <vt:lpwstr>e9425d50-cdd3-48b0-afbd-7e3756bc568b</vt:lpwstr>
  </property>
</Properties>
</file>