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3E5CBD">
      <w:pPr>
        <w:jc w:val="both"/>
        <w:rPr>
          <w:rStyle w:val="hps"/>
          <w:rFonts w:ascii="Arial" w:hAnsi="Arial" w:cs="Arial"/>
          <w:color w:val="FF0000"/>
          <w:sz w:val="28"/>
          <w:szCs w:val="28"/>
        </w:rPr>
      </w:pPr>
      <w:r>
        <w:rPr>
          <w:noProof/>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3E5CBD">
      <w:pPr>
        <w:jc w:val="both"/>
      </w:pPr>
    </w:p>
    <w:p w14:paraId="05E250E2" w14:textId="77777777" w:rsidR="00C86E05" w:rsidRPr="00C86E05" w:rsidRDefault="00C86E05" w:rsidP="003E5CBD">
      <w:pPr>
        <w:jc w:val="both"/>
      </w:pPr>
      <w:r w:rsidRPr="00C86E05">
        <w:t>nova-Institut GmbH (</w:t>
      </w:r>
      <w:hyperlink r:id="rId9" w:history="1">
        <w:r w:rsidRPr="00C86E05">
          <w:rPr>
            <w:rStyle w:val="Hyperlink"/>
            <w:i/>
          </w:rPr>
          <w:t>www.nova-institut.eu</w:t>
        </w:r>
      </w:hyperlink>
      <w:r w:rsidRPr="00C86E05">
        <w:t>)</w:t>
      </w:r>
    </w:p>
    <w:p w14:paraId="5645A7B8" w14:textId="10275281" w:rsidR="00C86E05" w:rsidRPr="00C86E05" w:rsidRDefault="00C86E05" w:rsidP="003E5CBD">
      <w:pPr>
        <w:jc w:val="both"/>
      </w:pPr>
      <w:r w:rsidRPr="00C86E05">
        <w:t>Hürth, den</w:t>
      </w:r>
      <w:r w:rsidR="008E3F4B">
        <w:t xml:space="preserve"> </w:t>
      </w:r>
      <w:r w:rsidR="00BE212C">
        <w:t>9. Januar 2020</w:t>
      </w:r>
    </w:p>
    <w:p w14:paraId="494031D5" w14:textId="77777777" w:rsidR="00C86E05" w:rsidRPr="00C86E05" w:rsidRDefault="00C86E05" w:rsidP="003E5CBD">
      <w:pPr>
        <w:jc w:val="both"/>
      </w:pPr>
    </w:p>
    <w:p w14:paraId="3EC4991D" w14:textId="77777777" w:rsidR="00467E5F" w:rsidRPr="00F8171F" w:rsidRDefault="00467E5F" w:rsidP="003E5CBD">
      <w:pPr>
        <w:jc w:val="both"/>
      </w:pPr>
    </w:p>
    <w:p w14:paraId="7A719C5C" w14:textId="77777777" w:rsidR="00C32F8A" w:rsidRPr="00F8171F" w:rsidRDefault="00C32F8A" w:rsidP="003E5CBD">
      <w:pPr>
        <w:jc w:val="both"/>
      </w:pPr>
      <w:bookmarkStart w:id="0" w:name="OLE_LINK74"/>
      <w:bookmarkStart w:id="1" w:name="OLE_LINK75"/>
    </w:p>
    <w:p w14:paraId="2EB04FD4" w14:textId="75D92DDE" w:rsidR="009B26C9" w:rsidRPr="00393105" w:rsidRDefault="009B26C9" w:rsidP="003E5CBD">
      <w:pPr>
        <w:pStyle w:val="berschrift1"/>
        <w:rPr>
          <w:lang w:val="en-US"/>
        </w:rPr>
      </w:pPr>
      <w:bookmarkStart w:id="2" w:name="OLE_LINK50"/>
      <w:bookmarkStart w:id="3" w:name="OLE_LINK51"/>
      <w:bookmarkStart w:id="4" w:name="OLE_LINK138"/>
      <w:bookmarkStart w:id="5" w:name="OLE_LINK139"/>
      <w:r w:rsidRPr="00270EE0">
        <w:t xml:space="preserve">Endlich! Die </w:t>
      </w:r>
      <w:r w:rsidR="00526CAE" w:rsidRPr="00270EE0">
        <w:t>weltweit erste Konferenz zu Cel</w:t>
      </w:r>
      <w:r w:rsidR="00474DB1" w:rsidRPr="00270EE0">
        <w:t>l</w:t>
      </w:r>
      <w:r w:rsidR="00526CAE" w:rsidRPr="00270EE0">
        <w:t xml:space="preserve">ulosefasern </w:t>
      </w:r>
      <w:r w:rsidRPr="00270EE0">
        <w:t xml:space="preserve">findet </w:t>
      </w:r>
      <w:r w:rsidR="00526CAE" w:rsidRPr="00270EE0">
        <w:t xml:space="preserve">vom </w:t>
      </w:r>
      <w:r w:rsidRPr="00270EE0">
        <w:t>11.</w:t>
      </w:r>
      <w:r w:rsidR="00526CAE" w:rsidRPr="00270EE0">
        <w:t>–</w:t>
      </w:r>
      <w:r w:rsidRPr="00270EE0">
        <w:t xml:space="preserve">12. </w:t>
      </w:r>
      <w:r w:rsidRPr="00393105">
        <w:rPr>
          <w:lang w:val="en-US"/>
        </w:rPr>
        <w:t>Februar 2020 in Köln statt</w:t>
      </w:r>
      <w:r w:rsidR="003E5CBD" w:rsidRPr="00393105">
        <w:rPr>
          <w:lang w:val="en-US"/>
        </w:rPr>
        <w:t>: „1</w:t>
      </w:r>
      <w:r w:rsidR="003E5CBD" w:rsidRPr="00393105">
        <w:rPr>
          <w:vertAlign w:val="superscript"/>
          <w:lang w:val="en-US"/>
        </w:rPr>
        <w:t xml:space="preserve">st </w:t>
      </w:r>
      <w:r w:rsidR="003E5CBD" w:rsidRPr="00393105">
        <w:rPr>
          <w:lang w:val="en-US"/>
        </w:rPr>
        <w:t>International Conference on Cellulose Fibres“</w:t>
      </w:r>
    </w:p>
    <w:bookmarkEnd w:id="2"/>
    <w:bookmarkEnd w:id="3"/>
    <w:p w14:paraId="3CF34677" w14:textId="052B3ADF" w:rsidR="009B26C9" w:rsidRPr="003E5CBD" w:rsidRDefault="009B26C9" w:rsidP="003E5CBD">
      <w:pPr>
        <w:jc w:val="both"/>
        <w:rPr>
          <w:lang w:val="en-US"/>
        </w:rPr>
      </w:pPr>
    </w:p>
    <w:p w14:paraId="1C0F2CD6" w14:textId="4C2023ED" w:rsidR="00C34979" w:rsidRPr="00900300" w:rsidRDefault="00C34979" w:rsidP="003E5CBD">
      <w:pPr>
        <w:pStyle w:val="berschrift2"/>
      </w:pPr>
      <w:bookmarkStart w:id="6" w:name="OLE_LINK52"/>
      <w:bookmarkStart w:id="7" w:name="OLE_LINK53"/>
      <w:r w:rsidRPr="00900300">
        <w:t>Märkte, Technologien und Nachhaltigkeit stehen im Fokus</w:t>
      </w:r>
      <w:bookmarkStart w:id="8" w:name="_GoBack"/>
      <w:bookmarkEnd w:id="8"/>
    </w:p>
    <w:bookmarkEnd w:id="6"/>
    <w:bookmarkEnd w:id="7"/>
    <w:p w14:paraId="270E55BD" w14:textId="03701E15" w:rsidR="009B26C9" w:rsidRPr="009B26C9" w:rsidRDefault="009B26C9" w:rsidP="003E5CBD">
      <w:pPr>
        <w:jc w:val="both"/>
      </w:pPr>
    </w:p>
    <w:p w14:paraId="5C9CFE48" w14:textId="41F354BF" w:rsidR="00A47233" w:rsidRDefault="00A47233" w:rsidP="003E5CBD">
      <w:pPr>
        <w:jc w:val="both"/>
      </w:pPr>
      <w:bookmarkStart w:id="9" w:name="OLE_LINK32"/>
      <w:bookmarkStart w:id="10" w:name="OLE_LINK33"/>
      <w:bookmarkStart w:id="11" w:name="OLE_LINK56"/>
      <w:bookmarkStart w:id="12" w:name="OLE_LINK54"/>
      <w:bookmarkStart w:id="13" w:name="OLE_LINK55"/>
      <w:r w:rsidRPr="00900300">
        <w:t>Der weltweite Cellulosefasermarkt ist mit knapp 10% Wachstum pro Jahr einer der</w:t>
      </w:r>
      <w:r w:rsidR="00330FFD">
        <w:t xml:space="preserve"> am</w:t>
      </w:r>
      <w:r w:rsidRPr="00900300">
        <w:t xml:space="preserve"> stärksten wachsenden Märkte überhaupt. Experten schätzen, dass im Jahr 2025 der Umsatz </w:t>
      </w:r>
      <w:r w:rsidR="00CB592A">
        <w:t xml:space="preserve">die </w:t>
      </w:r>
      <w:r w:rsidRPr="00900300">
        <w:t xml:space="preserve">50 Mrd. Dollar übersteigen wird. Die steigende Nachfrage nach umweltfreundlichen und biologisch abbaubaren Fasern für Textilien, Hygieneprodukte und Kunststoffersatz im Verpackungsbereich </w:t>
      </w:r>
      <w:r w:rsidR="00166792">
        <w:t>sind</w:t>
      </w:r>
      <w:r w:rsidR="00166792" w:rsidRPr="00900300">
        <w:t xml:space="preserve"> </w:t>
      </w:r>
      <w:r w:rsidR="00166792">
        <w:t>die</w:t>
      </w:r>
      <w:r w:rsidR="00166792" w:rsidRPr="00900300">
        <w:t xml:space="preserve"> </w:t>
      </w:r>
      <w:r w:rsidRPr="00900300">
        <w:t>wichtigste</w:t>
      </w:r>
      <w:r w:rsidR="00166792">
        <w:t>n</w:t>
      </w:r>
      <w:r w:rsidRPr="00900300">
        <w:t xml:space="preserve"> Faktor</w:t>
      </w:r>
      <w:r w:rsidR="00166792">
        <w:t>en</w:t>
      </w:r>
      <w:r w:rsidRPr="00900300">
        <w:t xml:space="preserve"> für das Marktwachstum. Hierbei spielen politische Regelungen</w:t>
      </w:r>
      <w:r>
        <w:t xml:space="preserve">, </w:t>
      </w:r>
      <w:r w:rsidRPr="00900300">
        <w:t>die den Eintrag von Mikroplastik in die Umwelt drastisch reduzieren sollen</w:t>
      </w:r>
      <w:r>
        <w:t>, eine wichtige Rolle</w:t>
      </w:r>
      <w:r w:rsidRPr="00900300">
        <w:t>.</w:t>
      </w:r>
    </w:p>
    <w:bookmarkEnd w:id="4"/>
    <w:bookmarkEnd w:id="5"/>
    <w:bookmarkEnd w:id="9"/>
    <w:bookmarkEnd w:id="10"/>
    <w:bookmarkEnd w:id="11"/>
    <w:p w14:paraId="0DD3F922" w14:textId="77777777" w:rsidR="00A47233" w:rsidRPr="00900300" w:rsidRDefault="00A47233" w:rsidP="003E5CBD">
      <w:pPr>
        <w:jc w:val="both"/>
      </w:pPr>
    </w:p>
    <w:p w14:paraId="18095330" w14:textId="1347CD28" w:rsidR="00A47233" w:rsidRDefault="00A47233" w:rsidP="003E5CBD">
      <w:pPr>
        <w:jc w:val="both"/>
      </w:pPr>
      <w:bookmarkStart w:id="14" w:name="OLE_LINK57"/>
      <w:bookmarkStart w:id="15" w:name="OLE_LINK58"/>
      <w:bookmarkEnd w:id="12"/>
      <w:bookmarkEnd w:id="13"/>
      <w:r w:rsidRPr="00900300">
        <w:t>Um die stetig wachsende Nachfrage decken zu können, werden insbesondere in Asien und Nordeuropa große Investitionen in holzbasierte Bioraffinerien getätigt, die neben Cellulosefasern weitere Produkte der Holzchemie herstellen</w:t>
      </w:r>
      <w:r>
        <w:t>.</w:t>
      </w:r>
      <w:r w:rsidRPr="00900300">
        <w:t xml:space="preserve"> </w:t>
      </w:r>
      <w:r>
        <w:t>Somit wird sichergestellt,</w:t>
      </w:r>
      <w:r w:rsidRPr="00900300">
        <w:t xml:space="preserve"> d</w:t>
      </w:r>
      <w:r>
        <w:t xml:space="preserve">ass </w:t>
      </w:r>
      <w:r w:rsidRPr="00900300">
        <w:t xml:space="preserve">alle Bestandteile des Holzes </w:t>
      </w:r>
      <w:r>
        <w:t>ge</w:t>
      </w:r>
      <w:r w:rsidRPr="00900300">
        <w:t>nutz</w:t>
      </w:r>
      <w:r>
        <w:t>t werden</w:t>
      </w:r>
      <w:r w:rsidRPr="00900300">
        <w:t>. Zunehmend werden auch alternative Rohstoffquellen</w:t>
      </w:r>
      <w:r>
        <w:t xml:space="preserve">, </w:t>
      </w:r>
      <w:r w:rsidRPr="00900300">
        <w:t>wie z.B. Alttextilien, Altholz, Reststoffe der Agrarindustrie und Abwässer</w:t>
      </w:r>
      <w:r>
        <w:t xml:space="preserve"> </w:t>
      </w:r>
      <w:r w:rsidR="00166792">
        <w:t>eingesetzt</w:t>
      </w:r>
      <w:r w:rsidR="00CB592A">
        <w:t>,</w:t>
      </w:r>
      <w:r w:rsidR="00330FFD">
        <w:t xml:space="preserve"> die </w:t>
      </w:r>
      <w:r w:rsidRPr="00330FFD">
        <w:t xml:space="preserve">oft noch Cellulose </w:t>
      </w:r>
      <w:r w:rsidR="00330FFD">
        <w:t xml:space="preserve">enthalten. </w:t>
      </w:r>
      <w:r w:rsidR="00166792">
        <w:t>Auf Basis solcher</w:t>
      </w:r>
      <w:r w:rsidR="00330FFD">
        <w:t xml:space="preserve"> alternativen Quellen kann</w:t>
      </w:r>
      <w:r w:rsidRPr="00330FFD">
        <w:t xml:space="preserve"> de</w:t>
      </w:r>
      <w:r w:rsidR="00330FFD">
        <w:t xml:space="preserve">r </w:t>
      </w:r>
      <w:r w:rsidRPr="00330FFD">
        <w:t xml:space="preserve">ökologische Fußabdruck der Cellulosefasern </w:t>
      </w:r>
      <w:r w:rsidR="00330FFD">
        <w:t xml:space="preserve">noch </w:t>
      </w:r>
      <w:r w:rsidRPr="00330FFD">
        <w:t xml:space="preserve">weiter </w:t>
      </w:r>
      <w:r w:rsidR="00330FFD">
        <w:t>ge</w:t>
      </w:r>
      <w:r w:rsidRPr="00330FFD">
        <w:t>senk</w:t>
      </w:r>
      <w:r w:rsidR="00330FFD">
        <w:t>t werden.</w:t>
      </w:r>
    </w:p>
    <w:bookmarkEnd w:id="14"/>
    <w:bookmarkEnd w:id="15"/>
    <w:p w14:paraId="38C91701" w14:textId="77777777" w:rsidR="00A47233" w:rsidRPr="00900300" w:rsidRDefault="00A47233" w:rsidP="003E5CBD">
      <w:pPr>
        <w:jc w:val="both"/>
      </w:pPr>
    </w:p>
    <w:p w14:paraId="2DDC015D" w14:textId="29EAB498" w:rsidR="00A47233" w:rsidRDefault="00A47233" w:rsidP="003E5CBD">
      <w:pPr>
        <w:jc w:val="both"/>
      </w:pPr>
      <w:bookmarkStart w:id="16" w:name="OLE_LINK59"/>
      <w:bookmarkStart w:id="17" w:name="OLE_LINK60"/>
      <w:r>
        <w:t>Die Tatsache, dass</w:t>
      </w:r>
      <w:r w:rsidRPr="00900300">
        <w:t xml:space="preserve"> dieser zukunftsträchtige Bereich </w:t>
      </w:r>
      <w:r>
        <w:t xml:space="preserve">bisher </w:t>
      </w:r>
      <w:r w:rsidRPr="00900300">
        <w:t xml:space="preserve">noch keine eigene Konferenz </w:t>
      </w:r>
      <w:r>
        <w:t>hatte</w:t>
      </w:r>
      <w:r w:rsidRPr="00900300">
        <w:t xml:space="preserve">, erstaunte Michael Carus, Geschäftsführer des nova-Instituts in Hürth bei Köln: </w:t>
      </w:r>
      <w:r w:rsidRPr="00545457">
        <w:rPr>
          <w:i/>
        </w:rPr>
        <w:t xml:space="preserve">„Jeder andere Bereich, der so schnell wächst, ein solche Flut an neuen Technologien aufweist und fortlaufend neue Akteure anzieht, hat </w:t>
      </w:r>
      <w:r>
        <w:rPr>
          <w:i/>
        </w:rPr>
        <w:t>normalerweise</w:t>
      </w:r>
      <w:r w:rsidRPr="00545457">
        <w:rPr>
          <w:i/>
        </w:rPr>
        <w:t xml:space="preserve"> seine eigene Weltkonferenz. Diese Lücke müssen wir rasch füllen.</w:t>
      </w:r>
      <w:r w:rsidRPr="00900300">
        <w:t xml:space="preserve"> </w:t>
      </w:r>
      <w:r w:rsidRPr="00545457">
        <w:rPr>
          <w:i/>
        </w:rPr>
        <w:t>So war Anfang des Jahres 2019 die Idee geboren, in Köln die „1</w:t>
      </w:r>
      <w:r w:rsidRPr="00545457">
        <w:rPr>
          <w:i/>
          <w:vertAlign w:val="superscript"/>
        </w:rPr>
        <w:t>st</w:t>
      </w:r>
      <w:r w:rsidRPr="00545457">
        <w:rPr>
          <w:i/>
        </w:rPr>
        <w:t> International Conference on Cellulose Fibres“ zu veranstalten</w:t>
      </w:r>
      <w:r>
        <w:t>.</w:t>
      </w:r>
      <w:r w:rsidRPr="00900300">
        <w:t xml:space="preserve"> </w:t>
      </w:r>
      <w:r w:rsidRPr="00A61408">
        <w:rPr>
          <w:i/>
        </w:rPr>
        <w:t>Wir freuen uns auf die Premiere am 11. und 12. Februar 2020, an der die weltweit wichtigsten Produzenten und Akteure beteiligt sein werden</w:t>
      </w:r>
      <w:r>
        <w:t>.</w:t>
      </w:r>
      <w:r w:rsidR="00166792">
        <w:t>“</w:t>
      </w:r>
    </w:p>
    <w:bookmarkEnd w:id="16"/>
    <w:bookmarkEnd w:id="17"/>
    <w:p w14:paraId="25F1EDE5" w14:textId="77777777" w:rsidR="00A47233" w:rsidRPr="00900300" w:rsidRDefault="00A47233" w:rsidP="003E5CBD">
      <w:pPr>
        <w:jc w:val="both"/>
      </w:pPr>
    </w:p>
    <w:p w14:paraId="0FC5E16C" w14:textId="2CEF044D" w:rsidR="00A47233" w:rsidRDefault="00A47233" w:rsidP="003E5CBD">
      <w:pPr>
        <w:jc w:val="both"/>
      </w:pPr>
      <w:bookmarkStart w:id="18" w:name="OLE_LINK61"/>
      <w:bookmarkStart w:id="19" w:name="OLE_LINK62"/>
      <w:bookmarkStart w:id="20" w:name="OLE_LINK140"/>
      <w:bookmarkStart w:id="21" w:name="OLE_LINK141"/>
      <w:r w:rsidRPr="00900300">
        <w:t>Das Programm deckt mit 30 Vorträgen den gesamten Themenbereich ab: Märkte &amp; Politik, Nachhaltigkeit und Kreislaufwirtschaft, neue Produktionstechnologien, alternative Rohstoffe und Anwendungen in den Bereichen Textilien, Hygieneprodukte, Biokomposite und Lebensmittel (Nanocellulose). Dabei stehen immer auch Anwendungen im Blickfeld, bei denen Kunststoffe durch Cellulosefasern ersetzt werden können.</w:t>
      </w:r>
    </w:p>
    <w:bookmarkEnd w:id="18"/>
    <w:bookmarkEnd w:id="19"/>
    <w:p w14:paraId="2FEA18DB" w14:textId="77777777" w:rsidR="00A47233" w:rsidRPr="00900300" w:rsidRDefault="00A47233" w:rsidP="003E5CBD">
      <w:pPr>
        <w:jc w:val="both"/>
      </w:pPr>
    </w:p>
    <w:p w14:paraId="3565A52E" w14:textId="18EF61AF" w:rsidR="00A47233" w:rsidRDefault="00A47233" w:rsidP="003E5CBD">
      <w:pPr>
        <w:jc w:val="both"/>
      </w:pPr>
      <w:bookmarkStart w:id="22" w:name="OLE_LINK63"/>
      <w:bookmarkStart w:id="23" w:name="OLE_LINK64"/>
      <w:bookmarkEnd w:id="20"/>
      <w:bookmarkEnd w:id="21"/>
      <w:r w:rsidRPr="00900300">
        <w:t xml:space="preserve">Führende Unternehmen wie Lenzing (Österreich), Sateri (China), </w:t>
      </w:r>
      <w:r>
        <w:t xml:space="preserve">Aditya </w:t>
      </w:r>
      <w:r w:rsidRPr="00900300">
        <w:t>Birla</w:t>
      </w:r>
      <w:r>
        <w:t xml:space="preserve"> </w:t>
      </w:r>
      <w:r w:rsidRPr="00900300">
        <w:t>(Indien), Södra</w:t>
      </w:r>
      <w:r>
        <w:t xml:space="preserve"> </w:t>
      </w:r>
      <w:r w:rsidRPr="00900300">
        <w:t xml:space="preserve">(Schweden), Metsä </w:t>
      </w:r>
      <w:r>
        <w:t xml:space="preserve">Fibre </w:t>
      </w:r>
      <w:r w:rsidRPr="00900300">
        <w:t xml:space="preserve">(Finnland) und Kelheim </w:t>
      </w:r>
      <w:r>
        <w:t xml:space="preserve">Fibres </w:t>
      </w:r>
      <w:r w:rsidRPr="00900300">
        <w:t>(Deutschland) werden ihre neuesten technologischen Entwicklungen, neue Eigenschaften und Anwendungen vorstellen</w:t>
      </w:r>
      <w:r>
        <w:t>.</w:t>
      </w:r>
      <w:r w:rsidRPr="00900300">
        <w:t xml:space="preserve"> </w:t>
      </w:r>
      <w:r>
        <w:t>E</w:t>
      </w:r>
      <w:r w:rsidRPr="00900300">
        <w:t xml:space="preserve">benso </w:t>
      </w:r>
      <w:r>
        <w:lastRenderedPageBreak/>
        <w:t>werden</w:t>
      </w:r>
      <w:r w:rsidRPr="00900300">
        <w:t xml:space="preserve"> Ökobilanzen und Konzepte </w:t>
      </w:r>
      <w:r>
        <w:t xml:space="preserve">zur Gewinnung von Cellulosefasern aus </w:t>
      </w:r>
      <w:r w:rsidRPr="00900300">
        <w:t>alternative</w:t>
      </w:r>
      <w:r>
        <w:t>n</w:t>
      </w:r>
      <w:r w:rsidRPr="00900300">
        <w:t xml:space="preserve"> Rohstoffquellen </w:t>
      </w:r>
      <w:r>
        <w:t>präsentiert, wodurch die</w:t>
      </w:r>
      <w:r w:rsidR="00330FFD">
        <w:t xml:space="preserve"> Fasern </w:t>
      </w:r>
      <w:r>
        <w:t xml:space="preserve">wieder </w:t>
      </w:r>
      <w:r w:rsidRPr="00900300">
        <w:t>in die Kreislaufwirtschaft integrier</w:t>
      </w:r>
      <w:r>
        <w:t>t und nutzbar gemacht werden können</w:t>
      </w:r>
      <w:r w:rsidRPr="00900300">
        <w:t xml:space="preserve">. Dabei werden auch Hilfsstoffe (Bozzetto (Italien)) und Ausrüstungen (Levaco </w:t>
      </w:r>
      <w:r>
        <w:t xml:space="preserve">Chemicals </w:t>
      </w:r>
      <w:r w:rsidRPr="00900300">
        <w:t xml:space="preserve">(Deutschland)) mit in die ökologischen Optimierungen einbezogen. Zu den </w:t>
      </w:r>
      <w:r>
        <w:t>Marktführern</w:t>
      </w:r>
      <w:r w:rsidRPr="00900300">
        <w:t xml:space="preserve"> der Branche gesellen sich </w:t>
      </w:r>
      <w:r>
        <w:t xml:space="preserve">außerdem </w:t>
      </w:r>
      <w:r w:rsidRPr="00900300">
        <w:t>zahlreiche Start-ups sowie führende Forschungsinstitute aus Dänemark, Deutschland, Finnland, den Niederlanden, Schweden und den USA.</w:t>
      </w:r>
    </w:p>
    <w:bookmarkEnd w:id="22"/>
    <w:bookmarkEnd w:id="23"/>
    <w:p w14:paraId="19051AFC" w14:textId="77777777" w:rsidR="00A47233" w:rsidRPr="00900300" w:rsidRDefault="00A47233" w:rsidP="003E5CBD">
      <w:pPr>
        <w:jc w:val="both"/>
      </w:pPr>
    </w:p>
    <w:p w14:paraId="177EB15A" w14:textId="5D83F58C" w:rsidR="00A47233" w:rsidRDefault="00A47233" w:rsidP="003E5CBD">
      <w:pPr>
        <w:jc w:val="both"/>
      </w:pPr>
      <w:bookmarkStart w:id="24" w:name="OLE_LINK65"/>
      <w:bookmarkStart w:id="25" w:name="OLE_LINK66"/>
      <w:r w:rsidRPr="00900300">
        <w:t>Die besondere Bedeutung des Themas Nachhaltigkeit wird durch zwei Sessions sowie eine Paneldiskussion abgebildet</w:t>
      </w:r>
      <w:r>
        <w:t>, an denen sowohl Anwender, als auch Zertifizierer und Umweltgruppen teilnehmen werden</w:t>
      </w:r>
      <w:r w:rsidRPr="00900300">
        <w:t xml:space="preserve">. </w:t>
      </w:r>
      <w:r>
        <w:t>Insbesondere die</w:t>
      </w:r>
      <w:r w:rsidRPr="00900300">
        <w:t xml:space="preserve"> Umweltaktivisten von Canopy (Kanada) haben sich zum Ziel gesetzt Unternehmenslösungen zu entwickeln, </w:t>
      </w:r>
      <w:r>
        <w:t>welche</w:t>
      </w:r>
      <w:r w:rsidRPr="00900300">
        <w:t xml:space="preserve"> die letzten natürlichen Wälder schützen</w:t>
      </w:r>
      <w:r w:rsidR="00330FFD">
        <w:t xml:space="preserve"> sollen</w:t>
      </w:r>
      <w:r>
        <w:t xml:space="preserve">. </w:t>
      </w:r>
      <w:r w:rsidR="00166792">
        <w:t>C</w:t>
      </w:r>
      <w:r w:rsidRPr="00900300">
        <w:t xml:space="preserve">ellulosefasern </w:t>
      </w:r>
      <w:r w:rsidR="00166792">
        <w:t xml:space="preserve">sollen </w:t>
      </w:r>
      <w:r w:rsidRPr="00900300">
        <w:t>so nachhaltig wie möglich produzieren</w:t>
      </w:r>
      <w:r>
        <w:t xml:space="preserve"> werden</w:t>
      </w:r>
      <w:r w:rsidRPr="00900300">
        <w:t xml:space="preserve"> – von der Rohstoffgewinnung über die Faserherstellung bis zur Ausrüstung der Endprodukte. 750 Unternehmen haben sich </w:t>
      </w:r>
      <w:r w:rsidR="00330FFD" w:rsidRPr="00900300">
        <w:t>d</w:t>
      </w:r>
      <w:r w:rsidR="00330FFD">
        <w:t>iesem</w:t>
      </w:r>
      <w:r w:rsidR="00330FFD" w:rsidRPr="00900300">
        <w:t xml:space="preserve"> </w:t>
      </w:r>
      <w:r w:rsidRPr="00900300">
        <w:t xml:space="preserve">Ziel bereits angeschlossen. </w:t>
      </w:r>
      <w:bookmarkStart w:id="26" w:name="OLE_LINK30"/>
      <w:r w:rsidRPr="00900300">
        <w:t>Zusammen mit ISCC (International Sustainability &amp; Carbon Certification</w:t>
      </w:r>
      <w:r>
        <w:t xml:space="preserve">, Deutschland), </w:t>
      </w:r>
      <w:r w:rsidRPr="00900300">
        <w:t>Textil</w:t>
      </w:r>
      <w:r w:rsidR="009A52D4">
        <w:t>e</w:t>
      </w:r>
      <w:r w:rsidRPr="00900300">
        <w:t xml:space="preserve"> Exchange</w:t>
      </w:r>
      <w:r>
        <w:t xml:space="preserve"> (D</w:t>
      </w:r>
      <w:r w:rsidR="00EC24BF">
        <w:t>eutschland</w:t>
      </w:r>
      <w:r w:rsidR="009A52D4">
        <w:t>/USA</w:t>
      </w:r>
      <w:r>
        <w:t xml:space="preserve">) </w:t>
      </w:r>
      <w:r w:rsidRPr="00900300">
        <w:t>und Textilkunden wie Esprit (</w:t>
      </w:r>
      <w:r w:rsidR="00166792">
        <w:t>Deutschland/Hongkong</w:t>
      </w:r>
      <w:r w:rsidRPr="00900300">
        <w:t xml:space="preserve">) </w:t>
      </w:r>
      <w:r>
        <w:t>werden</w:t>
      </w:r>
      <w:r w:rsidRPr="00900300">
        <w:t xml:space="preserve"> spannende Diskussionen</w:t>
      </w:r>
      <w:r>
        <w:t xml:space="preserve"> erwartet</w:t>
      </w:r>
      <w:bookmarkEnd w:id="24"/>
      <w:bookmarkEnd w:id="25"/>
      <w:r w:rsidRPr="00900300">
        <w:t>.</w:t>
      </w:r>
    </w:p>
    <w:p w14:paraId="4AB8EBE9" w14:textId="77777777" w:rsidR="00A47233" w:rsidRPr="00900300" w:rsidRDefault="00A47233" w:rsidP="003E5CBD">
      <w:pPr>
        <w:jc w:val="both"/>
      </w:pPr>
    </w:p>
    <w:p w14:paraId="726682CA" w14:textId="610116DB" w:rsidR="00A47233" w:rsidRDefault="00A47233" w:rsidP="003E5CBD">
      <w:pPr>
        <w:jc w:val="both"/>
      </w:pPr>
      <w:bookmarkStart w:id="27" w:name="OLE_LINK67"/>
      <w:bookmarkStart w:id="28" w:name="OLE_LINK68"/>
      <w:bookmarkEnd w:id="26"/>
      <w:r w:rsidRPr="00900300">
        <w:t xml:space="preserve">Ein weiterer </w:t>
      </w:r>
      <w:r>
        <w:t>thematischer Schwerpunkt</w:t>
      </w:r>
      <w:r w:rsidRPr="00900300">
        <w:t xml:space="preserve"> stellt d</w:t>
      </w:r>
      <w:r>
        <w:t xml:space="preserve">ie </w:t>
      </w:r>
      <w:r w:rsidRPr="00900300">
        <w:t>biologische Abbau</w:t>
      </w:r>
      <w:r>
        <w:t>barkeit</w:t>
      </w:r>
      <w:r w:rsidRPr="00900300">
        <w:t xml:space="preserve"> der Cellulosefasern dar</w:t>
      </w:r>
      <w:r>
        <w:t>. Diesem Thema kommt</w:t>
      </w:r>
      <w:r w:rsidRPr="00900300">
        <w:t xml:space="preserve"> eine besondere Bedeutung zu, da beim Waschen von Textilien </w:t>
      </w:r>
      <w:r>
        <w:t xml:space="preserve">unweigerlich </w:t>
      </w:r>
      <w:r w:rsidRPr="00900300">
        <w:t xml:space="preserve">Mikrofasern in die Abwässer gelangen. </w:t>
      </w:r>
      <w:bookmarkStart w:id="29" w:name="OLE_LINK69"/>
      <w:bookmarkStart w:id="30" w:name="OLE_LINK70"/>
      <w:r w:rsidRPr="00900300">
        <w:t xml:space="preserve">Zudem werden ab 2021 diverse Einweg-Kunststoffprodukte verboten, die teilweise durch Cellulosefasern substituiert werden können. </w:t>
      </w:r>
      <w:r>
        <w:t>Auch zu diesen Themen wird es interessante</w:t>
      </w:r>
      <w:r w:rsidRPr="00900300">
        <w:t xml:space="preserve"> Fachbeiträge u.a. von der Hochschule Niederrhein (Deutschland) und dem Scripps Institution of Oceanography, UC San Diego (USA)</w:t>
      </w:r>
      <w:r>
        <w:t xml:space="preserve"> geben</w:t>
      </w:r>
      <w:r w:rsidRPr="00900300">
        <w:t>.</w:t>
      </w:r>
    </w:p>
    <w:bookmarkEnd w:id="27"/>
    <w:bookmarkEnd w:id="28"/>
    <w:bookmarkEnd w:id="29"/>
    <w:bookmarkEnd w:id="30"/>
    <w:p w14:paraId="1543D596" w14:textId="5F14E562" w:rsidR="00A47233" w:rsidRDefault="00A47233" w:rsidP="003E5CBD">
      <w:pPr>
        <w:jc w:val="both"/>
      </w:pPr>
    </w:p>
    <w:p w14:paraId="2CFEBAF8" w14:textId="77777777" w:rsidR="004D1D24" w:rsidRDefault="006C2B11" w:rsidP="003E5CBD">
      <w:pPr>
        <w:jc w:val="both"/>
      </w:pPr>
      <w:bookmarkStart w:id="31" w:name="OLE_LINK73"/>
      <w:bookmarkStart w:id="32" w:name="OLE_LINK76"/>
      <w:r>
        <w:t>Sateri (China), Lenzing (Österreich) und Bozzetto (Italien)</w:t>
      </w:r>
      <w:r w:rsidR="00E7178B">
        <w:t xml:space="preserve"> werden</w:t>
      </w:r>
      <w:r>
        <w:t xml:space="preserve"> </w:t>
      </w:r>
      <w:r w:rsidR="00E7178B">
        <w:t xml:space="preserve">die </w:t>
      </w:r>
      <w:r>
        <w:t xml:space="preserve">Konferenz </w:t>
      </w:r>
      <w:r w:rsidR="00E7178B">
        <w:t xml:space="preserve">als </w:t>
      </w:r>
      <w:r>
        <w:t xml:space="preserve">Gold-Sponsor unterstützen. Außerdem </w:t>
      </w:r>
      <w:r w:rsidR="00E7178B">
        <w:t xml:space="preserve">werden </w:t>
      </w:r>
      <w:r>
        <w:t xml:space="preserve">LEVACO Chemical (Deutschland) </w:t>
      </w:r>
      <w:r w:rsidR="00E7178B">
        <w:t xml:space="preserve">als </w:t>
      </w:r>
      <w:r>
        <w:t>Silber-Sponsor</w:t>
      </w:r>
      <w:r w:rsidR="00E7178B">
        <w:t xml:space="preserve"> </w:t>
      </w:r>
      <w:r>
        <w:t xml:space="preserve">sowie NC Partnering (Finnland) und Stora Enso (Finnland/Schweden) </w:t>
      </w:r>
      <w:r w:rsidR="00E7178B">
        <w:t xml:space="preserve">als Bronze-Sponsoren mit dabei sein. </w:t>
      </w:r>
    </w:p>
    <w:p w14:paraId="111D0F23" w14:textId="77777777" w:rsidR="004D1D24" w:rsidRDefault="004D1D24" w:rsidP="003E5CBD">
      <w:pPr>
        <w:jc w:val="both"/>
      </w:pPr>
    </w:p>
    <w:p w14:paraId="3FB0B772" w14:textId="447C5B57" w:rsidR="006C2B11" w:rsidRDefault="00EC24BF" w:rsidP="003E5CBD">
      <w:pPr>
        <w:jc w:val="both"/>
      </w:pPr>
      <w:bookmarkStart w:id="33" w:name="OLE_LINK79"/>
      <w:bookmarkStart w:id="34" w:name="OLE_LINK80"/>
      <w:r>
        <w:t xml:space="preserve">Premiumpartner der Konferenz </w:t>
      </w:r>
      <w:r w:rsidR="00CF1D39">
        <w:t xml:space="preserve">sind </w:t>
      </w:r>
      <w:r>
        <w:t>die Umwelt</w:t>
      </w:r>
      <w:r w:rsidR="00CD3B64">
        <w:t>aktivisten</w:t>
      </w:r>
      <w:r>
        <w:t xml:space="preserve"> </w:t>
      </w:r>
      <w:r w:rsidR="00CF1D39">
        <w:t xml:space="preserve">von </w:t>
      </w:r>
      <w:r>
        <w:t xml:space="preserve">Canopy (Kanada). </w:t>
      </w:r>
      <w:bookmarkStart w:id="35" w:name="OLE_LINK77"/>
      <w:bookmarkStart w:id="36" w:name="OLE_LINK78"/>
      <w:bookmarkEnd w:id="33"/>
      <w:bookmarkEnd w:id="34"/>
      <w:r>
        <w:t>Weitere namhafte Partner der Konferenz sind BCNP Consultants (Deutschland), C.A.R.M.E.N. (Deutschland), CLIB (Deutschland), das Institut für Textiltechnik (ITA) der RWTH Aachen (Deutschland),</w:t>
      </w:r>
      <w:r w:rsidR="007C12DA">
        <w:t xml:space="preserve"> </w:t>
      </w:r>
      <w:r>
        <w:t>PEFC International (Schweiz/Deutschland), Textil</w:t>
      </w:r>
      <w:r w:rsidR="00CB792E">
        <w:t>e</w:t>
      </w:r>
      <w:r>
        <w:t xml:space="preserve"> Exchange (Deutschland</w:t>
      </w:r>
      <w:r w:rsidR="00CB792E">
        <w:t>/USA</w:t>
      </w:r>
      <w:r>
        <w:t>), The Fibre Year Consulting (Schweiz) und das World Bioeconomy Forum</w:t>
      </w:r>
      <w:r w:rsidR="00841240">
        <w:t xml:space="preserve"> (Finnland)</w:t>
      </w:r>
      <w:r>
        <w:t xml:space="preserve">. </w:t>
      </w:r>
      <w:bookmarkEnd w:id="35"/>
      <w:bookmarkEnd w:id="36"/>
    </w:p>
    <w:bookmarkEnd w:id="31"/>
    <w:bookmarkEnd w:id="32"/>
    <w:p w14:paraId="47C5B29D" w14:textId="77777777" w:rsidR="006C2B11" w:rsidRPr="00900300" w:rsidRDefault="006C2B11" w:rsidP="003E5CBD">
      <w:pPr>
        <w:jc w:val="both"/>
      </w:pPr>
    </w:p>
    <w:p w14:paraId="61B468F4" w14:textId="71C9015A" w:rsidR="00A47233" w:rsidRPr="00900300" w:rsidRDefault="00A47233" w:rsidP="003E5CBD">
      <w:pPr>
        <w:jc w:val="both"/>
      </w:pPr>
      <w:bookmarkStart w:id="37" w:name="OLE_LINK71"/>
      <w:bookmarkStart w:id="38" w:name="OLE_LINK72"/>
      <w:r w:rsidRPr="00900300">
        <w:t xml:space="preserve">Das nova-Institut erwartet 200 bis 300 Teilnehmer </w:t>
      </w:r>
      <w:r>
        <w:t>sowie</w:t>
      </w:r>
      <w:r w:rsidRPr="00900300">
        <w:t xml:space="preserve"> 30 Aussteller aus der ganzen Welt</w:t>
      </w:r>
      <w:r>
        <w:t>. Zudem wird</w:t>
      </w:r>
      <w:r w:rsidRPr="00900300">
        <w:t xml:space="preserve"> </w:t>
      </w:r>
      <w:r>
        <w:t>eine</w:t>
      </w:r>
      <w:r w:rsidRPr="00900300">
        <w:t xml:space="preserve"> Vielzahl unterschiedlicher Branchen wie z.B. Textil, Hygiene und Verpackung</w:t>
      </w:r>
      <w:r>
        <w:t xml:space="preserve"> an der Konferenz teilnehmen</w:t>
      </w:r>
      <w:r w:rsidRPr="00900300">
        <w:t>.</w:t>
      </w:r>
    </w:p>
    <w:p w14:paraId="3E22FB71" w14:textId="77777777" w:rsidR="006C2B11" w:rsidRDefault="006C2B11" w:rsidP="003E5CBD">
      <w:pPr>
        <w:jc w:val="both"/>
      </w:pPr>
    </w:p>
    <w:p w14:paraId="612B564B" w14:textId="30EE398F" w:rsidR="00A47233" w:rsidRPr="00900300" w:rsidRDefault="00A47233" w:rsidP="003E5CBD">
      <w:pPr>
        <w:jc w:val="both"/>
      </w:pPr>
      <w:r w:rsidRPr="00900300">
        <w:t>Weitere Informationen</w:t>
      </w:r>
      <w:r w:rsidR="00166792">
        <w:t>, Programm</w:t>
      </w:r>
      <w:r w:rsidRPr="00900300">
        <w:t xml:space="preserve"> und Anmeldung: </w:t>
      </w:r>
      <w:bookmarkStart w:id="39" w:name="OLE_LINK3"/>
      <w:bookmarkStart w:id="40" w:name="OLE_LINK4"/>
      <w:r>
        <w:fldChar w:fldCharType="begin"/>
      </w:r>
      <w:r>
        <w:instrText xml:space="preserve"> HYPERLINK "http://</w:instrText>
      </w:r>
      <w:r w:rsidRPr="00900300">
        <w:instrText>www.cellulose-fibres.eu</w:instrText>
      </w:r>
      <w:r>
        <w:instrText xml:space="preserve">" </w:instrText>
      </w:r>
      <w:r>
        <w:fldChar w:fldCharType="separate"/>
      </w:r>
      <w:r w:rsidRPr="00CA39D4">
        <w:rPr>
          <w:rStyle w:val="Hyperlink"/>
        </w:rPr>
        <w:t>www.cellulose-fibres.eu</w:t>
      </w:r>
      <w:bookmarkEnd w:id="39"/>
      <w:bookmarkEnd w:id="40"/>
      <w:r>
        <w:fldChar w:fldCharType="end"/>
      </w:r>
      <w:r>
        <w:t xml:space="preserve"> </w:t>
      </w:r>
    </w:p>
    <w:p w14:paraId="094F23F2" w14:textId="77777777" w:rsidR="009B26C9" w:rsidRDefault="009B26C9" w:rsidP="003E5CBD">
      <w:pPr>
        <w:jc w:val="both"/>
      </w:pPr>
    </w:p>
    <w:bookmarkEnd w:id="37"/>
    <w:bookmarkEnd w:id="38"/>
    <w:p w14:paraId="3F2AEC10" w14:textId="222E98CA" w:rsidR="00C555D1" w:rsidRDefault="00C555D1" w:rsidP="003E5CBD">
      <w:pPr>
        <w:jc w:val="both"/>
      </w:pPr>
    </w:p>
    <w:p w14:paraId="70A84636" w14:textId="77777777" w:rsidR="006C2B11" w:rsidRDefault="006C2B11" w:rsidP="003E5CBD">
      <w:pPr>
        <w:jc w:val="both"/>
      </w:pPr>
    </w:p>
    <w:p w14:paraId="23800730" w14:textId="67334CA3" w:rsidR="00C555D1" w:rsidRPr="0055659A" w:rsidRDefault="00255625" w:rsidP="003E5CBD">
      <w:pPr>
        <w:jc w:val="both"/>
        <w:rPr>
          <w:b/>
        </w:rPr>
      </w:pPr>
      <w:bookmarkStart w:id="41" w:name="OLE_LINK19"/>
      <w:bookmarkStart w:id="42"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0" w:history="1">
        <w:r w:rsidR="00BB521C" w:rsidRPr="001326E8">
          <w:rPr>
            <w:rStyle w:val="Hyperlink"/>
            <w:b/>
          </w:rPr>
          <w:t>www.nova-institute.eu/press</w:t>
        </w:r>
      </w:hyperlink>
      <w:r w:rsidR="00BB521C">
        <w:rPr>
          <w:b/>
        </w:rPr>
        <w:t xml:space="preserve"> </w:t>
      </w:r>
    </w:p>
    <w:bookmarkEnd w:id="41"/>
    <w:bookmarkEnd w:id="42"/>
    <w:p w14:paraId="35F62236" w14:textId="5CF4F286" w:rsidR="00C555D1" w:rsidRDefault="00C555D1" w:rsidP="003E5CBD">
      <w:pPr>
        <w:jc w:val="both"/>
      </w:pPr>
    </w:p>
    <w:p w14:paraId="3C08D73F" w14:textId="77777777" w:rsidR="00C555D1" w:rsidRPr="00E64E52" w:rsidRDefault="00C555D1" w:rsidP="003E5CBD">
      <w:pPr>
        <w:jc w:val="both"/>
      </w:pPr>
    </w:p>
    <w:p w14:paraId="7BDD5510" w14:textId="19016335" w:rsidR="0049045F" w:rsidRPr="00E64E52" w:rsidRDefault="00C86E05" w:rsidP="003E5CBD">
      <w:pPr>
        <w:jc w:val="both"/>
        <w:rPr>
          <w:rStyle w:val="hps"/>
          <w:b/>
        </w:rPr>
      </w:pPr>
      <w:bookmarkStart w:id="43" w:name="OLE_LINK28"/>
      <w:bookmarkStart w:id="44"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3E5CBD">
      <w:pPr>
        <w:jc w:val="both"/>
      </w:pPr>
    </w:p>
    <w:p w14:paraId="4EFB2B8C" w14:textId="4DCDA521" w:rsidR="00C86E05" w:rsidRPr="00E64E52" w:rsidRDefault="00C86E05" w:rsidP="003E5CBD">
      <w:pPr>
        <w:jc w:val="both"/>
      </w:pPr>
      <w:r w:rsidRPr="00E64E52">
        <w:t>Dipl.-Phys. Michael Carus (Geschäftsführer)</w:t>
      </w:r>
    </w:p>
    <w:p w14:paraId="14C26790" w14:textId="77777777" w:rsidR="00C86E05" w:rsidRPr="00E64E52" w:rsidRDefault="00C86E05" w:rsidP="003E5CBD">
      <w:pPr>
        <w:jc w:val="both"/>
      </w:pPr>
      <w:r w:rsidRPr="00E64E52">
        <w:t xml:space="preserve">nova-Institut GmbH, Chemiepark Knapsack, Industriestraße 300, 50354 Hürth </w:t>
      </w:r>
    </w:p>
    <w:p w14:paraId="010BC0A7" w14:textId="77777777" w:rsidR="00C86E05" w:rsidRPr="00E64E52" w:rsidRDefault="00C86E05" w:rsidP="003E5CBD">
      <w:pPr>
        <w:jc w:val="both"/>
      </w:pPr>
      <w:r w:rsidRPr="00E64E52">
        <w:t xml:space="preserve">Internet: </w:t>
      </w:r>
      <w:hyperlink r:id="rId11" w:history="1">
        <w:r w:rsidRPr="00E64E52">
          <w:rPr>
            <w:rStyle w:val="Hyperlink"/>
          </w:rPr>
          <w:t>www.nova-institut.de</w:t>
        </w:r>
      </w:hyperlink>
      <w:r w:rsidRPr="00E64E52">
        <w:t xml:space="preserve"> – Dienstleistungen und Studien auf </w:t>
      </w:r>
      <w:hyperlink r:id="rId12" w:history="1">
        <w:r w:rsidRPr="00E64E52">
          <w:rPr>
            <w:rStyle w:val="Hyperlink"/>
          </w:rPr>
          <w:t>www.bio-based.eu</w:t>
        </w:r>
      </w:hyperlink>
    </w:p>
    <w:p w14:paraId="3AEA8921" w14:textId="1168454C" w:rsidR="00C86E05" w:rsidRPr="00E64E52" w:rsidRDefault="00C86E05" w:rsidP="003E5CBD">
      <w:pPr>
        <w:jc w:val="both"/>
        <w:rPr>
          <w:lang w:val="en-US"/>
        </w:rPr>
      </w:pPr>
      <w:r w:rsidRPr="00E64E52">
        <w:rPr>
          <w:lang w:val="en-US"/>
        </w:rPr>
        <w:t>Email:</w:t>
      </w:r>
      <w:r w:rsidR="0048770E">
        <w:rPr>
          <w:lang w:val="en-US"/>
        </w:rPr>
        <w:t xml:space="preserve"> </w:t>
      </w:r>
      <w:hyperlink r:id="rId13" w:history="1">
        <w:r w:rsidR="0048770E" w:rsidRPr="00CA39D4">
          <w:rPr>
            <w:rStyle w:val="Hyperlink"/>
            <w:lang w:val="en-US"/>
          </w:rPr>
          <w:t>contact@nova-institut.de</w:t>
        </w:r>
      </w:hyperlink>
      <w:r w:rsidR="0048770E">
        <w:rPr>
          <w:lang w:val="en-US"/>
        </w:rPr>
        <w:t xml:space="preserve"> </w:t>
      </w:r>
    </w:p>
    <w:p w14:paraId="529B9540" w14:textId="77777777" w:rsidR="00C86E05" w:rsidRPr="00E64E52" w:rsidRDefault="00C86E05" w:rsidP="003E5CBD">
      <w:pPr>
        <w:jc w:val="both"/>
        <w:rPr>
          <w:lang w:val="en-US"/>
        </w:rPr>
      </w:pPr>
      <w:r w:rsidRPr="00E64E52">
        <w:rPr>
          <w:lang w:val="en-US"/>
        </w:rPr>
        <w:t>Tel: +49 (0) 22 33-48 14 40</w:t>
      </w:r>
    </w:p>
    <w:p w14:paraId="35B98A86" w14:textId="77777777" w:rsidR="00C86E05" w:rsidRPr="00E64E52" w:rsidRDefault="00C86E05" w:rsidP="003E5CBD">
      <w:pPr>
        <w:jc w:val="both"/>
        <w:rPr>
          <w:lang w:val="en-US"/>
        </w:rPr>
      </w:pPr>
    </w:p>
    <w:p w14:paraId="2A03FB17" w14:textId="0563C884" w:rsidR="00C86E05" w:rsidRPr="00E64E52" w:rsidRDefault="00C86E05" w:rsidP="003E5CBD">
      <w:pPr>
        <w:jc w:val="both"/>
      </w:pPr>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3E5CBD">
      <w:pPr>
        <w:jc w:val="both"/>
      </w:pPr>
    </w:p>
    <w:bookmarkEnd w:id="43"/>
    <w:bookmarkEnd w:id="44"/>
    <w:p w14:paraId="3ED4AC31" w14:textId="77777777" w:rsidR="00FF6726" w:rsidRPr="00E64E52" w:rsidRDefault="00FF6726" w:rsidP="003E5CBD">
      <w:pPr>
        <w:jc w:val="both"/>
        <w:rPr>
          <w:b/>
        </w:rPr>
      </w:pPr>
      <w:r w:rsidRPr="00E64E52">
        <w:rPr>
          <w:b/>
        </w:rPr>
        <w:t xml:space="preserve">Abonnieren Sie unsere Mitteilungen zu Ihren Schwerpunkten unter </w:t>
      </w:r>
      <w:hyperlink r:id="rId14" w:history="1">
        <w:r w:rsidRPr="00E64E52">
          <w:rPr>
            <w:rStyle w:val="Hyperlink"/>
            <w:b/>
          </w:rPr>
          <w:t>www.bio-based.eu/email</w:t>
        </w:r>
      </w:hyperlink>
      <w:r w:rsidRPr="00E64E52">
        <w:rPr>
          <w:b/>
        </w:rPr>
        <w:t xml:space="preserve"> </w:t>
      </w:r>
    </w:p>
    <w:p w14:paraId="75C474F9" w14:textId="77777777" w:rsidR="00166393" w:rsidRPr="00E64E52" w:rsidRDefault="00166393" w:rsidP="003E5CBD">
      <w:pPr>
        <w:jc w:val="both"/>
      </w:pPr>
    </w:p>
    <w:sectPr w:rsidR="00166393" w:rsidRPr="00E64E52" w:rsidSect="00467E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D68B" w14:textId="77777777" w:rsidR="00500CE6" w:rsidRDefault="00500CE6" w:rsidP="0049045F">
      <w:r>
        <w:separator/>
      </w:r>
    </w:p>
  </w:endnote>
  <w:endnote w:type="continuationSeparator" w:id="0">
    <w:p w14:paraId="693C8E83" w14:textId="77777777" w:rsidR="00500CE6" w:rsidRDefault="00500CE6"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36E5" w14:textId="77777777" w:rsidR="00500CE6" w:rsidRDefault="00500CE6" w:rsidP="0049045F">
      <w:r>
        <w:separator/>
      </w:r>
    </w:p>
  </w:footnote>
  <w:footnote w:type="continuationSeparator" w:id="0">
    <w:p w14:paraId="435E1944" w14:textId="77777777" w:rsidR="00500CE6" w:rsidRDefault="00500CE6"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142D0"/>
    <w:rsid w:val="00022F0D"/>
    <w:rsid w:val="00024463"/>
    <w:rsid w:val="00024A18"/>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38B"/>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0011"/>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2ACB"/>
    <w:rsid w:val="001544DD"/>
    <w:rsid w:val="0015549B"/>
    <w:rsid w:val="001569FE"/>
    <w:rsid w:val="00156E3A"/>
    <w:rsid w:val="00157977"/>
    <w:rsid w:val="00160174"/>
    <w:rsid w:val="00166393"/>
    <w:rsid w:val="00166792"/>
    <w:rsid w:val="001714F2"/>
    <w:rsid w:val="00176211"/>
    <w:rsid w:val="00176E33"/>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45131"/>
    <w:rsid w:val="00245C90"/>
    <w:rsid w:val="00250B28"/>
    <w:rsid w:val="00251B32"/>
    <w:rsid w:val="0025384E"/>
    <w:rsid w:val="00254906"/>
    <w:rsid w:val="00255625"/>
    <w:rsid w:val="00257700"/>
    <w:rsid w:val="00261B98"/>
    <w:rsid w:val="00270EE0"/>
    <w:rsid w:val="002746D3"/>
    <w:rsid w:val="0027532C"/>
    <w:rsid w:val="00276648"/>
    <w:rsid w:val="00280D7C"/>
    <w:rsid w:val="00284BAF"/>
    <w:rsid w:val="00286051"/>
    <w:rsid w:val="0028613F"/>
    <w:rsid w:val="00291B06"/>
    <w:rsid w:val="00293AEA"/>
    <w:rsid w:val="00295201"/>
    <w:rsid w:val="002A38BB"/>
    <w:rsid w:val="002A505D"/>
    <w:rsid w:val="002B0AB5"/>
    <w:rsid w:val="002B15DB"/>
    <w:rsid w:val="002B24B9"/>
    <w:rsid w:val="002B34A9"/>
    <w:rsid w:val="002B35FD"/>
    <w:rsid w:val="002B5D82"/>
    <w:rsid w:val="002B63BA"/>
    <w:rsid w:val="002B7CBC"/>
    <w:rsid w:val="002C0174"/>
    <w:rsid w:val="002C1652"/>
    <w:rsid w:val="002C427A"/>
    <w:rsid w:val="002C7588"/>
    <w:rsid w:val="002D0816"/>
    <w:rsid w:val="002D0ED8"/>
    <w:rsid w:val="002D77C7"/>
    <w:rsid w:val="002E1FE2"/>
    <w:rsid w:val="002E2312"/>
    <w:rsid w:val="002E4208"/>
    <w:rsid w:val="002F1B50"/>
    <w:rsid w:val="002F28FD"/>
    <w:rsid w:val="002F444A"/>
    <w:rsid w:val="003001BD"/>
    <w:rsid w:val="00300958"/>
    <w:rsid w:val="00300D3D"/>
    <w:rsid w:val="00302373"/>
    <w:rsid w:val="00303411"/>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0FFD"/>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3105"/>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25A9"/>
    <w:rsid w:val="003E3CB6"/>
    <w:rsid w:val="003E4026"/>
    <w:rsid w:val="003E5CBD"/>
    <w:rsid w:val="003E7637"/>
    <w:rsid w:val="003F4803"/>
    <w:rsid w:val="003F5797"/>
    <w:rsid w:val="00404374"/>
    <w:rsid w:val="0040456B"/>
    <w:rsid w:val="0040459C"/>
    <w:rsid w:val="004047D7"/>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437"/>
    <w:rsid w:val="00466548"/>
    <w:rsid w:val="00467E5F"/>
    <w:rsid w:val="004708D8"/>
    <w:rsid w:val="0047107C"/>
    <w:rsid w:val="00471F6D"/>
    <w:rsid w:val="004723A1"/>
    <w:rsid w:val="00473A61"/>
    <w:rsid w:val="00473A64"/>
    <w:rsid w:val="00474DB1"/>
    <w:rsid w:val="00474FB9"/>
    <w:rsid w:val="00480123"/>
    <w:rsid w:val="0048084E"/>
    <w:rsid w:val="0048141A"/>
    <w:rsid w:val="004847FF"/>
    <w:rsid w:val="0048770E"/>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1D24"/>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0CE6"/>
    <w:rsid w:val="0050198F"/>
    <w:rsid w:val="00502028"/>
    <w:rsid w:val="00502BDC"/>
    <w:rsid w:val="00502F95"/>
    <w:rsid w:val="00510E06"/>
    <w:rsid w:val="00514F03"/>
    <w:rsid w:val="00520764"/>
    <w:rsid w:val="00520C54"/>
    <w:rsid w:val="005256CA"/>
    <w:rsid w:val="00526CAE"/>
    <w:rsid w:val="005362AF"/>
    <w:rsid w:val="00537662"/>
    <w:rsid w:val="00541D71"/>
    <w:rsid w:val="00545457"/>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5F75F4"/>
    <w:rsid w:val="006017D8"/>
    <w:rsid w:val="00601FC2"/>
    <w:rsid w:val="00604E91"/>
    <w:rsid w:val="0060745F"/>
    <w:rsid w:val="00607E6A"/>
    <w:rsid w:val="006231D7"/>
    <w:rsid w:val="00626B20"/>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2B11"/>
    <w:rsid w:val="006C602B"/>
    <w:rsid w:val="006D5EA7"/>
    <w:rsid w:val="006E1B14"/>
    <w:rsid w:val="006F09C7"/>
    <w:rsid w:val="006F3809"/>
    <w:rsid w:val="006F624A"/>
    <w:rsid w:val="006F6272"/>
    <w:rsid w:val="007001E7"/>
    <w:rsid w:val="00702171"/>
    <w:rsid w:val="0070241B"/>
    <w:rsid w:val="0070280C"/>
    <w:rsid w:val="00702C42"/>
    <w:rsid w:val="00706461"/>
    <w:rsid w:val="00706C6C"/>
    <w:rsid w:val="00707E84"/>
    <w:rsid w:val="007107AC"/>
    <w:rsid w:val="0071096C"/>
    <w:rsid w:val="00711A54"/>
    <w:rsid w:val="00717CB6"/>
    <w:rsid w:val="00721C63"/>
    <w:rsid w:val="0072511B"/>
    <w:rsid w:val="007268BA"/>
    <w:rsid w:val="00727CB3"/>
    <w:rsid w:val="00727D6E"/>
    <w:rsid w:val="00730940"/>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616B"/>
    <w:rsid w:val="007A7633"/>
    <w:rsid w:val="007B1B05"/>
    <w:rsid w:val="007B46B4"/>
    <w:rsid w:val="007C01AA"/>
    <w:rsid w:val="007C12DA"/>
    <w:rsid w:val="007C45F3"/>
    <w:rsid w:val="007C5D6D"/>
    <w:rsid w:val="007C6928"/>
    <w:rsid w:val="007C7932"/>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240"/>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5318"/>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E3F4B"/>
    <w:rsid w:val="008F000A"/>
    <w:rsid w:val="008F06C3"/>
    <w:rsid w:val="008F452E"/>
    <w:rsid w:val="008F5E20"/>
    <w:rsid w:val="008F7BA0"/>
    <w:rsid w:val="0090336E"/>
    <w:rsid w:val="009044E4"/>
    <w:rsid w:val="009058C5"/>
    <w:rsid w:val="009139B3"/>
    <w:rsid w:val="00916C4F"/>
    <w:rsid w:val="00916FC7"/>
    <w:rsid w:val="009175C8"/>
    <w:rsid w:val="00922D09"/>
    <w:rsid w:val="00932837"/>
    <w:rsid w:val="009340FB"/>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2D4"/>
    <w:rsid w:val="009A6BBA"/>
    <w:rsid w:val="009B2027"/>
    <w:rsid w:val="009B26C9"/>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9F6378"/>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47233"/>
    <w:rsid w:val="00A547C8"/>
    <w:rsid w:val="00A54C02"/>
    <w:rsid w:val="00A55283"/>
    <w:rsid w:val="00A602E7"/>
    <w:rsid w:val="00A60E44"/>
    <w:rsid w:val="00A61408"/>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C711D"/>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0E6B"/>
    <w:rsid w:val="00B5325F"/>
    <w:rsid w:val="00B53F5C"/>
    <w:rsid w:val="00B55762"/>
    <w:rsid w:val="00B55EE8"/>
    <w:rsid w:val="00B65BCA"/>
    <w:rsid w:val="00B71862"/>
    <w:rsid w:val="00B72095"/>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539"/>
    <w:rsid w:val="00BC59AA"/>
    <w:rsid w:val="00BC6A25"/>
    <w:rsid w:val="00BD0DC5"/>
    <w:rsid w:val="00BD1087"/>
    <w:rsid w:val="00BD2379"/>
    <w:rsid w:val="00BD4464"/>
    <w:rsid w:val="00BD4735"/>
    <w:rsid w:val="00BD578F"/>
    <w:rsid w:val="00BE1E63"/>
    <w:rsid w:val="00BE212C"/>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4979"/>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307D"/>
    <w:rsid w:val="00CA7A85"/>
    <w:rsid w:val="00CB4B26"/>
    <w:rsid w:val="00CB556B"/>
    <w:rsid w:val="00CB592A"/>
    <w:rsid w:val="00CB792E"/>
    <w:rsid w:val="00CC1A5F"/>
    <w:rsid w:val="00CC1E5F"/>
    <w:rsid w:val="00CC4736"/>
    <w:rsid w:val="00CC479A"/>
    <w:rsid w:val="00CC6B11"/>
    <w:rsid w:val="00CC7988"/>
    <w:rsid w:val="00CD07A8"/>
    <w:rsid w:val="00CD3B64"/>
    <w:rsid w:val="00CD7749"/>
    <w:rsid w:val="00CD79D3"/>
    <w:rsid w:val="00CE3622"/>
    <w:rsid w:val="00CE6BAF"/>
    <w:rsid w:val="00CE78C0"/>
    <w:rsid w:val="00CF0908"/>
    <w:rsid w:val="00CF1468"/>
    <w:rsid w:val="00CF1D39"/>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6C84"/>
    <w:rsid w:val="00DD75B4"/>
    <w:rsid w:val="00DE2324"/>
    <w:rsid w:val="00DE4570"/>
    <w:rsid w:val="00DE52DB"/>
    <w:rsid w:val="00DE6301"/>
    <w:rsid w:val="00DF07E9"/>
    <w:rsid w:val="00DF18C5"/>
    <w:rsid w:val="00DF20A4"/>
    <w:rsid w:val="00DF3EFF"/>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178B"/>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24BF"/>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37CA"/>
    <w:rsid w:val="00F24140"/>
    <w:rsid w:val="00F2761D"/>
    <w:rsid w:val="00F340FE"/>
    <w:rsid w:val="00F34ACB"/>
    <w:rsid w:val="00F446E6"/>
    <w:rsid w:val="00F45AA1"/>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04CE"/>
    <w:rsid w:val="00FE16C3"/>
    <w:rsid w:val="00FE45D0"/>
    <w:rsid w:val="00FE4AF3"/>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F75F4"/>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jc w:val="both"/>
      <w:outlineLvl w:val="0"/>
    </w:pPr>
    <w:rPr>
      <w:rFonts w:ascii="Arial" w:hAnsi="Arial" w:cs="Arial"/>
      <w:b/>
      <w:bCs/>
      <w:color w:val="1F497D" w:themeColor="text2"/>
      <w:kern w:val="32"/>
      <w:sz w:val="32"/>
      <w:szCs w:val="32"/>
    </w:rPr>
  </w:style>
  <w:style w:type="paragraph" w:styleId="berschrift2">
    <w:name w:val="heading 2"/>
    <w:basedOn w:val="Standard"/>
    <w:next w:val="Standard"/>
    <w:link w:val="berschrift2Zchn"/>
    <w:uiPriority w:val="9"/>
    <w:qFormat/>
    <w:rsid w:val="000B4B11"/>
    <w:pPr>
      <w:keepNext/>
      <w:spacing w:before="240" w:after="60"/>
      <w:jc w:val="both"/>
      <w:outlineLvl w:val="1"/>
    </w:pPr>
    <w:rPr>
      <w:rFonts w:ascii="Arial" w:hAnsi="Arial" w:cs="Arial"/>
      <w:b/>
      <w:bCs/>
      <w:iCs/>
      <w:color w:val="4F81BD" w:themeColor="accent1"/>
      <w:sz w:val="28"/>
      <w:szCs w:val="28"/>
    </w:rPr>
  </w:style>
  <w:style w:type="paragraph" w:styleId="berschrift3">
    <w:name w:val="heading 3"/>
    <w:basedOn w:val="Standard"/>
    <w:next w:val="Standard"/>
    <w:link w:val="berschrift3Zchn"/>
    <w:qFormat/>
    <w:rsid w:val="001516B2"/>
    <w:pPr>
      <w:keepNext/>
      <w:spacing w:before="240" w:after="60"/>
      <w:jc w:val="both"/>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7431E6"/>
    <w:pPr>
      <w:keepNext/>
      <w:keepLines/>
      <w:spacing w:before="200"/>
      <w:jc w:val="both"/>
      <w:outlineLvl w:val="3"/>
    </w:pPr>
    <w:rPr>
      <w:rFonts w:asciiTheme="majorHAnsi" w:eastAsiaTheme="majorEastAsia" w:hAnsiTheme="majorHAnsi" w:cstheme="majorBidi"/>
      <w:b/>
      <w:bCs/>
      <w:i/>
      <w:iCs/>
      <w:color w:val="4F81BD" w:themeColor="accent1"/>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jc w:val="both"/>
    </w:pPr>
    <w:rPr>
      <w:rFonts w:eastAsia="Cambria"/>
      <w:szCs w:val="20"/>
      <w:lang w:eastAsia="en-US"/>
    </w:rPr>
  </w:style>
  <w:style w:type="paragraph" w:styleId="Sprechblasentext">
    <w:name w:val="Balloon Text"/>
    <w:basedOn w:val="Standard"/>
    <w:link w:val="SprechblasentextZchn"/>
    <w:uiPriority w:val="99"/>
    <w:semiHidden/>
    <w:unhideWhenUsed/>
    <w:rsid w:val="00F86261"/>
    <w:pPr>
      <w:jc w:val="both"/>
    </w:pPr>
    <w:rPr>
      <w:rFonts w:ascii="Lucida Grande" w:eastAsia="Cambria" w:hAnsi="Lucida Grande"/>
      <w:sz w:val="18"/>
      <w:szCs w:val="18"/>
      <w:lang w:eastAsia="en-US"/>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jc w:val="both"/>
    </w:pPr>
    <w:rPr>
      <w:rFonts w:eastAsia="Cambria"/>
      <w:szCs w:val="20"/>
      <w:lang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jc w:val="both"/>
    </w:pPr>
    <w:rPr>
      <w:rFonts w:eastAsia="Cambria"/>
      <w:szCs w:val="20"/>
      <w:lang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jc w:val="both"/>
    </w:pPr>
  </w:style>
  <w:style w:type="paragraph" w:styleId="Verzeichnis2">
    <w:name w:val="toc 2"/>
    <w:basedOn w:val="Standard"/>
    <w:next w:val="Standard"/>
    <w:autoRedefine/>
    <w:rsid w:val="005B70C9"/>
    <w:pPr>
      <w:tabs>
        <w:tab w:val="left" w:pos="1134"/>
        <w:tab w:val="right" w:leader="dot" w:pos="8777"/>
      </w:tabs>
      <w:ind w:left="1134" w:hanging="567"/>
      <w:jc w:val="both"/>
    </w:p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jc w:val="both"/>
    </w:p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pPr>
      <w:jc w:val="both"/>
    </w:pPr>
    <w:rPr>
      <w:rFonts w:ascii="Lucida Grande" w:eastAsia="Cambria" w:hAnsi="Lucida Grande"/>
      <w:lang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pPr>
      <w:jc w:val="both"/>
    </w:pPr>
    <w:rPr>
      <w:rFonts w:ascii="Courier" w:eastAsia="Cambria" w:hAnsi="Courier"/>
      <w:sz w:val="21"/>
      <w:szCs w:val="21"/>
      <w:lang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jc w:val="both"/>
    </w:pPr>
    <w:rPr>
      <w:rFonts w:ascii="Courier New" w:eastAsia="Courier New" w:hAnsi="Courier New" w:cs="Courier New"/>
      <w:sz w:val="20"/>
      <w:szCs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pPr>
      <w:jc w:val="both"/>
    </w:pPr>
    <w:rPr>
      <w:rFonts w:eastAsia="Cambria"/>
      <w:lang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jc w:val="both"/>
    </w:pPr>
    <w:rPr>
      <w:rFonts w:eastAsia="Cambria"/>
      <w:szCs w:val="20"/>
      <w:lang w:eastAsia="en-US"/>
    </w:r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jc w:val="both"/>
      <w:textAlignment w:val="center"/>
    </w:pPr>
    <w:rPr>
      <w:rFonts w:ascii="Times-Roman" w:hAnsi="Times-Roman" w:cs="Times-Roman"/>
      <w:color w:val="000000"/>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jc w:val="both"/>
    </w:pPr>
    <w:rPr>
      <w:rFonts w:asciiTheme="majorHAnsi" w:eastAsiaTheme="majorEastAsia" w:hAnsiTheme="majorHAnsi" w:cstheme="majorBidi"/>
      <w:color w:val="1F497D" w:themeColor="text2"/>
      <w:spacing w:val="-10"/>
      <w:kern w:val="28"/>
      <w:sz w:val="56"/>
      <w:szCs w:val="56"/>
      <w:lang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6132">
      <w:bodyDiv w:val="1"/>
      <w:marLeft w:val="0"/>
      <w:marRight w:val="0"/>
      <w:marTop w:val="0"/>
      <w:marBottom w:val="0"/>
      <w:divBdr>
        <w:top w:val="none" w:sz="0" w:space="0" w:color="auto"/>
        <w:left w:val="none" w:sz="0" w:space="0" w:color="auto"/>
        <w:bottom w:val="none" w:sz="0" w:space="0" w:color="auto"/>
        <w:right w:val="none" w:sz="0" w:space="0" w:color="auto"/>
      </w:divBdr>
    </w:div>
    <w:div w:id="1068961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tact@nova-institu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based.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va-institute.eu/pres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emai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ACA5-C1F2-2B48-BF76-C1A3B5D1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7157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6</cp:revision>
  <cp:lastPrinted>2014-10-23T09:39:00Z</cp:lastPrinted>
  <dcterms:created xsi:type="dcterms:W3CDTF">2020-01-09T06:44:00Z</dcterms:created>
  <dcterms:modified xsi:type="dcterms:W3CDTF">2020-01-09T09:15:00Z</dcterms:modified>
</cp:coreProperties>
</file>