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E728" w14:textId="0737C416" w:rsidR="00CA79D7" w:rsidRPr="004C322C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top-7-investment</w:t>
      </w:r>
      <w:r w:rsidR="000021F4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märkte Q</w:t>
      </w:r>
      <w:r w:rsidR="002E2D2D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B54A00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1550FE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3613CB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</w:p>
    <w:p w14:paraId="04E2B93F" w14:textId="6C24AC80" w:rsidR="000157FA" w:rsidRPr="004C322C" w:rsidRDefault="00AF06DD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Positiver Blick auf das Jahresende</w:t>
      </w:r>
    </w:p>
    <w:p w14:paraId="743073FD" w14:textId="417D4D9D" w:rsidR="003152C9" w:rsidRPr="004C322C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14EADD5C" w14:textId="303D1107" w:rsidR="004F09D7" w:rsidRPr="00E822DD" w:rsidRDefault="00062237" w:rsidP="004F0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  <w:lang w:val="en-GB"/>
        </w:rPr>
      </w:pPr>
      <w:r w:rsidRPr="00AB4B8F"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33A0793E" wp14:editId="2B440EF0">
            <wp:extent cx="3404295" cy="1938750"/>
            <wp:effectExtent l="19050" t="19050" r="24765" b="23495"/>
            <wp:docPr id="18923454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45454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95" cy="1938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E5673" w:rsidRPr="00E822DD">
        <w:rPr>
          <w:rFonts w:ascii="Source Sans Pro" w:hAnsi="Source Sans Pro" w:cs="Source Sans Pro"/>
          <w:color w:val="0086A8"/>
          <w:sz w:val="22"/>
          <w:szCs w:val="22"/>
          <w:lang w:val="en-GB"/>
        </w:rPr>
        <w:br w:type="textWrapping" w:clear="all"/>
      </w:r>
    </w:p>
    <w:p w14:paraId="55A6400A" w14:textId="4C5825E6" w:rsidR="009C3E81" w:rsidRPr="00510879" w:rsidRDefault="00C37E33" w:rsidP="009C3E8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0"/>
          <w:szCs w:val="20"/>
        </w:rPr>
      </w:pPr>
      <w:r>
        <w:rPr>
          <w:rFonts w:ascii="Source Sans Pro" w:hAnsi="Source Sans Pro" w:cs="Source Sans Pro"/>
          <w:color w:val="0086A8"/>
          <w:sz w:val="20"/>
          <w:szCs w:val="20"/>
        </w:rPr>
        <w:t>4</w:t>
      </w:r>
      <w:r w:rsidR="007D5A52" w:rsidRPr="00510879">
        <w:rPr>
          <w:rFonts w:ascii="Source Sans Pro" w:hAnsi="Source Sans Pro" w:cs="Source Sans Pro"/>
          <w:color w:val="0087A8"/>
          <w:sz w:val="20"/>
          <w:szCs w:val="20"/>
        </w:rPr>
        <w:t xml:space="preserve">. </w:t>
      </w:r>
      <w:r w:rsidR="00B54A00">
        <w:rPr>
          <w:rFonts w:ascii="Source Sans Pro" w:hAnsi="Source Sans Pro" w:cs="Source Sans Pro"/>
          <w:color w:val="0087A8"/>
          <w:sz w:val="20"/>
          <w:szCs w:val="20"/>
        </w:rPr>
        <w:t>Oktober</w:t>
      </w:r>
      <w:r w:rsidR="000021F4" w:rsidRPr="00510879">
        <w:rPr>
          <w:rFonts w:ascii="Source Sans Pro" w:hAnsi="Source Sans Pro" w:cs="Source Sans Pro"/>
          <w:color w:val="0087A8"/>
          <w:sz w:val="20"/>
          <w:szCs w:val="20"/>
        </w:rPr>
        <w:t xml:space="preserve"> 202</w:t>
      </w:r>
      <w:r w:rsidR="003613CB" w:rsidRPr="00510879">
        <w:rPr>
          <w:rFonts w:ascii="Source Sans Pro" w:hAnsi="Source Sans Pro" w:cs="Source Sans Pro"/>
          <w:color w:val="0087A8"/>
          <w:sz w:val="20"/>
          <w:szCs w:val="20"/>
        </w:rPr>
        <w:t>4</w:t>
      </w:r>
      <w:r w:rsidR="007D5A52" w:rsidRPr="00510879">
        <w:rPr>
          <w:rFonts w:ascii="Source Sans Pro" w:hAnsi="Source Sans Pro" w:cs="Source Sans Pro"/>
          <w:color w:val="0087A8"/>
          <w:sz w:val="20"/>
          <w:szCs w:val="20"/>
        </w:rPr>
        <w:t>, Hamburg.</w:t>
      </w:r>
      <w:r w:rsidR="007D5A52" w:rsidRPr="00510879">
        <w:rPr>
          <w:rFonts w:ascii="Source Sans Pro" w:hAnsi="Source Sans Pro" w:cs="Source Sans Pro"/>
          <w:color w:val="0086A8"/>
          <w:sz w:val="20"/>
          <w:szCs w:val="20"/>
        </w:rPr>
        <w:t xml:space="preserve"> </w:t>
      </w:r>
      <w:r w:rsidR="009C3E81">
        <w:rPr>
          <w:rFonts w:ascii="Source Sans Pro" w:hAnsi="Source Sans Pro" w:cs="Source Sans Pro"/>
          <w:color w:val="auto"/>
          <w:sz w:val="20"/>
          <w:szCs w:val="20"/>
        </w:rPr>
        <w:t>Das Transaktionsvolumen (TAV) a</w:t>
      </w:r>
      <w:r w:rsidR="008E556F">
        <w:rPr>
          <w:rFonts w:ascii="Source Sans Pro" w:hAnsi="Source Sans Pro" w:cs="Source Sans Pro"/>
          <w:color w:val="auto"/>
          <w:sz w:val="20"/>
          <w:szCs w:val="20"/>
        </w:rPr>
        <w:t xml:space="preserve">uf den </w:t>
      </w:r>
      <w:r w:rsidR="008C5CEC" w:rsidRPr="00510879">
        <w:rPr>
          <w:rFonts w:ascii="Source Sans Pro" w:hAnsi="Source Sans Pro" w:cs="Source Sans Pro"/>
          <w:color w:val="auto"/>
          <w:sz w:val="20"/>
          <w:szCs w:val="20"/>
        </w:rPr>
        <w:t>Top-7-Märkte</w:t>
      </w:r>
      <w:r w:rsidR="008E556F">
        <w:rPr>
          <w:rFonts w:ascii="Source Sans Pro" w:hAnsi="Source Sans Pro" w:cs="Source Sans Pro"/>
          <w:color w:val="auto"/>
          <w:sz w:val="20"/>
          <w:szCs w:val="20"/>
        </w:rPr>
        <w:t>n</w:t>
      </w:r>
      <w:r w:rsidR="008C5CEC" w:rsidRPr="00510879">
        <w:rPr>
          <w:rFonts w:ascii="Source Sans Pro" w:hAnsi="Source Sans Pro" w:cs="Source Sans Pro"/>
          <w:color w:val="auto"/>
          <w:sz w:val="20"/>
          <w:szCs w:val="20"/>
        </w:rPr>
        <w:t xml:space="preserve"> für ge</w:t>
      </w:r>
      <w:r w:rsidR="00EF53CD">
        <w:rPr>
          <w:rFonts w:ascii="Source Sans Pro" w:hAnsi="Source Sans Pro" w:cs="Source Sans Pro"/>
          <w:color w:val="auto"/>
          <w:sz w:val="20"/>
          <w:szCs w:val="20"/>
        </w:rPr>
        <w:t>werbliche Immobilieninvestments</w:t>
      </w:r>
      <w:r w:rsidR="009C3E81">
        <w:rPr>
          <w:rFonts w:ascii="Source Sans Pro" w:hAnsi="Source Sans Pro" w:cs="Source Sans Pro"/>
          <w:color w:val="auto"/>
          <w:sz w:val="20"/>
          <w:szCs w:val="20"/>
        </w:rPr>
        <w:t xml:space="preserve"> belief sich zum Ende des 3. Quartals auf</w:t>
      </w:r>
      <w:r w:rsidR="008E556F">
        <w:rPr>
          <w:rFonts w:ascii="Source Sans Pro" w:hAnsi="Source Sans Pro" w:cs="Source Sans Pro"/>
          <w:color w:val="auto"/>
          <w:sz w:val="20"/>
          <w:szCs w:val="20"/>
        </w:rPr>
        <w:t xml:space="preserve"> rund 8,7 Mrd. €</w:t>
      </w:r>
      <w:r w:rsidR="009C3E81">
        <w:rPr>
          <w:rFonts w:ascii="Source Sans Pro" w:hAnsi="Source Sans Pro" w:cs="Source Sans Pro"/>
          <w:color w:val="auto"/>
          <w:sz w:val="20"/>
          <w:szCs w:val="20"/>
        </w:rPr>
        <w:t xml:space="preserve"> </w:t>
      </w:r>
      <w:r w:rsidR="00E519A2">
        <w:rPr>
          <w:rFonts w:ascii="Source Sans Pro" w:hAnsi="Source Sans Pro" w:cs="Source Sans Pro"/>
          <w:color w:val="auto"/>
          <w:sz w:val="20"/>
          <w:szCs w:val="20"/>
        </w:rPr>
        <w:t xml:space="preserve">und übertraf </w:t>
      </w:r>
      <w:r w:rsidR="00D76756">
        <w:rPr>
          <w:rFonts w:ascii="Source Sans Pro" w:hAnsi="Source Sans Pro" w:cs="Source Sans Pro"/>
          <w:color w:val="auto"/>
          <w:sz w:val="20"/>
          <w:szCs w:val="20"/>
        </w:rPr>
        <w:t xml:space="preserve">damit </w:t>
      </w:r>
      <w:r w:rsidR="00E519A2">
        <w:rPr>
          <w:rFonts w:ascii="Source Sans Pro" w:hAnsi="Source Sans Pro" w:cs="Source Sans Pro"/>
          <w:color w:val="auto"/>
          <w:sz w:val="20"/>
          <w:szCs w:val="20"/>
        </w:rPr>
        <w:t xml:space="preserve">den Vorjahreszeitraum um etwa </w:t>
      </w:r>
      <w:r w:rsidR="00EF53CD">
        <w:rPr>
          <w:rFonts w:ascii="Source Sans Pro" w:hAnsi="Source Sans Pro" w:cs="Source Sans Pro"/>
          <w:color w:val="auto"/>
          <w:sz w:val="20"/>
          <w:szCs w:val="20"/>
        </w:rPr>
        <w:t>53 %</w:t>
      </w:r>
      <w:r w:rsidR="009C3E81">
        <w:rPr>
          <w:rFonts w:ascii="Source Sans Pro" w:hAnsi="Source Sans Pro" w:cs="Source Sans Pro"/>
          <w:color w:val="auto"/>
          <w:sz w:val="20"/>
          <w:szCs w:val="20"/>
        </w:rPr>
        <w:t xml:space="preserve">. </w:t>
      </w:r>
      <w:r w:rsidR="009C3E81" w:rsidRPr="00510879">
        <w:rPr>
          <w:rFonts w:ascii="Source Sans Pro" w:hAnsi="Source Sans Pro" w:cs="Source Sans Pro"/>
          <w:bCs/>
          <w:i/>
          <w:sz w:val="20"/>
          <w:szCs w:val="20"/>
        </w:rPr>
        <w:t>„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>Wir</w:t>
      </w:r>
      <w:r w:rsidR="009C3E81">
        <w:rPr>
          <w:rFonts w:ascii="Source Sans Pro" w:hAnsi="Source Sans Pro" w:cs="Source Sans Pro"/>
          <w:bCs/>
          <w:i/>
          <w:sz w:val="20"/>
          <w:szCs w:val="20"/>
        </w:rPr>
        <w:t xml:space="preserve"> 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konnten </w:t>
      </w:r>
      <w:r w:rsidR="009C3E81">
        <w:rPr>
          <w:rFonts w:ascii="Source Sans Pro" w:hAnsi="Source Sans Pro" w:cs="Source Sans Pro"/>
          <w:bCs/>
          <w:i/>
          <w:sz w:val="20"/>
          <w:szCs w:val="20"/>
        </w:rPr>
        <w:t xml:space="preserve">in den vergangenen drei Monaten 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 xml:space="preserve">an den meisten Standorten </w:t>
      </w:r>
      <w:r w:rsidR="009C3E81">
        <w:rPr>
          <w:rFonts w:ascii="Source Sans Pro" w:hAnsi="Source Sans Pro" w:cs="Source Sans Pro"/>
          <w:bCs/>
          <w:i/>
          <w:sz w:val="20"/>
          <w:szCs w:val="20"/>
        </w:rPr>
        <w:t xml:space="preserve">eine leichte Zunahme der Investmentaktivitäten beobachten, 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>der Großteil der</w:t>
      </w:r>
      <w:r w:rsidR="002F49BF">
        <w:rPr>
          <w:rFonts w:ascii="Source Sans Pro" w:hAnsi="Source Sans Pro" w:cs="Source Sans Pro"/>
          <w:bCs/>
          <w:i/>
          <w:sz w:val="20"/>
          <w:szCs w:val="20"/>
        </w:rPr>
        <w:t xml:space="preserve"> Transaktionen beweg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>t</w:t>
      </w:r>
      <w:r w:rsidR="002F49BF">
        <w:rPr>
          <w:rFonts w:ascii="Source Sans Pro" w:hAnsi="Source Sans Pro" w:cs="Source Sans Pro"/>
          <w:bCs/>
          <w:i/>
          <w:sz w:val="20"/>
          <w:szCs w:val="20"/>
        </w:rPr>
        <w:t xml:space="preserve"> sich 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 xml:space="preserve">aber </w:t>
      </w:r>
      <w:r w:rsidR="002F49BF">
        <w:rPr>
          <w:rFonts w:ascii="Source Sans Pro" w:hAnsi="Source Sans Pro" w:cs="Source Sans Pro"/>
          <w:bCs/>
          <w:i/>
          <w:sz w:val="20"/>
          <w:szCs w:val="20"/>
        </w:rPr>
        <w:t xml:space="preserve">weiterhin im kleinen bis </w:t>
      </w:r>
      <w:r w:rsidR="009C3E81">
        <w:rPr>
          <w:rFonts w:ascii="Source Sans Pro" w:hAnsi="Source Sans Pro" w:cs="Source Sans Pro"/>
          <w:bCs/>
          <w:i/>
          <w:sz w:val="20"/>
          <w:szCs w:val="20"/>
        </w:rPr>
        <w:t>mittleren Preiss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>e</w:t>
      </w:r>
      <w:r w:rsidR="009C3E81">
        <w:rPr>
          <w:rFonts w:ascii="Source Sans Pro" w:hAnsi="Source Sans Pro" w:cs="Source Sans Pro"/>
          <w:bCs/>
          <w:i/>
          <w:sz w:val="20"/>
          <w:szCs w:val="20"/>
        </w:rPr>
        <w:t>gment</w:t>
      </w:r>
      <w:r w:rsidR="009C3E81" w:rsidRPr="00510879">
        <w:rPr>
          <w:rFonts w:ascii="Source Sans Pro" w:hAnsi="Source Sans Pro" w:cs="Source Sans Pro"/>
          <w:i/>
          <w:sz w:val="20"/>
          <w:szCs w:val="20"/>
        </w:rPr>
        <w:t xml:space="preserve">“, </w:t>
      </w:r>
      <w:r w:rsidR="009C3E81" w:rsidRPr="00510879">
        <w:rPr>
          <w:rFonts w:ascii="Source Sans Pro" w:hAnsi="Source Sans Pro" w:cs="Source Sans Pro"/>
          <w:iCs/>
          <w:sz w:val="20"/>
          <w:szCs w:val="20"/>
        </w:rPr>
        <w:t xml:space="preserve">kommentiert </w:t>
      </w:r>
      <w:r w:rsidR="009C3E81" w:rsidRPr="00510879">
        <w:rPr>
          <w:rFonts w:ascii="Source Sans Pro" w:hAnsi="Source Sans Pro" w:cs="Arial"/>
          <w:bCs/>
          <w:iCs/>
          <w:sz w:val="20"/>
          <w:szCs w:val="20"/>
        </w:rPr>
        <w:t xml:space="preserve">GPP-Sprecher </w:t>
      </w:r>
      <w:r w:rsidR="009C3E81" w:rsidRPr="00510879">
        <w:rPr>
          <w:rFonts w:ascii="Source Sans Pro" w:hAnsi="Source Sans Pro" w:cs="Source Sans Pro"/>
          <w:b/>
          <w:iCs/>
          <w:sz w:val="20"/>
          <w:szCs w:val="20"/>
        </w:rPr>
        <w:t>Björn Holzwarth.</w:t>
      </w:r>
      <w:r w:rsidR="009C3E81" w:rsidRPr="00510879">
        <w:rPr>
          <w:rFonts w:ascii="Source Sans Pro" w:hAnsi="Source Sans Pro" w:cs="Source Sans Pro"/>
          <w:bCs/>
          <w:i/>
          <w:sz w:val="20"/>
          <w:szCs w:val="20"/>
        </w:rPr>
        <w:t xml:space="preserve"> 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„Zwar wurden seit Juli bereits mehr 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>Abschlüsse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 über </w:t>
      </w:r>
      <w:r w:rsidR="008F2BFB">
        <w:rPr>
          <w:rFonts w:ascii="Source Sans Pro" w:hAnsi="Source Sans Pro" w:cs="Source Sans Pro"/>
          <w:bCs/>
          <w:i/>
          <w:sz w:val="20"/>
          <w:szCs w:val="20"/>
        </w:rPr>
        <w:t>100 Millionen Euro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 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>realisiert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 als im Vorquartal, doch die wirtschaftlichen Rahmenbedingungen</w:t>
      </w:r>
      <w:r w:rsidR="002F49BF">
        <w:rPr>
          <w:rFonts w:ascii="Source Sans Pro" w:hAnsi="Source Sans Pro" w:cs="Source Sans Pro"/>
          <w:bCs/>
          <w:i/>
          <w:sz w:val="20"/>
          <w:szCs w:val="20"/>
        </w:rPr>
        <w:t xml:space="preserve"> 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>sorgen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 xml:space="preserve"> 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>n</w:t>
      </w:r>
      <w:r w:rsidR="008C6366">
        <w:rPr>
          <w:rFonts w:ascii="Source Sans Pro" w:hAnsi="Source Sans Pro" w:cs="Source Sans Pro"/>
          <w:bCs/>
          <w:i/>
          <w:sz w:val="20"/>
          <w:szCs w:val="20"/>
        </w:rPr>
        <w:t>ach wie vor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 xml:space="preserve"> für Zurückhaltung und verzögerte Entscheidungsprozesse</w:t>
      </w:r>
      <w:r w:rsidR="00D272B4">
        <w:rPr>
          <w:rFonts w:ascii="Source Sans Pro" w:hAnsi="Source Sans Pro" w:cs="Source Sans Pro"/>
          <w:bCs/>
          <w:i/>
          <w:sz w:val="20"/>
          <w:szCs w:val="20"/>
        </w:rPr>
        <w:t>. Insbesondere mangelt es an Core-Transaktionen institutioneller Investoren.</w:t>
      </w:r>
      <w:r w:rsidR="00672B0F">
        <w:rPr>
          <w:rFonts w:ascii="Source Sans Pro" w:hAnsi="Source Sans Pro" w:cs="Source Sans Pro"/>
          <w:bCs/>
          <w:i/>
          <w:sz w:val="20"/>
          <w:szCs w:val="20"/>
        </w:rPr>
        <w:t>“</w:t>
      </w:r>
    </w:p>
    <w:p w14:paraId="63A0CC93" w14:textId="77777777" w:rsidR="003946DE" w:rsidRPr="00510879" w:rsidRDefault="003946DE" w:rsidP="0071729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Cs/>
          <w:sz w:val="20"/>
          <w:szCs w:val="20"/>
        </w:rPr>
      </w:pPr>
    </w:p>
    <w:p w14:paraId="71A88633" w14:textId="1FA399EB" w:rsidR="00655CAA" w:rsidRPr="00510879" w:rsidRDefault="00854FF2" w:rsidP="000A512C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0"/>
          <w:szCs w:val="20"/>
        </w:rPr>
      </w:pPr>
      <w:r>
        <w:rPr>
          <w:rFonts w:ascii="Source Sans Pro" w:hAnsi="Source Sans Pro" w:cs="Source Sans Pro"/>
          <w:iCs/>
          <w:sz w:val="20"/>
          <w:szCs w:val="20"/>
        </w:rPr>
        <w:t xml:space="preserve">GPP erfasste </w:t>
      </w:r>
      <w:r w:rsidR="00B74DC0">
        <w:rPr>
          <w:rFonts w:ascii="Source Sans Pro" w:hAnsi="Source Sans Pro" w:cs="Source Sans Pro"/>
          <w:iCs/>
          <w:sz w:val="20"/>
          <w:szCs w:val="20"/>
        </w:rPr>
        <w:t xml:space="preserve">an </w:t>
      </w:r>
      <w:r w:rsidR="008C6366">
        <w:rPr>
          <w:rFonts w:ascii="Source Sans Pro" w:hAnsi="Source Sans Pro" w:cs="Source Sans Pro"/>
          <w:iCs/>
          <w:sz w:val="20"/>
          <w:szCs w:val="20"/>
        </w:rPr>
        <w:t xml:space="preserve">fast allen </w:t>
      </w:r>
      <w:r w:rsidR="00B74DC0">
        <w:rPr>
          <w:rFonts w:ascii="Source Sans Pro" w:hAnsi="Source Sans Pro" w:cs="Source Sans Pro"/>
          <w:iCs/>
          <w:sz w:val="20"/>
          <w:szCs w:val="20"/>
        </w:rPr>
        <w:t xml:space="preserve">Top-7-Standorten </w:t>
      </w:r>
      <w:r>
        <w:rPr>
          <w:rFonts w:ascii="Source Sans Pro" w:hAnsi="Source Sans Pro" w:cs="Source Sans Pro"/>
          <w:iCs/>
          <w:sz w:val="20"/>
          <w:szCs w:val="20"/>
        </w:rPr>
        <w:t>eine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 deutliche Zunahme </w:t>
      </w:r>
      <w:r>
        <w:rPr>
          <w:rFonts w:ascii="Source Sans Pro" w:hAnsi="Source Sans Pro" w:cs="Source Sans Pro"/>
          <w:iCs/>
          <w:sz w:val="20"/>
          <w:szCs w:val="20"/>
        </w:rPr>
        <w:t>des TAV</w:t>
      </w:r>
      <w:r w:rsidR="00B74DC0">
        <w:rPr>
          <w:rFonts w:ascii="Source Sans Pro" w:hAnsi="Source Sans Pro" w:cs="Source Sans Pro"/>
          <w:iCs/>
          <w:sz w:val="20"/>
          <w:szCs w:val="20"/>
        </w:rPr>
        <w:t>. D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en größten Sprung machte </w:t>
      </w:r>
      <w:r w:rsidR="008C6366">
        <w:rPr>
          <w:rFonts w:ascii="Source Sans Pro" w:hAnsi="Source Sans Pro" w:cs="Source Sans Pro"/>
          <w:iCs/>
          <w:sz w:val="20"/>
          <w:szCs w:val="20"/>
        </w:rPr>
        <w:t>es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 in Köln</w:t>
      </w:r>
      <w:r w:rsidR="00B74DC0">
        <w:rPr>
          <w:rFonts w:ascii="Source Sans Pro" w:hAnsi="Source Sans Pro" w:cs="Source Sans Pro"/>
          <w:iCs/>
          <w:sz w:val="20"/>
          <w:szCs w:val="20"/>
        </w:rPr>
        <w:t>, h</w:t>
      </w:r>
      <w:r w:rsidR="00AF06DD">
        <w:rPr>
          <w:rFonts w:ascii="Source Sans Pro" w:hAnsi="Source Sans Pro" w:cs="Source Sans Pro"/>
          <w:iCs/>
          <w:sz w:val="20"/>
          <w:szCs w:val="20"/>
        </w:rPr>
        <w:t>ier</w:t>
      </w:r>
      <w:r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E519A2">
        <w:rPr>
          <w:rFonts w:ascii="Source Sans Pro" w:hAnsi="Source Sans Pro" w:cs="Source Sans Pro"/>
          <w:iCs/>
          <w:sz w:val="20"/>
          <w:szCs w:val="20"/>
        </w:rPr>
        <w:t>wurde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 das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 Vorja</w:t>
      </w:r>
      <w:r>
        <w:rPr>
          <w:rFonts w:ascii="Source Sans Pro" w:hAnsi="Source Sans Pro" w:cs="Source Sans Pro"/>
          <w:iCs/>
          <w:sz w:val="20"/>
          <w:szCs w:val="20"/>
        </w:rPr>
        <w:t xml:space="preserve">hresergebnis </w:t>
      </w:r>
      <w:r w:rsidR="00AF06DD">
        <w:rPr>
          <w:rFonts w:ascii="Source Sans Pro" w:hAnsi="Source Sans Pro" w:cs="Source Sans Pro"/>
          <w:iCs/>
          <w:sz w:val="20"/>
          <w:szCs w:val="20"/>
        </w:rPr>
        <w:t>mehr als verdreifacht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. </w:t>
      </w:r>
      <w:r w:rsidR="00AB4B8F">
        <w:rPr>
          <w:rFonts w:ascii="Source Sans Pro" w:hAnsi="Source Sans Pro" w:cs="Source Sans Pro"/>
          <w:iCs/>
          <w:sz w:val="20"/>
          <w:szCs w:val="20"/>
        </w:rPr>
        <w:t xml:space="preserve">Dies ist insbesondere auf </w:t>
      </w:r>
      <w:r w:rsidR="00AF06DD">
        <w:rPr>
          <w:rFonts w:ascii="Source Sans Pro" w:hAnsi="Source Sans Pro" w:cs="Source Sans Pro"/>
          <w:iCs/>
          <w:sz w:val="20"/>
          <w:szCs w:val="20"/>
        </w:rPr>
        <w:t>die großvolumigen Käufe der Messehallen 6</w:t>
      </w:r>
      <w:r w:rsidR="00DB491D">
        <w:rPr>
          <w:rFonts w:ascii="Source Sans Pro" w:hAnsi="Source Sans Pro" w:cs="Source Sans Pro"/>
          <w:iCs/>
          <w:sz w:val="20"/>
          <w:szCs w:val="20"/>
        </w:rPr>
        <w:t xml:space="preserve">- 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9 sowie des </w:t>
      </w:r>
      <w:r w:rsidR="00970E83">
        <w:rPr>
          <w:rFonts w:ascii="Source Sans Pro" w:hAnsi="Source Sans Pro" w:cs="Source Sans Pro"/>
          <w:iCs/>
          <w:sz w:val="20"/>
          <w:szCs w:val="20"/>
        </w:rPr>
        <w:t>Büron</w:t>
      </w:r>
      <w:r w:rsidR="00AF06DD">
        <w:rPr>
          <w:rFonts w:ascii="Source Sans Pro" w:hAnsi="Source Sans Pro" w:cs="Source Sans Pro"/>
          <w:iCs/>
          <w:sz w:val="20"/>
          <w:szCs w:val="20"/>
        </w:rPr>
        <w:t>eubaus „ROSSIO“ durch die Stadt Köln</w:t>
      </w:r>
      <w:r w:rsidR="00AB4B8F">
        <w:rPr>
          <w:rFonts w:ascii="Source Sans Pro" w:hAnsi="Source Sans Pro" w:cs="Source Sans Pro"/>
          <w:iCs/>
          <w:sz w:val="20"/>
          <w:szCs w:val="20"/>
        </w:rPr>
        <w:t xml:space="preserve"> zurückzuführen.</w:t>
      </w:r>
      <w:r w:rsidR="00D8335C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Frankfurt 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(+96 %) und München (+100 %) </w:t>
      </w:r>
      <w:r w:rsidR="00E519A2">
        <w:rPr>
          <w:rFonts w:ascii="Source Sans Pro" w:hAnsi="Source Sans Pro" w:cs="Source Sans Pro"/>
          <w:iCs/>
          <w:sz w:val="20"/>
          <w:szCs w:val="20"/>
        </w:rPr>
        <w:t>konnten ihr</w:t>
      </w:r>
      <w:r w:rsidR="008C6366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AF06DD">
        <w:rPr>
          <w:rFonts w:ascii="Source Sans Pro" w:hAnsi="Source Sans Pro" w:cs="Source Sans Pro"/>
          <w:iCs/>
          <w:sz w:val="20"/>
          <w:szCs w:val="20"/>
        </w:rPr>
        <w:t>TAV in etwa verdoppel</w:t>
      </w:r>
      <w:r w:rsidR="00E519A2">
        <w:rPr>
          <w:rFonts w:ascii="Source Sans Pro" w:hAnsi="Source Sans Pro" w:cs="Source Sans Pro"/>
          <w:iCs/>
          <w:sz w:val="20"/>
          <w:szCs w:val="20"/>
        </w:rPr>
        <w:t>n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. </w:t>
      </w:r>
      <w:r w:rsidR="00E519A2">
        <w:rPr>
          <w:rFonts w:ascii="Source Sans Pro" w:hAnsi="Source Sans Pro" w:cs="Source Sans Pro"/>
          <w:iCs/>
          <w:sz w:val="20"/>
          <w:szCs w:val="20"/>
        </w:rPr>
        <w:t xml:space="preserve">In </w:t>
      </w:r>
      <w:r w:rsidR="007D248E">
        <w:rPr>
          <w:rFonts w:ascii="Source Sans Pro" w:hAnsi="Source Sans Pro" w:cs="Source Sans Pro"/>
          <w:iCs/>
          <w:sz w:val="20"/>
          <w:szCs w:val="20"/>
        </w:rPr>
        <w:t>Düsseldorf (+4</w:t>
      </w:r>
      <w:r>
        <w:rPr>
          <w:rFonts w:ascii="Source Sans Pro" w:hAnsi="Source Sans Pro" w:cs="Source Sans Pro"/>
          <w:iCs/>
          <w:sz w:val="20"/>
          <w:szCs w:val="20"/>
        </w:rPr>
        <w:t>5</w:t>
      </w:r>
      <w:r w:rsidR="009A3B75">
        <w:rPr>
          <w:rFonts w:ascii="Source Sans Pro" w:hAnsi="Source Sans Pro" w:cs="Source Sans Pro"/>
          <w:iCs/>
          <w:sz w:val="20"/>
          <w:szCs w:val="20"/>
        </w:rPr>
        <w:t xml:space="preserve"> </w:t>
      </w:r>
      <w:r>
        <w:rPr>
          <w:rFonts w:ascii="Source Sans Pro" w:hAnsi="Source Sans Pro" w:cs="Source Sans Pro"/>
          <w:iCs/>
          <w:sz w:val="20"/>
          <w:szCs w:val="20"/>
        </w:rPr>
        <w:t>%)</w:t>
      </w:r>
      <w:r w:rsidR="009A3B75">
        <w:rPr>
          <w:rFonts w:ascii="Source Sans Pro" w:hAnsi="Source Sans Pro" w:cs="Source Sans Pro"/>
          <w:iCs/>
          <w:sz w:val="20"/>
          <w:szCs w:val="20"/>
        </w:rPr>
        <w:t xml:space="preserve"> </w:t>
      </w:r>
      <w:r>
        <w:rPr>
          <w:rFonts w:ascii="Source Sans Pro" w:hAnsi="Source Sans Pro" w:cs="Source Sans Pro"/>
          <w:iCs/>
          <w:sz w:val="20"/>
          <w:szCs w:val="20"/>
        </w:rPr>
        <w:t xml:space="preserve">und Hamburg (+42 %) </w:t>
      </w:r>
      <w:r w:rsidR="00E519A2">
        <w:rPr>
          <w:rFonts w:ascii="Source Sans Pro" w:hAnsi="Source Sans Pro" w:cs="Source Sans Pro"/>
          <w:iCs/>
          <w:sz w:val="20"/>
          <w:szCs w:val="20"/>
        </w:rPr>
        <w:t>zeigten sich</w:t>
      </w:r>
      <w:r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ebenfalls </w:t>
      </w:r>
      <w:r w:rsidR="007D248E">
        <w:rPr>
          <w:rFonts w:ascii="Source Sans Pro" w:hAnsi="Source Sans Pro" w:cs="Source Sans Pro"/>
          <w:iCs/>
          <w:sz w:val="20"/>
          <w:szCs w:val="20"/>
        </w:rPr>
        <w:t>hohe Zuwächse</w:t>
      </w:r>
      <w:r w:rsidR="00AF06DD">
        <w:rPr>
          <w:rFonts w:ascii="Source Sans Pro" w:hAnsi="Source Sans Pro" w:cs="Source Sans Pro"/>
          <w:iCs/>
          <w:sz w:val="20"/>
          <w:szCs w:val="20"/>
        </w:rPr>
        <w:t>, i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n Stuttgart sank das </w:t>
      </w:r>
      <w:r w:rsidR="00AF06DD">
        <w:rPr>
          <w:rFonts w:ascii="Source Sans Pro" w:hAnsi="Source Sans Pro" w:cs="Source Sans Pro"/>
          <w:iCs/>
          <w:sz w:val="20"/>
          <w:szCs w:val="20"/>
        </w:rPr>
        <w:t>umgesetzte Volumen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 hingegen um rund 10 %.</w:t>
      </w:r>
    </w:p>
    <w:p w14:paraId="12D44884" w14:textId="1B7ABED7" w:rsidR="00655CAA" w:rsidRPr="00510879" w:rsidRDefault="004103D9" w:rsidP="00C50A3D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0"/>
          <w:szCs w:val="20"/>
        </w:rPr>
      </w:pPr>
      <w:r>
        <w:rPr>
          <w:rFonts w:ascii="Source Sans Pro" w:hAnsi="Source Sans Pro" w:cs="Source Sans Pro"/>
          <w:iCs/>
          <w:sz w:val="20"/>
          <w:szCs w:val="20"/>
        </w:rPr>
        <w:t>Einzelhandels</w:t>
      </w:r>
      <w:r w:rsidR="007D248E">
        <w:rPr>
          <w:rFonts w:ascii="Source Sans Pro" w:hAnsi="Source Sans Pro" w:cs="Source Sans Pro"/>
          <w:iCs/>
          <w:sz w:val="20"/>
          <w:szCs w:val="20"/>
        </w:rPr>
        <w:t>immobilien</w:t>
      </w:r>
      <w:r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waren mit einem TAV-Anteil von </w:t>
      </w:r>
      <w:r w:rsidR="00E519A2">
        <w:rPr>
          <w:rFonts w:ascii="Source Sans Pro" w:hAnsi="Source Sans Pro" w:cs="Source Sans Pro"/>
          <w:iCs/>
          <w:sz w:val="20"/>
          <w:szCs w:val="20"/>
        </w:rPr>
        <w:t>etwa</w:t>
      </w:r>
      <w:r w:rsidR="007D248E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D422DC">
        <w:rPr>
          <w:rFonts w:ascii="Source Sans Pro" w:hAnsi="Source Sans Pro" w:cs="Source Sans Pro"/>
          <w:iCs/>
          <w:sz w:val="20"/>
          <w:szCs w:val="20"/>
        </w:rPr>
        <w:t xml:space="preserve">26 % die </w:t>
      </w:r>
      <w:r w:rsidR="00BB284C" w:rsidRPr="00510879">
        <w:rPr>
          <w:rFonts w:ascii="Source Sans Pro" w:hAnsi="Source Sans Pro" w:cs="Source Sans Pro"/>
          <w:iCs/>
          <w:sz w:val="20"/>
          <w:szCs w:val="20"/>
        </w:rPr>
        <w:t>am stärkste</w:t>
      </w:r>
      <w:r w:rsidR="001407F3">
        <w:rPr>
          <w:rFonts w:ascii="Source Sans Pro" w:hAnsi="Source Sans Pro" w:cs="Source Sans Pro"/>
          <w:iCs/>
          <w:sz w:val="20"/>
          <w:szCs w:val="20"/>
        </w:rPr>
        <w:t>n</w:t>
      </w:r>
      <w:r w:rsidR="00BB284C" w:rsidRPr="00510879">
        <w:rPr>
          <w:rFonts w:ascii="Source Sans Pro" w:hAnsi="Source Sans Pro" w:cs="Source Sans Pro"/>
          <w:iCs/>
          <w:sz w:val="20"/>
          <w:szCs w:val="20"/>
        </w:rPr>
        <w:t xml:space="preserve"> gehandelte Assetklasse</w:t>
      </w:r>
      <w:r w:rsidR="00DB491D">
        <w:rPr>
          <w:rFonts w:ascii="Source Sans Pro" w:hAnsi="Source Sans Pro" w:cs="Source Sans Pro"/>
          <w:iCs/>
          <w:sz w:val="20"/>
          <w:szCs w:val="20"/>
        </w:rPr>
        <w:t xml:space="preserve">. </w:t>
      </w:r>
      <w:r w:rsidR="00970E83">
        <w:rPr>
          <w:rFonts w:ascii="Source Sans Pro" w:hAnsi="Source Sans Pro" w:cs="Source Sans Pro"/>
          <w:iCs/>
          <w:sz w:val="20"/>
          <w:szCs w:val="20"/>
        </w:rPr>
        <w:t>Hierzu trug maßgeblich der Verkauf des Berliner „KaDeWe“ durch Signa im 2. Quartal bei</w:t>
      </w:r>
      <w:r w:rsidR="00DB491D">
        <w:rPr>
          <w:rFonts w:ascii="Source Sans Pro" w:hAnsi="Source Sans Pro" w:cs="Source Sans Pro"/>
          <w:iCs/>
          <w:sz w:val="20"/>
          <w:szCs w:val="20"/>
        </w:rPr>
        <w:t>. Auf Platz</w:t>
      </w:r>
      <w:r w:rsidR="00DB491D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DB491D">
        <w:rPr>
          <w:rFonts w:ascii="Source Sans Pro" w:hAnsi="Source Sans Pro" w:cs="Source Sans Pro"/>
          <w:iCs/>
          <w:sz w:val="20"/>
          <w:szCs w:val="20"/>
        </w:rPr>
        <w:t>2 folgten</w:t>
      </w:r>
      <w:r w:rsidR="00DB491D">
        <w:rPr>
          <w:rFonts w:ascii="Source Sans Pro" w:hAnsi="Source Sans Pro" w:cs="Source Sans Pro"/>
          <w:iCs/>
          <w:sz w:val="20"/>
          <w:szCs w:val="20"/>
        </w:rPr>
        <w:t xml:space="preserve"> Büroobjekte mit rund 25 %.</w:t>
      </w:r>
    </w:p>
    <w:p w14:paraId="782D42C6" w14:textId="0943FEC3" w:rsidR="00655CAA" w:rsidRPr="00510879" w:rsidRDefault="00E519A2" w:rsidP="00F27F1C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0"/>
          <w:szCs w:val="20"/>
        </w:rPr>
      </w:pPr>
      <w:r>
        <w:rPr>
          <w:rFonts w:ascii="Source Sans Pro" w:hAnsi="Source Sans Pro" w:cs="Source Sans Pro"/>
          <w:iCs/>
          <w:sz w:val="20"/>
          <w:szCs w:val="20"/>
        </w:rPr>
        <w:t>Etwa</w:t>
      </w:r>
      <w:r w:rsidR="00CF59C5">
        <w:rPr>
          <w:rFonts w:ascii="Source Sans Pro" w:hAnsi="Source Sans Pro" w:cs="Source Sans Pro"/>
          <w:iCs/>
          <w:sz w:val="20"/>
          <w:szCs w:val="20"/>
        </w:rPr>
        <w:t xml:space="preserve"> 12 % des TAV 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entfielen auf </w:t>
      </w:r>
      <w:r w:rsidR="00B519C8" w:rsidRPr="00510879">
        <w:rPr>
          <w:rFonts w:ascii="Source Sans Pro" w:hAnsi="Source Sans Pro" w:cs="Source Sans Pro"/>
          <w:iCs/>
          <w:sz w:val="20"/>
          <w:szCs w:val="20"/>
        </w:rPr>
        <w:t>Portfolio-</w:t>
      </w:r>
      <w:r w:rsidR="00655CAA" w:rsidRPr="00510879">
        <w:rPr>
          <w:rFonts w:ascii="Source Sans Pro" w:hAnsi="Source Sans Pro" w:cs="Source Sans Pro"/>
          <w:iCs/>
          <w:sz w:val="20"/>
          <w:szCs w:val="20"/>
        </w:rPr>
        <w:t>K</w:t>
      </w:r>
      <w:r w:rsidR="00B519C8" w:rsidRPr="00510879">
        <w:rPr>
          <w:rFonts w:ascii="Source Sans Pro" w:hAnsi="Source Sans Pro" w:cs="Source Sans Pro"/>
          <w:iCs/>
          <w:sz w:val="20"/>
          <w:szCs w:val="20"/>
        </w:rPr>
        <w:t>äufe</w:t>
      </w:r>
      <w:r>
        <w:rPr>
          <w:rFonts w:ascii="Source Sans Pro" w:hAnsi="Source Sans Pro" w:cs="Source Sans Pro"/>
          <w:iCs/>
          <w:sz w:val="20"/>
          <w:szCs w:val="20"/>
        </w:rPr>
        <w:t>,</w:t>
      </w:r>
      <w:r w:rsidR="00AF06DD">
        <w:rPr>
          <w:rFonts w:ascii="Source Sans Pro" w:hAnsi="Source Sans Pro" w:cs="Source Sans Pro"/>
          <w:iCs/>
          <w:sz w:val="20"/>
          <w:szCs w:val="20"/>
        </w:rPr>
        <w:t xml:space="preserve"> i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m Vorjahreszeitraum machten </w:t>
      </w:r>
      <w:r w:rsidR="00CF59C5">
        <w:rPr>
          <w:rFonts w:ascii="Source Sans Pro" w:hAnsi="Source Sans Pro" w:cs="Source Sans Pro"/>
          <w:iCs/>
          <w:sz w:val="20"/>
          <w:szCs w:val="20"/>
        </w:rPr>
        <w:t>dies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e noch etwa 26 % aus. In München </w:t>
      </w:r>
      <w:r w:rsidR="00AF06DD">
        <w:rPr>
          <w:rFonts w:ascii="Source Sans Pro" w:hAnsi="Source Sans Pro" w:cs="Source Sans Pro"/>
          <w:iCs/>
          <w:sz w:val="20"/>
          <w:szCs w:val="20"/>
        </w:rPr>
        <w:t>blieben Portfolio-Verkäufe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970E83">
        <w:rPr>
          <w:rFonts w:ascii="Source Sans Pro" w:hAnsi="Source Sans Pro" w:cs="Source Sans Pro"/>
          <w:iCs/>
          <w:sz w:val="20"/>
          <w:szCs w:val="20"/>
        </w:rPr>
        <w:t xml:space="preserve">auch </w:t>
      </w:r>
      <w:r w:rsidR="00CF59C5">
        <w:rPr>
          <w:rFonts w:ascii="Source Sans Pro" w:hAnsi="Source Sans Pro" w:cs="Source Sans Pro"/>
          <w:iCs/>
          <w:sz w:val="20"/>
          <w:szCs w:val="20"/>
        </w:rPr>
        <w:t xml:space="preserve">im </w:t>
      </w:r>
      <w:r w:rsidR="009A3B75">
        <w:rPr>
          <w:rFonts w:ascii="Source Sans Pro" w:hAnsi="Source Sans Pro" w:cs="Source Sans Pro"/>
          <w:iCs/>
          <w:sz w:val="20"/>
          <w:szCs w:val="20"/>
        </w:rPr>
        <w:t>3. Quartal</w:t>
      </w:r>
      <w:r w:rsidR="00CF59C5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AF06DD">
        <w:rPr>
          <w:rFonts w:ascii="Source Sans Pro" w:hAnsi="Source Sans Pro" w:cs="Source Sans Pro"/>
          <w:iCs/>
          <w:sz w:val="20"/>
          <w:szCs w:val="20"/>
        </w:rPr>
        <w:t>aus.</w:t>
      </w:r>
      <w:r w:rsidR="004103D9">
        <w:rPr>
          <w:rFonts w:ascii="Source Sans Pro" w:hAnsi="Source Sans Pro" w:cs="Source Sans Pro"/>
          <w:iCs/>
          <w:sz w:val="20"/>
          <w:szCs w:val="20"/>
        </w:rPr>
        <w:t xml:space="preserve"> </w:t>
      </w:r>
    </w:p>
    <w:p w14:paraId="4812E4A1" w14:textId="01735C2B" w:rsidR="008E556F" w:rsidRPr="00EA778F" w:rsidRDefault="00854FF2" w:rsidP="008E556F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0"/>
          <w:szCs w:val="20"/>
        </w:rPr>
      </w:pPr>
      <w:r w:rsidRPr="00854FF2">
        <w:rPr>
          <w:rFonts w:ascii="Source Sans Pro" w:hAnsi="Source Sans Pro" w:cs="Source Sans Pro"/>
          <w:iCs/>
          <w:sz w:val="20"/>
          <w:szCs w:val="20"/>
        </w:rPr>
        <w:t xml:space="preserve">Die </w:t>
      </w:r>
      <w:r w:rsidR="00655CAA" w:rsidRPr="00854FF2">
        <w:rPr>
          <w:rFonts w:ascii="Source Sans Pro" w:hAnsi="Source Sans Pro" w:cs="Source Sans Pro"/>
          <w:iCs/>
          <w:sz w:val="20"/>
          <w:szCs w:val="20"/>
        </w:rPr>
        <w:t>Spitzenrenditen</w:t>
      </w:r>
      <w:r w:rsidRPr="00854FF2">
        <w:rPr>
          <w:rFonts w:ascii="Source Sans Pro" w:hAnsi="Source Sans Pro" w:cs="Source Sans Pro"/>
          <w:iCs/>
          <w:sz w:val="20"/>
          <w:szCs w:val="20"/>
        </w:rPr>
        <w:t xml:space="preserve"> für Büroobjekte sowie Industrie- und Logistikimmobilien</w:t>
      </w:r>
      <w:r w:rsidR="00655CAA" w:rsidRPr="00854FF2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Pr="00854FF2">
        <w:rPr>
          <w:rFonts w:ascii="Source Sans Pro" w:hAnsi="Source Sans Pro" w:cs="Source Sans Pro"/>
          <w:iCs/>
          <w:sz w:val="20"/>
          <w:szCs w:val="20"/>
        </w:rPr>
        <w:t>haben sich im Vergleich zum 2. Quartal stabilisiert</w:t>
      </w:r>
      <w:r w:rsidR="008E556F">
        <w:rPr>
          <w:rFonts w:ascii="Source Sans Pro" w:hAnsi="Source Sans Pro" w:cs="Source Sans Pro"/>
          <w:iCs/>
          <w:sz w:val="20"/>
          <w:szCs w:val="20"/>
        </w:rPr>
        <w:t xml:space="preserve"> und </w:t>
      </w:r>
      <w:r w:rsidRPr="00854FF2">
        <w:rPr>
          <w:rFonts w:ascii="Source Sans Pro" w:hAnsi="Source Sans Pro" w:cs="Source Sans Pro"/>
          <w:iCs/>
          <w:sz w:val="20"/>
          <w:szCs w:val="20"/>
        </w:rPr>
        <w:t>beweg</w:t>
      </w:r>
      <w:r w:rsidR="00E519A2">
        <w:rPr>
          <w:rFonts w:ascii="Source Sans Pro" w:hAnsi="Source Sans Pro" w:cs="Source Sans Pro"/>
          <w:iCs/>
          <w:sz w:val="20"/>
          <w:szCs w:val="20"/>
        </w:rPr>
        <w:t>t</w:t>
      </w:r>
      <w:r w:rsidRPr="00854FF2">
        <w:rPr>
          <w:rFonts w:ascii="Source Sans Pro" w:hAnsi="Source Sans Pro" w:cs="Source Sans Pro"/>
          <w:iCs/>
          <w:sz w:val="20"/>
          <w:szCs w:val="20"/>
        </w:rPr>
        <w:t xml:space="preserve">en sich zwischen 4,20 und 4,60 %. </w:t>
      </w:r>
      <w:r w:rsidR="008E556F" w:rsidRPr="00510879">
        <w:rPr>
          <w:rFonts w:ascii="Source Sans Pro" w:hAnsi="Source Sans Pro" w:cs="Source Sans Pro"/>
          <w:iCs/>
          <w:sz w:val="20"/>
          <w:szCs w:val="20"/>
        </w:rPr>
        <w:t xml:space="preserve">Der Renditeabstand zwischen </w:t>
      </w:r>
      <w:r w:rsidR="008E556F">
        <w:rPr>
          <w:rFonts w:ascii="Source Sans Pro" w:hAnsi="Source Sans Pro" w:cs="Source Sans Pro"/>
          <w:iCs/>
          <w:sz w:val="20"/>
          <w:szCs w:val="20"/>
        </w:rPr>
        <w:t>beiden Assetklassen bl</w:t>
      </w:r>
      <w:r w:rsidR="00E519A2">
        <w:rPr>
          <w:rFonts w:ascii="Source Sans Pro" w:hAnsi="Source Sans Pro" w:cs="Source Sans Pro"/>
          <w:iCs/>
          <w:sz w:val="20"/>
          <w:szCs w:val="20"/>
        </w:rPr>
        <w:t>ieb</w:t>
      </w:r>
      <w:r w:rsidR="008E556F" w:rsidRPr="00510879">
        <w:rPr>
          <w:rFonts w:ascii="Source Sans Pro" w:hAnsi="Source Sans Pro" w:cs="Source Sans Pro"/>
          <w:iCs/>
          <w:sz w:val="20"/>
          <w:szCs w:val="20"/>
        </w:rPr>
        <w:t xml:space="preserve"> gering</w:t>
      </w:r>
      <w:r w:rsidR="00AB4B8F">
        <w:rPr>
          <w:rFonts w:ascii="Source Sans Pro" w:hAnsi="Source Sans Pro" w:cs="Source Sans Pro"/>
          <w:iCs/>
          <w:sz w:val="20"/>
          <w:szCs w:val="20"/>
        </w:rPr>
        <w:t>, i</w:t>
      </w:r>
      <w:r w:rsidR="008E556F" w:rsidRPr="00510879">
        <w:rPr>
          <w:rFonts w:ascii="Source Sans Pro" w:hAnsi="Source Sans Pro" w:cs="Source Sans Pro"/>
          <w:iCs/>
          <w:sz w:val="20"/>
          <w:szCs w:val="20"/>
        </w:rPr>
        <w:t xml:space="preserve">n Hamburg, Köln, </w:t>
      </w:r>
      <w:r w:rsidR="008E556F">
        <w:rPr>
          <w:rFonts w:ascii="Source Sans Pro" w:hAnsi="Source Sans Pro" w:cs="Source Sans Pro"/>
          <w:iCs/>
          <w:sz w:val="20"/>
          <w:szCs w:val="20"/>
        </w:rPr>
        <w:t>Frankfurt und Stuttgart l</w:t>
      </w:r>
      <w:r w:rsidR="00AB4B8F">
        <w:rPr>
          <w:rFonts w:ascii="Source Sans Pro" w:hAnsi="Source Sans Pro" w:cs="Source Sans Pro"/>
          <w:iCs/>
          <w:sz w:val="20"/>
          <w:szCs w:val="20"/>
        </w:rPr>
        <w:t>agen</w:t>
      </w:r>
      <w:r w:rsidR="008E556F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AB4B8F">
        <w:rPr>
          <w:rFonts w:ascii="Source Sans Pro" w:hAnsi="Source Sans Pro" w:cs="Source Sans Pro"/>
          <w:iCs/>
          <w:sz w:val="20"/>
          <w:szCs w:val="20"/>
        </w:rPr>
        <w:t>sie jeweils</w:t>
      </w:r>
      <w:r w:rsidR="008E556F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8E556F" w:rsidRPr="00510879">
        <w:rPr>
          <w:rFonts w:ascii="Source Sans Pro" w:hAnsi="Source Sans Pro" w:cs="Source Sans Pro"/>
          <w:iCs/>
          <w:sz w:val="20"/>
          <w:szCs w:val="20"/>
        </w:rPr>
        <w:t>auf dem gleichen Niveau.</w:t>
      </w:r>
      <w:r w:rsidR="00AB4B8F">
        <w:rPr>
          <w:rFonts w:ascii="Source Sans Pro" w:hAnsi="Source Sans Pro" w:cs="Source Sans Pro"/>
          <w:iCs/>
          <w:sz w:val="20"/>
          <w:szCs w:val="20"/>
        </w:rPr>
        <w:t xml:space="preserve"> </w:t>
      </w:r>
      <w:r w:rsidR="00AF06DD">
        <w:rPr>
          <w:rFonts w:ascii="Source Sans Pro" w:hAnsi="Source Sans Pro" w:cs="Source Sans Pro"/>
          <w:iCs/>
          <w:sz w:val="20"/>
          <w:szCs w:val="20"/>
        </w:rPr>
        <w:t>Verglichen mit dem</w:t>
      </w:r>
      <w:r w:rsidR="00AB4B8F">
        <w:rPr>
          <w:rFonts w:ascii="Source Sans Pro" w:hAnsi="Source Sans Pro" w:cs="Source Sans Pro"/>
          <w:iCs/>
          <w:sz w:val="20"/>
          <w:szCs w:val="20"/>
        </w:rPr>
        <w:t xml:space="preserve"> Vorjahreszeitraum stieg die Top-7-Spitzenrendite für Büroobjekte um 0,26 %-Punkte auf 4,41 %</w:t>
      </w:r>
      <w:r w:rsidR="00AF06DD">
        <w:rPr>
          <w:rFonts w:ascii="Source Sans Pro" w:hAnsi="Source Sans Pro" w:cs="Source Sans Pro"/>
          <w:iCs/>
          <w:sz w:val="20"/>
          <w:szCs w:val="20"/>
        </w:rPr>
        <w:t>.</w:t>
      </w:r>
      <w:r w:rsidR="00AB4B8F">
        <w:rPr>
          <w:rFonts w:ascii="Source Sans Pro" w:hAnsi="Source Sans Pro" w:cs="Source Sans Pro"/>
          <w:iCs/>
          <w:sz w:val="20"/>
          <w:szCs w:val="20"/>
        </w:rPr>
        <w:t xml:space="preserve"> Für Industrie- und Logistikimmobilien kletterte sie um 0,11 %-Punkte auf 4,49 %. </w:t>
      </w:r>
    </w:p>
    <w:p w14:paraId="148C157B" w14:textId="77777777" w:rsidR="008E556F" w:rsidRDefault="008E556F" w:rsidP="008E556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0"/>
          <w:szCs w:val="20"/>
        </w:rPr>
      </w:pPr>
    </w:p>
    <w:p w14:paraId="6D1C1DC5" w14:textId="10910C11" w:rsidR="00D272B4" w:rsidRPr="00AF664D" w:rsidRDefault="0071729A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0"/>
          <w:szCs w:val="20"/>
        </w:rPr>
      </w:pPr>
      <w:r w:rsidRPr="008E556F">
        <w:rPr>
          <w:rFonts w:ascii="Source Sans Pro" w:hAnsi="Source Sans Pro" w:cs="Source Sans Pro"/>
          <w:i/>
          <w:iCs/>
          <w:color w:val="auto"/>
          <w:sz w:val="20"/>
          <w:szCs w:val="20"/>
        </w:rPr>
        <w:lastRenderedPageBreak/>
        <w:t>„</w:t>
      </w:r>
      <w:r w:rsidR="00D272B4">
        <w:rPr>
          <w:rFonts w:ascii="Source Sans Pro" w:hAnsi="Source Sans Pro" w:cs="Source Sans Pro"/>
          <w:i/>
          <w:iCs/>
          <w:color w:val="auto"/>
          <w:sz w:val="20"/>
          <w:szCs w:val="20"/>
        </w:rPr>
        <w:t>Wir gehen davon aus, dass sich der vorsichtige Aufwärtstrend bis zum Jahresende fortsetzen wird</w:t>
      </w:r>
      <w:r w:rsidR="007C7B61" w:rsidRPr="008E556F">
        <w:rPr>
          <w:rFonts w:ascii="Source Sans Pro" w:hAnsi="Source Sans Pro" w:cs="Source Sans Pro"/>
          <w:i/>
          <w:iCs/>
          <w:color w:val="auto"/>
          <w:sz w:val="20"/>
          <w:szCs w:val="20"/>
        </w:rPr>
        <w:t>“</w:t>
      </w:r>
      <w:r w:rsidR="00D272B4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, </w:t>
      </w:r>
      <w:r w:rsidR="00935A2F" w:rsidRPr="008E556F">
        <w:rPr>
          <w:rFonts w:ascii="Source Sans Pro" w:hAnsi="Source Sans Pro" w:cs="Source Sans Pro"/>
          <w:color w:val="auto"/>
          <w:sz w:val="20"/>
          <w:szCs w:val="20"/>
        </w:rPr>
        <w:t>prognostiziert</w:t>
      </w:r>
      <w:r w:rsidR="00935A2F" w:rsidRPr="00D272B4">
        <w:rPr>
          <w:rFonts w:ascii="Source Sans Pro" w:hAnsi="Source Sans Pro" w:cs="Source Sans Pro"/>
          <w:b/>
          <w:bCs/>
          <w:color w:val="auto"/>
          <w:sz w:val="20"/>
          <w:szCs w:val="20"/>
        </w:rPr>
        <w:t xml:space="preserve"> </w:t>
      </w:r>
      <w:r w:rsidR="00D272B4" w:rsidRPr="00D272B4">
        <w:rPr>
          <w:rFonts w:ascii="Source Sans Pro" w:hAnsi="Source Sans Pro" w:cs="Source Sans Pro"/>
          <w:b/>
          <w:bCs/>
          <w:color w:val="auto"/>
          <w:sz w:val="20"/>
          <w:szCs w:val="20"/>
        </w:rPr>
        <w:t>Holzwarth</w:t>
      </w:r>
      <w:r w:rsidR="00D272B4" w:rsidRPr="00D272B4">
        <w:rPr>
          <w:rFonts w:ascii="Source Sans Pro" w:hAnsi="Source Sans Pro" w:cs="Source Sans Pro"/>
          <w:color w:val="auto"/>
          <w:sz w:val="20"/>
          <w:szCs w:val="20"/>
        </w:rPr>
        <w:t>.</w:t>
      </w:r>
      <w:r w:rsidR="00E519A2">
        <w:rPr>
          <w:rFonts w:ascii="Source Sans Pro" w:hAnsi="Source Sans Pro" w:cs="Source Sans Pro"/>
          <w:color w:val="auto"/>
          <w:sz w:val="20"/>
          <w:szCs w:val="20"/>
        </w:rPr>
        <w:t xml:space="preserve"> </w:t>
      </w:r>
      <w:r w:rsidR="00D272B4" w:rsidRPr="00AF664D">
        <w:rPr>
          <w:i/>
          <w:iCs/>
        </w:rPr>
        <w:t>"</w:t>
      </w:r>
      <w:r w:rsidR="00D272B4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Das </w:t>
      </w:r>
      <w:r w:rsidR="00935A2F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>Top-7-</w:t>
      </w:r>
      <w:r w:rsidR="00D272B4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Gesamtergebnis dürfte </w:t>
      </w:r>
      <w:r w:rsidR="00935A2F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>sich dementsprechend über</w:t>
      </w:r>
      <w:r w:rsidR="00D272B4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 dem Vorjahreswert, aber weiterhin deutlich unter de</w:t>
      </w:r>
      <w:r w:rsidR="00E519A2">
        <w:rPr>
          <w:rFonts w:ascii="Source Sans Pro" w:hAnsi="Source Sans Pro" w:cs="Source Sans Pro"/>
          <w:i/>
          <w:iCs/>
          <w:color w:val="auto"/>
          <w:sz w:val="20"/>
          <w:szCs w:val="20"/>
        </w:rPr>
        <w:t>m</w:t>
      </w:r>
      <w:r w:rsidR="00D272B4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 langjährigen Durchschnitt </w:t>
      </w:r>
      <w:r w:rsidR="00935A2F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bewegen. </w:t>
      </w:r>
      <w:r w:rsidR="00AF664D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Eine </w:t>
      </w:r>
      <w:r w:rsidR="00E32578">
        <w:rPr>
          <w:rFonts w:ascii="Source Sans Pro" w:hAnsi="Source Sans Pro" w:cs="Source Sans Pro"/>
          <w:i/>
          <w:iCs/>
          <w:color w:val="auto"/>
          <w:sz w:val="20"/>
          <w:szCs w:val="20"/>
        </w:rPr>
        <w:t>erneute</w:t>
      </w:r>
      <w:r w:rsidR="00E32578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 </w:t>
      </w:r>
      <w:r w:rsidR="00AF664D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Zinssenkung der EZB </w:t>
      </w:r>
      <w:r w:rsidR="00E32578">
        <w:rPr>
          <w:rFonts w:ascii="Source Sans Pro" w:hAnsi="Source Sans Pro" w:cs="Source Sans Pro"/>
          <w:i/>
          <w:iCs/>
          <w:color w:val="auto"/>
          <w:sz w:val="20"/>
          <w:szCs w:val="20"/>
        </w:rPr>
        <w:t>noch in diesem</w:t>
      </w:r>
      <w:r w:rsidR="00E32578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 </w:t>
      </w:r>
      <w:r w:rsidR="00AF664D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Herbst könnte ein </w:t>
      </w:r>
      <w:r w:rsidR="00E32578">
        <w:rPr>
          <w:rFonts w:ascii="Source Sans Pro" w:hAnsi="Source Sans Pro" w:cs="Source Sans Pro"/>
          <w:i/>
          <w:iCs/>
          <w:color w:val="auto"/>
          <w:sz w:val="20"/>
          <w:szCs w:val="20"/>
        </w:rPr>
        <w:t>zusätzliches</w:t>
      </w:r>
      <w:r w:rsidR="00AF664D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 xml:space="preserve"> positives Signal sein, doch mit einer anhaltenden Belebung des Investmentmarktes ist erst zu rechnen, </w:t>
      </w:r>
      <w:r w:rsidR="00451993" w:rsidRPr="00451993">
        <w:rPr>
          <w:rFonts w:ascii="Source Sans Pro" w:hAnsi="Source Sans Pro" w:cs="Source Sans Pro"/>
          <w:i/>
          <w:iCs/>
          <w:color w:val="auto"/>
          <w:sz w:val="20"/>
          <w:szCs w:val="20"/>
        </w:rPr>
        <w:t>sobald die Zinsen ein niedrigeres Niveau erreicht haben und sich das politische und gesamtwirtschaftliche Umfeld stabilisiert hat</w:t>
      </w:r>
      <w:r w:rsidR="00AF664D" w:rsidRPr="00AF664D">
        <w:rPr>
          <w:rFonts w:ascii="Source Sans Pro" w:hAnsi="Source Sans Pro" w:cs="Source Sans Pro"/>
          <w:i/>
          <w:iCs/>
          <w:color w:val="auto"/>
          <w:sz w:val="20"/>
          <w:szCs w:val="20"/>
        </w:rPr>
        <w:t>.“</w:t>
      </w:r>
    </w:p>
    <w:p w14:paraId="5694A762" w14:textId="77777777" w:rsidR="00D272B4" w:rsidRPr="00510879" w:rsidRDefault="00D272B4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0"/>
          <w:szCs w:val="20"/>
        </w:rPr>
      </w:pPr>
    </w:p>
    <w:p w14:paraId="2E3C6E2E" w14:textId="5507C944" w:rsidR="00E822DD" w:rsidRDefault="000D6F1F" w:rsidP="00991B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0"/>
          <w:szCs w:val="20"/>
        </w:rPr>
      </w:pPr>
      <w:r w:rsidRPr="00510879">
        <w:rPr>
          <w:rFonts w:ascii="Source Sans Pro" w:hAnsi="Source Sans Pro" w:cs="Source Sans Pro"/>
          <w:sz w:val="20"/>
          <w:szCs w:val="20"/>
        </w:rPr>
        <w:t xml:space="preserve">Zu </w:t>
      </w:r>
      <w:r w:rsidR="007C7B61" w:rsidRPr="00510879">
        <w:rPr>
          <w:rFonts w:ascii="Source Sans Pro" w:hAnsi="Source Sans Pro" w:cs="Source Sans Pro"/>
          <w:sz w:val="20"/>
          <w:szCs w:val="20"/>
        </w:rPr>
        <w:t>German Property Partners (GPP)</w:t>
      </w:r>
      <w:r w:rsidRPr="00510879">
        <w:rPr>
          <w:rFonts w:ascii="Source Sans Pro" w:hAnsi="Source Sans Pro" w:cs="Source Sans Pro"/>
          <w:sz w:val="20"/>
          <w:szCs w:val="20"/>
        </w:rPr>
        <w:t xml:space="preserve"> gehören </w:t>
      </w:r>
      <w:r w:rsidRPr="00510879">
        <w:rPr>
          <w:rFonts w:ascii="Source Sans Pro" w:hAnsi="Source Sans Pro" w:cs="Arial"/>
          <w:bCs/>
          <w:sz w:val="20"/>
          <w:szCs w:val="20"/>
        </w:rPr>
        <w:t>Grossmann &amp; Berger</w:t>
      </w:r>
      <w:r w:rsidR="00484027" w:rsidRPr="00510879">
        <w:rPr>
          <w:rFonts w:ascii="Source Sans Pro" w:hAnsi="Source Sans Pro" w:cs="Arial"/>
          <w:bCs/>
          <w:sz w:val="20"/>
          <w:szCs w:val="20"/>
        </w:rPr>
        <w:t xml:space="preserve"> Immobilien</w:t>
      </w:r>
      <w:r w:rsidRPr="00510879">
        <w:rPr>
          <w:rFonts w:ascii="Source Sans Pro" w:hAnsi="Source Sans Pro" w:cs="Arial"/>
          <w:bCs/>
          <w:sz w:val="20"/>
          <w:szCs w:val="20"/>
        </w:rPr>
        <w:t xml:space="preserve">, Anteon Immobilien, GREIF &amp; CONTZEN Immobilien, blackolive und E &amp; G </w:t>
      </w:r>
      <w:r w:rsidR="00080FD4" w:rsidRPr="00510879">
        <w:rPr>
          <w:rFonts w:ascii="Source Sans Pro" w:hAnsi="Source Sans Pro" w:cs="Arial"/>
          <w:bCs/>
          <w:sz w:val="20"/>
          <w:szCs w:val="20"/>
        </w:rPr>
        <w:t>Immobilien</w:t>
      </w:r>
      <w:r w:rsidRPr="00510879">
        <w:rPr>
          <w:rFonts w:ascii="Source Sans Pro" w:hAnsi="Source Sans Pro" w:cs="Arial"/>
          <w:bCs/>
          <w:sz w:val="20"/>
          <w:szCs w:val="20"/>
        </w:rPr>
        <w:t>.</w:t>
      </w:r>
    </w:p>
    <w:p w14:paraId="2933DBA6" w14:textId="77777777" w:rsidR="00635995" w:rsidRDefault="00635995" w:rsidP="00991B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/>
          <w:sz w:val="20"/>
        </w:rPr>
      </w:pPr>
    </w:p>
    <w:p w14:paraId="1554564B" w14:textId="325A4B2F" w:rsidR="00E822DD" w:rsidRPr="00EF0944" w:rsidRDefault="00E822DD" w:rsidP="00E822DD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510879">
        <w:rPr>
          <w:rFonts w:ascii="Source Sans Pro" w:hAnsi="Source Sans Pro" w:cs="Arial"/>
          <w:b/>
          <w:sz w:val="20"/>
          <w:lang w:val="en-GB"/>
        </w:rPr>
        <w:t xml:space="preserve">Top-7-Standorte | </w:t>
      </w:r>
      <w:r w:rsidR="002E2D2D" w:rsidRPr="00510879">
        <w:rPr>
          <w:rFonts w:ascii="Source Sans Pro" w:hAnsi="Source Sans Pro" w:cs="Arial"/>
          <w:b/>
          <w:sz w:val="20"/>
          <w:lang w:val="en-GB"/>
        </w:rPr>
        <w:t>1.-</w:t>
      </w:r>
      <w:r w:rsidR="00B54A00">
        <w:rPr>
          <w:rFonts w:ascii="Source Sans Pro" w:hAnsi="Source Sans Pro" w:cs="Arial"/>
          <w:b/>
          <w:sz w:val="20"/>
          <w:lang w:val="en-GB"/>
        </w:rPr>
        <w:t>3</w:t>
      </w:r>
      <w:r w:rsidRPr="00510879">
        <w:rPr>
          <w:rFonts w:ascii="Source Sans Pro" w:hAnsi="Source Sans Pro" w:cs="Arial"/>
          <w:b/>
          <w:sz w:val="20"/>
          <w:lang w:val="en-GB"/>
        </w:rPr>
        <w:t xml:space="preserve">. </w:t>
      </w:r>
      <w:r w:rsidRPr="00510879">
        <w:rPr>
          <w:rFonts w:ascii="Source Sans Pro" w:hAnsi="Source Sans Pro" w:cs="Arial"/>
          <w:b/>
          <w:sz w:val="20"/>
        </w:rPr>
        <w:t>Quartal 2024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1134"/>
        <w:gridCol w:w="850"/>
        <w:gridCol w:w="851"/>
        <w:gridCol w:w="923"/>
      </w:tblGrid>
      <w:tr w:rsidR="00910B65" w:rsidRPr="00161817" w14:paraId="2B554485" w14:textId="77777777" w:rsidTr="00C974EE">
        <w:tc>
          <w:tcPr>
            <w:tcW w:w="1555" w:type="dxa"/>
          </w:tcPr>
          <w:p w14:paraId="5F7F2C19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CCBA56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992" w:type="dxa"/>
          </w:tcPr>
          <w:p w14:paraId="1B9556F5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992" w:type="dxa"/>
          </w:tcPr>
          <w:p w14:paraId="4B35B61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993" w:type="dxa"/>
          </w:tcPr>
          <w:p w14:paraId="669870D1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1134" w:type="dxa"/>
          </w:tcPr>
          <w:p w14:paraId="012CEC8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850" w:type="dxa"/>
          </w:tcPr>
          <w:p w14:paraId="337BA2E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851" w:type="dxa"/>
          </w:tcPr>
          <w:p w14:paraId="29257547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923" w:type="dxa"/>
          </w:tcPr>
          <w:p w14:paraId="1D10DF5A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910B65" w:rsidRPr="00161817" w14:paraId="277AF685" w14:textId="77777777" w:rsidTr="00C974EE">
        <w:tc>
          <w:tcPr>
            <w:tcW w:w="1555" w:type="dxa"/>
          </w:tcPr>
          <w:p w14:paraId="013262B9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TAV</w:t>
            </w:r>
          </w:p>
          <w:p w14:paraId="0501F81D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in Mio. €</w:t>
            </w:r>
          </w:p>
        </w:tc>
        <w:tc>
          <w:tcPr>
            <w:tcW w:w="992" w:type="dxa"/>
            <w:vAlign w:val="center"/>
          </w:tcPr>
          <w:p w14:paraId="37982267" w14:textId="40CCD37D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1.040</w:t>
            </w:r>
          </w:p>
        </w:tc>
        <w:tc>
          <w:tcPr>
            <w:tcW w:w="992" w:type="dxa"/>
            <w:vAlign w:val="center"/>
          </w:tcPr>
          <w:p w14:paraId="626C970A" w14:textId="578C7C18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2.490</w:t>
            </w:r>
          </w:p>
        </w:tc>
        <w:tc>
          <w:tcPr>
            <w:tcW w:w="992" w:type="dxa"/>
            <w:vAlign w:val="center"/>
          </w:tcPr>
          <w:p w14:paraId="7AEB33B8" w14:textId="620BCC0F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770</w:t>
            </w:r>
          </w:p>
        </w:tc>
        <w:tc>
          <w:tcPr>
            <w:tcW w:w="993" w:type="dxa"/>
            <w:vAlign w:val="center"/>
          </w:tcPr>
          <w:p w14:paraId="2C2C18EC" w14:textId="4CE11300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1.100</w:t>
            </w:r>
          </w:p>
        </w:tc>
        <w:tc>
          <w:tcPr>
            <w:tcW w:w="1134" w:type="dxa"/>
            <w:vAlign w:val="center"/>
          </w:tcPr>
          <w:p w14:paraId="32C4F1F9" w14:textId="4AA8E19A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1.032</w:t>
            </w:r>
          </w:p>
        </w:tc>
        <w:tc>
          <w:tcPr>
            <w:tcW w:w="850" w:type="dxa"/>
            <w:vAlign w:val="center"/>
          </w:tcPr>
          <w:p w14:paraId="4883A7F0" w14:textId="40344264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370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E6ACA" w14:textId="284711D8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1.906</w:t>
            </w:r>
          </w:p>
        </w:tc>
        <w:tc>
          <w:tcPr>
            <w:tcW w:w="923" w:type="dxa"/>
            <w:vAlign w:val="center"/>
          </w:tcPr>
          <w:p w14:paraId="72E3C7F5" w14:textId="029169D8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8.707</w:t>
            </w:r>
          </w:p>
        </w:tc>
      </w:tr>
      <w:tr w:rsidR="00910B65" w:rsidRPr="00161817" w14:paraId="5C518F86" w14:textId="77777777" w:rsidTr="00C974EE">
        <w:tc>
          <w:tcPr>
            <w:tcW w:w="1555" w:type="dxa"/>
          </w:tcPr>
          <w:p w14:paraId="3350112D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21AFC26B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ggü. Vorjahr</w:t>
            </w: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6EC238E4" w14:textId="134ABE0A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vAlign w:val="center"/>
          </w:tcPr>
          <w:p w14:paraId="2C0D819C" w14:textId="356944E0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1D31FE0A" w14:textId="2284048B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14:paraId="21EB7A3C" w14:textId="3DAF00B1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267</w:t>
            </w:r>
          </w:p>
        </w:tc>
        <w:tc>
          <w:tcPr>
            <w:tcW w:w="1134" w:type="dxa"/>
            <w:vAlign w:val="center"/>
          </w:tcPr>
          <w:p w14:paraId="61BD16E7" w14:textId="7DBA68FA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14:paraId="2E248438" w14:textId="158E036F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12C30" w14:textId="735A477D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100</w:t>
            </w:r>
          </w:p>
        </w:tc>
        <w:tc>
          <w:tcPr>
            <w:tcW w:w="923" w:type="dxa"/>
            <w:vAlign w:val="center"/>
          </w:tcPr>
          <w:p w14:paraId="44391118" w14:textId="1E816EB1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53</w:t>
            </w:r>
          </w:p>
        </w:tc>
      </w:tr>
      <w:tr w:rsidR="00910B65" w:rsidRPr="00161817" w14:paraId="0E2C9494" w14:textId="77777777" w:rsidTr="00C974EE">
        <w:tc>
          <w:tcPr>
            <w:tcW w:w="1555" w:type="dxa"/>
          </w:tcPr>
          <w:p w14:paraId="3C8BE28D" w14:textId="3F43E0C8" w:rsidR="00E822DD" w:rsidRPr="00EA778F" w:rsidRDefault="00E822DD" w:rsidP="006061BF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Spitzenrendite* Büro</w:t>
            </w:r>
            <w:r w:rsidR="006061BF" w:rsidRPr="00EA778F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5D7F0600" w14:textId="0B287A4E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6D16127A" w14:textId="3CB5D95C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2E7EE2" w:rsidRPr="00EA778F">
              <w:rPr>
                <w:rFonts w:ascii="Source Sans Pro" w:hAnsi="Source Sans Pro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14:paraId="02CFC26B" w14:textId="6B61E05D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993" w:type="dxa"/>
            <w:vAlign w:val="center"/>
          </w:tcPr>
          <w:p w14:paraId="77622C27" w14:textId="00FACAA9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1134" w:type="dxa"/>
            <w:vAlign w:val="center"/>
          </w:tcPr>
          <w:p w14:paraId="0C44D799" w14:textId="6DE79824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4,60</w:t>
            </w:r>
          </w:p>
        </w:tc>
        <w:tc>
          <w:tcPr>
            <w:tcW w:w="850" w:type="dxa"/>
            <w:vAlign w:val="center"/>
          </w:tcPr>
          <w:p w14:paraId="480FC3B3" w14:textId="5CC9C194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38FEF" w14:textId="22CF6371" w:rsidR="00E822DD" w:rsidRPr="00EA778F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923" w:type="dxa"/>
            <w:vAlign w:val="center"/>
          </w:tcPr>
          <w:p w14:paraId="12457880" w14:textId="0630734A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4,4</w:t>
            </w:r>
            <w:r w:rsidR="00B16A5C" w:rsidRPr="00EA778F">
              <w:rPr>
                <w:rFonts w:ascii="Source Sans Pro" w:hAnsi="Source Sans Pro" w:cs="Arial"/>
                <w:b/>
                <w:sz w:val="16"/>
                <w:szCs w:val="16"/>
              </w:rPr>
              <w:t>1</w:t>
            </w:r>
          </w:p>
        </w:tc>
      </w:tr>
      <w:tr w:rsidR="00910B65" w:rsidRPr="00161817" w14:paraId="5B819F04" w14:textId="77777777" w:rsidTr="00C974EE">
        <w:tc>
          <w:tcPr>
            <w:tcW w:w="1555" w:type="dxa"/>
          </w:tcPr>
          <w:p w14:paraId="345B2B43" w14:textId="77777777" w:rsidR="006061BF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ggü. Vorjahr</w:t>
            </w:r>
          </w:p>
          <w:p w14:paraId="5F4CAF94" w14:textId="4A9AEBF6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1BF8BB5A" w14:textId="69756C3C" w:rsidR="00E822DD" w:rsidRPr="00EA778F" w:rsidRDefault="002E7EE2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5</w:t>
            </w: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14:paraId="30382577" w14:textId="58C6344E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2E7EE2"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50221CA" w14:textId="46D16D80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6DD7413C" w14:textId="6B62A72E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5EE8890" w14:textId="42B48E31" w:rsidR="00E822DD" w:rsidRPr="00EA778F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AFA008F" w14:textId="23BFB8A8" w:rsidR="00E822DD" w:rsidRPr="00EA778F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45EB7" w14:textId="0D1BCA1E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vAlign w:val="center"/>
          </w:tcPr>
          <w:p w14:paraId="10E27A7C" w14:textId="3BC0A885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0,26</w:t>
            </w:r>
          </w:p>
        </w:tc>
      </w:tr>
      <w:tr w:rsidR="00910B65" w:rsidRPr="00161817" w14:paraId="2411BA51" w14:textId="77777777" w:rsidTr="00C974EE">
        <w:tc>
          <w:tcPr>
            <w:tcW w:w="1555" w:type="dxa"/>
          </w:tcPr>
          <w:p w14:paraId="16BE5098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 xml:space="preserve">Spitzenrendite* Logistik 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1E269F87" w14:textId="68DE3D23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4AC2BC62" w14:textId="38A0A46D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49607C" w:rsidRPr="00EA778F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BC1DA3D" w14:textId="77E74B02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4,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14:paraId="46DE1972" w14:textId="4DFF1FC1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1134" w:type="dxa"/>
            <w:vAlign w:val="center"/>
          </w:tcPr>
          <w:p w14:paraId="51830899" w14:textId="1A47BCD6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4,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850" w:type="dxa"/>
            <w:vAlign w:val="center"/>
          </w:tcPr>
          <w:p w14:paraId="2AEDBBC9" w14:textId="77777777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9DE90" w14:textId="5216FEC8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vAlign w:val="center"/>
          </w:tcPr>
          <w:p w14:paraId="15EC44A2" w14:textId="1544986A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4,</w:t>
            </w:r>
            <w:r w:rsidR="00EA778F" w:rsidRPr="00EA778F">
              <w:rPr>
                <w:rFonts w:ascii="Source Sans Pro" w:hAnsi="Source Sans Pro" w:cs="Arial"/>
                <w:b/>
                <w:sz w:val="16"/>
                <w:szCs w:val="16"/>
              </w:rPr>
              <w:t>49</w:t>
            </w:r>
          </w:p>
        </w:tc>
      </w:tr>
      <w:tr w:rsidR="00910B65" w:rsidRPr="00161817" w14:paraId="7E552845" w14:textId="77777777" w:rsidTr="00C974EE">
        <w:tc>
          <w:tcPr>
            <w:tcW w:w="1555" w:type="dxa"/>
          </w:tcPr>
          <w:p w14:paraId="6DC11B9C" w14:textId="77777777" w:rsidR="006061BF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ggü. Vorjahr</w:t>
            </w:r>
          </w:p>
          <w:p w14:paraId="5725897F" w14:textId="569358C3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56189F55" w14:textId="76A71CBE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9A563B0" w14:textId="33DB1D63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FD429E"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3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14:paraId="28EE0851" w14:textId="45EC8846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4EC1D9CD" w14:textId="17C8C3EF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B16A5C" w:rsidRPr="00EA778F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DCD6729" w14:textId="3BF19932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14:paraId="4BFB79FE" w14:textId="0DA77EF3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3E6E9" w14:textId="4246F73D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923" w:type="dxa"/>
            <w:vAlign w:val="center"/>
          </w:tcPr>
          <w:p w14:paraId="243E1FC2" w14:textId="1A847327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0,</w:t>
            </w:r>
            <w:r w:rsidR="00EA778F" w:rsidRPr="00EA778F">
              <w:rPr>
                <w:rFonts w:ascii="Source Sans Pro" w:hAnsi="Source Sans Pro" w:cs="Arial"/>
                <w:b/>
                <w:sz w:val="16"/>
                <w:szCs w:val="16"/>
              </w:rPr>
              <w:t>11</w:t>
            </w:r>
          </w:p>
        </w:tc>
      </w:tr>
      <w:tr w:rsidR="00910B65" w:rsidRPr="00161817" w14:paraId="511D3D80" w14:textId="77777777" w:rsidTr="00C974EE">
        <w:trPr>
          <w:trHeight w:val="471"/>
        </w:trPr>
        <w:tc>
          <w:tcPr>
            <w:tcW w:w="1555" w:type="dxa"/>
          </w:tcPr>
          <w:p w14:paraId="23F6D442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4F399EC0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Assetklasse</w:t>
            </w:r>
          </w:p>
        </w:tc>
        <w:tc>
          <w:tcPr>
            <w:tcW w:w="992" w:type="dxa"/>
            <w:vAlign w:val="center"/>
          </w:tcPr>
          <w:p w14:paraId="708BFD1F" w14:textId="417A5C67" w:rsidR="00E822DD" w:rsidRPr="00EA778F" w:rsidRDefault="002E7EE2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2" w:type="dxa"/>
            <w:vAlign w:val="center"/>
          </w:tcPr>
          <w:p w14:paraId="457A7224" w14:textId="6E7CABE0" w:rsidR="00E822DD" w:rsidRPr="00EA778F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Einzel</w:t>
            </w:r>
            <w:r w:rsidR="00910B65" w:rsidRPr="00EA778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handel</w:t>
            </w:r>
          </w:p>
        </w:tc>
        <w:tc>
          <w:tcPr>
            <w:tcW w:w="992" w:type="dxa"/>
            <w:vAlign w:val="center"/>
          </w:tcPr>
          <w:p w14:paraId="0579ADDE" w14:textId="7D1D77EC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3" w:type="dxa"/>
            <w:vAlign w:val="center"/>
          </w:tcPr>
          <w:p w14:paraId="280FC882" w14:textId="58EE0E65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Sonstiges</w:t>
            </w:r>
          </w:p>
        </w:tc>
        <w:tc>
          <w:tcPr>
            <w:tcW w:w="1134" w:type="dxa"/>
            <w:vAlign w:val="center"/>
          </w:tcPr>
          <w:p w14:paraId="008BF92C" w14:textId="0FDD382F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50" w:type="dxa"/>
            <w:vAlign w:val="center"/>
          </w:tcPr>
          <w:p w14:paraId="14E2CD93" w14:textId="69C27B8A" w:rsidR="00E822DD" w:rsidRPr="00EA778F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Misch-nutzung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549E8" w14:textId="3FDA9514" w:rsidR="00E822DD" w:rsidRPr="00EA778F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Misch</w:t>
            </w:r>
            <w:r w:rsidR="00910B65" w:rsidRPr="00EA778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nutzung</w:t>
            </w:r>
          </w:p>
        </w:tc>
        <w:tc>
          <w:tcPr>
            <w:tcW w:w="923" w:type="dxa"/>
            <w:vAlign w:val="center"/>
          </w:tcPr>
          <w:p w14:paraId="6C2135E3" w14:textId="0C870A03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Einzel</w:t>
            </w:r>
            <w:r>
              <w:rPr>
                <w:rFonts w:ascii="Source Sans Pro" w:hAnsi="Source Sans Pro" w:cs="Arial"/>
                <w:sz w:val="16"/>
                <w:szCs w:val="16"/>
              </w:rPr>
              <w:t>-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proofErr w:type="spellStart"/>
            <w:r w:rsidRPr="00EA778F">
              <w:rPr>
                <w:rFonts w:ascii="Source Sans Pro" w:hAnsi="Source Sans Pro" w:cs="Arial"/>
                <w:sz w:val="16"/>
                <w:szCs w:val="16"/>
              </w:rPr>
              <w:t>handel</w:t>
            </w:r>
            <w:proofErr w:type="spellEnd"/>
          </w:p>
        </w:tc>
      </w:tr>
      <w:tr w:rsidR="00910B65" w:rsidRPr="00161817" w14:paraId="3C798CFE" w14:textId="77777777" w:rsidTr="00C974EE">
        <w:tc>
          <w:tcPr>
            <w:tcW w:w="1555" w:type="dxa"/>
          </w:tcPr>
          <w:p w14:paraId="69CD3109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7FDF28CB" w14:textId="77777777" w:rsidR="00E822DD" w:rsidRPr="00EA778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 xml:space="preserve">Assetklasse </w:t>
            </w:r>
            <w:r w:rsidRPr="00EA778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2F2CDD9F" w14:textId="5A311035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14:paraId="673EE990" w14:textId="5679DC1A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vAlign w:val="center"/>
          </w:tcPr>
          <w:p w14:paraId="73931A1E" w14:textId="02B55808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38</w:t>
            </w:r>
          </w:p>
        </w:tc>
        <w:tc>
          <w:tcPr>
            <w:tcW w:w="993" w:type="dxa"/>
            <w:vAlign w:val="center"/>
          </w:tcPr>
          <w:p w14:paraId="6D5DE4CF" w14:textId="626FD0B0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14:paraId="461FD967" w14:textId="5470C3FA" w:rsidR="00E822DD" w:rsidRPr="00EA778F" w:rsidRDefault="00E126D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EA778F" w:rsidRPr="00EA778F">
              <w:rPr>
                <w:rFonts w:ascii="Source Sans Pro" w:hAnsi="Source Sans Pro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4EE4162A" w14:textId="5DEDB6B2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3299E" w14:textId="4B17BDA1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A778F">
              <w:rPr>
                <w:rFonts w:ascii="Source Sans Pro" w:hAnsi="Source Sans Pro" w:cs="Arial"/>
                <w:sz w:val="16"/>
                <w:szCs w:val="16"/>
                <w:u w:val="single"/>
              </w:rPr>
              <w:t>68</w:t>
            </w:r>
          </w:p>
        </w:tc>
        <w:tc>
          <w:tcPr>
            <w:tcW w:w="923" w:type="dxa"/>
            <w:vAlign w:val="center"/>
          </w:tcPr>
          <w:p w14:paraId="08D05C82" w14:textId="0816A520" w:rsidR="00E822DD" w:rsidRPr="00EA778F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A778F">
              <w:rPr>
                <w:rFonts w:ascii="Source Sans Pro" w:hAnsi="Source Sans Pro" w:cs="Arial"/>
                <w:b/>
                <w:sz w:val="16"/>
                <w:szCs w:val="16"/>
              </w:rPr>
              <w:t>26</w:t>
            </w:r>
          </w:p>
        </w:tc>
      </w:tr>
    </w:tbl>
    <w:p w14:paraId="101A4546" w14:textId="7F19CE6A" w:rsidR="008C5CEC" w:rsidRDefault="00E822DD" w:rsidP="00E822DD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  <w:r w:rsidRPr="00161817">
        <w:rPr>
          <w:rFonts w:ascii="Source Sans Pro" w:hAnsi="Source Sans Pro" w:cs="Arial"/>
          <w:sz w:val="16"/>
          <w:szCs w:val="16"/>
        </w:rPr>
        <w:t>* Nettoanfangsrendite</w:t>
      </w:r>
      <w:r w:rsidR="002704CD">
        <w:rPr>
          <w:rFonts w:ascii="Source Sans Pro" w:hAnsi="Source Sans Pro" w:cs="Arial"/>
          <w:sz w:val="16"/>
          <w:szCs w:val="16"/>
        </w:rPr>
        <w:t>.</w:t>
      </w:r>
      <w:r w:rsidRPr="00161817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247CD90D" w14:textId="77777777" w:rsidR="00510879" w:rsidRPr="00510879" w:rsidRDefault="00510879" w:rsidP="00E822DD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</w:p>
    <w:p w14:paraId="5CED34B8" w14:textId="0CF5B4A4" w:rsidR="00161817" w:rsidRPr="00161817" w:rsidRDefault="00367F4F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t>Größte</w:t>
      </w:r>
      <w:r w:rsidR="00161817" w:rsidRPr="00161817">
        <w:rPr>
          <w:rFonts w:ascii="Source Sans Pro" w:hAnsi="Source Sans Pro" w:cs="Arial"/>
          <w:b/>
          <w:sz w:val="20"/>
        </w:rPr>
        <w:t xml:space="preserve"> bekannte Abschlüsse | Top-7-Standorte | </w:t>
      </w:r>
      <w:r w:rsidR="009820DC">
        <w:rPr>
          <w:rFonts w:ascii="Source Sans Pro" w:hAnsi="Source Sans Pro" w:cs="Arial"/>
          <w:b/>
          <w:sz w:val="20"/>
        </w:rPr>
        <w:t>1.-</w:t>
      </w:r>
      <w:r w:rsidR="00B54A00">
        <w:rPr>
          <w:rFonts w:ascii="Source Sans Pro" w:hAnsi="Source Sans Pro" w:cs="Arial"/>
          <w:b/>
          <w:sz w:val="20"/>
        </w:rPr>
        <w:t>3</w:t>
      </w:r>
      <w:r w:rsidR="00161817" w:rsidRPr="00161817">
        <w:rPr>
          <w:rFonts w:ascii="Source Sans Pro" w:hAnsi="Source Sans Pro" w:cs="Arial"/>
          <w:b/>
          <w:sz w:val="20"/>
        </w:rPr>
        <w:t>. Quartal 202</w:t>
      </w:r>
      <w:r w:rsidR="003613CB">
        <w:rPr>
          <w:rFonts w:ascii="Source Sans Pro" w:hAnsi="Source Sans Pro" w:cs="Arial"/>
          <w:b/>
          <w:sz w:val="20"/>
        </w:rPr>
        <w:t>4</w:t>
      </w: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690"/>
        <w:gridCol w:w="2694"/>
        <w:gridCol w:w="2670"/>
        <w:gridCol w:w="2199"/>
        <w:gridCol w:w="1240"/>
      </w:tblGrid>
      <w:tr w:rsidR="00161817" w:rsidRPr="00161817" w14:paraId="113FCC50" w14:textId="77777777" w:rsidTr="00DB491D">
        <w:trPr>
          <w:trHeight w:val="271"/>
        </w:trPr>
        <w:tc>
          <w:tcPr>
            <w:tcW w:w="690" w:type="dxa"/>
            <w:shd w:val="clear" w:color="auto" w:fill="auto"/>
            <w:vAlign w:val="center"/>
          </w:tcPr>
          <w:p w14:paraId="130C696A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34B091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6669932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Käufer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0FE9E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Verkäufer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C76A25" w14:textId="462E42CD" w:rsidR="00161817" w:rsidRPr="00161817" w:rsidRDefault="00161817" w:rsidP="00DB491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KP*</w:t>
            </w:r>
            <w:r w:rsidR="00DB491D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(ca. Mio. €)</w:t>
            </w:r>
          </w:p>
        </w:tc>
      </w:tr>
      <w:tr w:rsidR="00583AC8" w:rsidRPr="00161817" w14:paraId="0B78E6CD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576C9D5C" w14:textId="2BD3AFE7" w:rsidR="00583AC8" w:rsidRPr="008F2BFB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DDAAC2" w14:textId="1274E8CB" w:rsidR="00583AC8" w:rsidRPr="008F2BFB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„KaDeWe“,</w:t>
            </w:r>
            <w:r w:rsidRPr="008F2BFB">
              <w:rPr>
                <w:rFonts w:ascii="Source Sans Pro" w:hAnsi="Source Sans Pro" w:cs="Arial"/>
                <w:sz w:val="16"/>
                <w:szCs w:val="16"/>
              </w:rPr>
              <w:br/>
            </w: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Tauentzienstraße</w:t>
            </w:r>
            <w:proofErr w:type="spellEnd"/>
            <w:r w:rsidRPr="008F2BFB">
              <w:rPr>
                <w:rFonts w:ascii="Source Sans Pro" w:hAnsi="Source Sans Pro" w:cs="Arial"/>
                <w:sz w:val="16"/>
                <w:szCs w:val="16"/>
              </w:rPr>
              <w:t xml:space="preserve"> 21-24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EECDA99" w14:textId="502B1AEC" w:rsidR="00583AC8" w:rsidRPr="008F2BFB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Central Group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F8AFED1" w14:textId="5046E5A7" w:rsidR="00583AC8" w:rsidRPr="008F2BFB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 xml:space="preserve">Signa Prime </w:t>
            </w: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Selection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14:paraId="525E6C98" w14:textId="476CD064" w:rsidR="00583AC8" w:rsidRPr="008F2BFB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1.000</w:t>
            </w:r>
          </w:p>
        </w:tc>
      </w:tr>
      <w:tr w:rsidR="008F2BFB" w:rsidRPr="00161817" w14:paraId="00F97594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321E8DB4" w14:textId="17CE89D0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89B725" w14:textId="77777777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„Fünf Höfe“,</w:t>
            </w:r>
          </w:p>
          <w:p w14:paraId="592F04E3" w14:textId="6343E453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Theatinerstraße 8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BDB51C7" w14:textId="3E9B34D8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Athos Family Office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DD2CEA" w14:textId="63472380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Union Investment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10DCF4" w14:textId="3B29C7F5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715</w:t>
            </w:r>
          </w:p>
        </w:tc>
      </w:tr>
      <w:tr w:rsidR="008F2BFB" w:rsidRPr="008F2BFB" w14:paraId="4D06B192" w14:textId="77777777" w:rsidTr="00DB491D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73EBC288" w14:textId="7CC28D18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3C7CF5E" w14:textId="77777777" w:rsid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8F2BFB">
              <w:rPr>
                <w:rFonts w:ascii="Source Sans Pro" w:hAnsi="Source Sans Pro" w:cs="Arial"/>
                <w:sz w:val="16"/>
                <w:szCs w:val="16"/>
              </w:rPr>
              <w:t>Pasing Arcaden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8F2BFB">
              <w:rPr>
                <w:rFonts w:ascii="Source Sans Pro" w:hAnsi="Source Sans Pro" w:cs="Arial"/>
                <w:sz w:val="16"/>
                <w:szCs w:val="16"/>
              </w:rPr>
              <w:t>,</w:t>
            </w:r>
          </w:p>
          <w:p w14:paraId="3692DEE8" w14:textId="193866AE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Pasinger Bahnhofsplatz 5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3B7E3BBB" w14:textId="4A23A4A4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Ingka</w:t>
            </w:r>
            <w:proofErr w:type="spellEnd"/>
            <w:r w:rsidRPr="008F2BFB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Centres</w:t>
            </w:r>
            <w:proofErr w:type="spellEnd"/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74C6396A" w14:textId="121AEC5C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Unibail</w:t>
            </w:r>
            <w:proofErr w:type="spellEnd"/>
            <w:r w:rsidRPr="008F2BFB">
              <w:rPr>
                <w:rFonts w:ascii="Source Sans Pro" w:hAnsi="Source Sans Pro" w:cs="Arial"/>
                <w:sz w:val="16"/>
                <w:szCs w:val="16"/>
              </w:rPr>
              <w:t>-</w:t>
            </w:r>
            <w:proofErr w:type="spellStart"/>
            <w:r w:rsidRPr="008F2BFB">
              <w:rPr>
                <w:rFonts w:ascii="Source Sans Pro" w:hAnsi="Source Sans Pro" w:cs="Arial"/>
                <w:sz w:val="16"/>
                <w:szCs w:val="16"/>
              </w:rPr>
              <w:t>Rodamco</w:t>
            </w:r>
            <w:proofErr w:type="spellEnd"/>
            <w:r w:rsidRPr="008F2BFB">
              <w:rPr>
                <w:rFonts w:ascii="Source Sans Pro" w:hAnsi="Source Sans Pro" w:cs="Arial"/>
                <w:sz w:val="16"/>
                <w:szCs w:val="16"/>
              </w:rPr>
              <w:t>-Westfield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3959875" w14:textId="7AFA3BC3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388</w:t>
            </w:r>
          </w:p>
        </w:tc>
      </w:tr>
      <w:tr w:rsidR="008F2BFB" w:rsidRPr="00161817" w14:paraId="44CEE1B0" w14:textId="77777777" w:rsidTr="00DB491D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64E2B994" w14:textId="1F8E041C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F646A5" w14:textId="2216FA9E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Nordteil des Messegeländes, Messeplatz 1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4B0106A7" w14:textId="0C2BD7AC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Stadt Köln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0168FEED" w14:textId="3C2F8785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RFR-Holding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4087DCD" w14:textId="6E52D91F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385</w:t>
            </w:r>
          </w:p>
        </w:tc>
      </w:tr>
      <w:tr w:rsidR="008F2BFB" w:rsidRPr="00161817" w14:paraId="1F48E624" w14:textId="77777777" w:rsidTr="00DB491D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57AF8136" w14:textId="6B108EA2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2FCDAF9" w14:textId="731D0A1F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"ROSSIO", Barmer Straße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39693A94" w14:textId="64AF8C72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Stadt Köln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14F91B7C" w14:textId="4A344541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STRABAG und ECE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3A014C0" w14:textId="2FB05481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270</w:t>
            </w:r>
          </w:p>
        </w:tc>
      </w:tr>
      <w:tr w:rsidR="008F2BFB" w:rsidRPr="00161817" w14:paraId="5D13571D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4AB1A521" w14:textId="306AADBE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18C9B8" w14:textId="07981889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Maximilianstraße 12-14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DFF4C71" w14:textId="70F1F052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Commerz Real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6247885" w14:textId="0C9D6E9B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Centrum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306EB2" w14:textId="0EA8EAAE" w:rsidR="008F2BFB" w:rsidRPr="008F2BFB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F2BFB">
              <w:rPr>
                <w:rFonts w:ascii="Source Sans Pro" w:hAnsi="Source Sans Pro" w:cs="Arial"/>
                <w:sz w:val="16"/>
                <w:szCs w:val="16"/>
              </w:rPr>
              <w:t>250</w:t>
            </w:r>
          </w:p>
        </w:tc>
      </w:tr>
      <w:tr w:rsidR="008F2BFB" w:rsidRPr="00161817" w14:paraId="4962DD99" w14:textId="77777777" w:rsidTr="00DB491D">
        <w:trPr>
          <w:trHeight w:val="53"/>
        </w:trPr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75742589" w14:textId="77777777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shd w:val="clear" w:color="auto" w:fill="AEAAAA" w:themeFill="background2" w:themeFillShade="BF"/>
            <w:vAlign w:val="center"/>
          </w:tcPr>
          <w:p w14:paraId="03D0F1B5" w14:textId="77777777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670" w:type="dxa"/>
            <w:shd w:val="clear" w:color="auto" w:fill="AEAAAA" w:themeFill="background2" w:themeFillShade="BF"/>
            <w:vAlign w:val="center"/>
          </w:tcPr>
          <w:p w14:paraId="01D566D4" w14:textId="77777777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199" w:type="dxa"/>
            <w:shd w:val="clear" w:color="auto" w:fill="AEAAAA" w:themeFill="background2" w:themeFillShade="BF"/>
            <w:vAlign w:val="center"/>
          </w:tcPr>
          <w:p w14:paraId="72D67DB9" w14:textId="77777777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shd w:val="clear" w:color="auto" w:fill="AEAAAA" w:themeFill="background2" w:themeFillShade="BF"/>
            <w:vAlign w:val="center"/>
          </w:tcPr>
          <w:p w14:paraId="29A21095" w14:textId="77777777" w:rsidR="008F2BFB" w:rsidRPr="00B54A00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D8335C" w:rsidRPr="00161817" w14:paraId="18D80AFA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288B3310" w14:textId="2E88E92E" w:rsidR="00D8335C" w:rsidRPr="00B54A00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DUS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32B809" w14:textId="55665C5B" w:rsidR="00D8335C" w:rsidRPr="00B54A00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Ehm. Kaufhof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7CB3F8F" w14:textId="52F1F64F" w:rsidR="00D8335C" w:rsidRPr="00B54A00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Landeshauptstadt Düsseldorf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B522864" w14:textId="27831A14" w:rsidR="00D8335C" w:rsidRPr="00B54A00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Signa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E45D32" w14:textId="14E4073E" w:rsidR="00D8335C" w:rsidRPr="00B54A00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D8335C" w:rsidRPr="00161817" w14:paraId="4B6F63EF" w14:textId="77777777" w:rsidTr="00DB491D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329DB0F" w14:textId="5C2F696E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FFM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BA312F" w14:textId="77777777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"Canyon",</w:t>
            </w:r>
          </w:p>
          <w:p w14:paraId="67C597CD" w14:textId="2CBED9E7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Mainzer Landstraße 23,23a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225D8D02" w14:textId="73FB00D8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Tite Street Capital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79F75107" w14:textId="5AA43EA1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CV Real Estate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FEC6870" w14:textId="3B1E47D8" w:rsidR="00D8335C" w:rsidRPr="00D8335C" w:rsidRDefault="00D8335C" w:rsidP="00D8335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D8335C"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</w:tbl>
    <w:p w14:paraId="26AE2616" w14:textId="5A36EC4B" w:rsidR="00604E20" w:rsidRPr="00510879" w:rsidRDefault="002704CD" w:rsidP="00EF0944">
      <w:pPr>
        <w:widowControl w:val="0"/>
        <w:rPr>
          <w:rFonts w:ascii="Source Sans Pro" w:hAnsi="Source Sans Pro" w:cs="Arial"/>
          <w:sz w:val="16"/>
          <w:szCs w:val="16"/>
        </w:rPr>
      </w:pPr>
      <w:r w:rsidRPr="00510879">
        <w:rPr>
          <w:rFonts w:ascii="Source Sans Pro" w:hAnsi="Source Sans Pro" w:cs="Arial"/>
          <w:sz w:val="16"/>
          <w:szCs w:val="16"/>
        </w:rPr>
        <w:lastRenderedPageBreak/>
        <w:t xml:space="preserve">*Die aufgeführten Kaufpreise basieren auf öffentlich verfügbaren Angaben; wo solche fehlen, sind die Kaufpreise geschätzt. </w:t>
      </w:r>
      <w:r w:rsidR="00161817" w:rsidRPr="00510879">
        <w:rPr>
          <w:rFonts w:ascii="Source Sans Pro" w:hAnsi="Source Sans Pro" w:cs="Arial"/>
          <w:sz w:val="16"/>
          <w:szCs w:val="16"/>
        </w:rPr>
        <w:t xml:space="preserve">Quelle: German </w:t>
      </w:r>
      <w:r w:rsidR="00510879" w:rsidRPr="00510879">
        <w:rPr>
          <w:rFonts w:ascii="Source Sans Pro" w:hAnsi="Source Sans Pro" w:cs="Arial"/>
          <w:sz w:val="16"/>
          <w:szCs w:val="16"/>
        </w:rPr>
        <w:t>P</w:t>
      </w:r>
      <w:r w:rsidR="00161817" w:rsidRPr="00510879">
        <w:rPr>
          <w:rFonts w:ascii="Source Sans Pro" w:hAnsi="Source Sans Pro" w:cs="Arial"/>
          <w:sz w:val="16"/>
          <w:szCs w:val="16"/>
        </w:rPr>
        <w:t>roperty Partners (GPP)</w:t>
      </w:r>
      <w:r w:rsidR="008C5CEC" w:rsidRPr="00510879">
        <w:rPr>
          <w:rFonts w:ascii="Source Sans Pro" w:hAnsi="Source Sans Pro" w:cs="Arial"/>
          <w:sz w:val="16"/>
          <w:szCs w:val="16"/>
        </w:rPr>
        <w:t>; Transaktionen aus dem aktuellen Quartal sind farblich markiert</w:t>
      </w:r>
    </w:p>
    <w:p w14:paraId="28CA77FD" w14:textId="54AD08A1" w:rsidR="00EA5A14" w:rsidRPr="00A36FA4" w:rsidRDefault="00073A63" w:rsidP="000157FA">
      <w:pPr>
        <w:widowControl w:val="0"/>
        <w:rPr>
          <w:rFonts w:ascii="Source Sans Pro" w:hAnsi="Source Sans Pro" w:cs="Source Sans Pro"/>
          <w:sz w:val="22"/>
          <w:szCs w:val="22"/>
        </w:rPr>
      </w:pPr>
      <w:r w:rsidRPr="00510879">
        <w:rPr>
          <w:rFonts w:ascii="Source Sans Pro" w:hAnsi="Source Sans Pro" w:cs="Arial"/>
          <w:b/>
          <w:sz w:val="16"/>
          <w:szCs w:val="16"/>
        </w:rPr>
        <w:br/>
      </w:r>
      <w:bookmarkStart w:id="0" w:name="_Hlk167186422"/>
      <w:r w:rsidR="00EA5A14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EA5A14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7A69FB99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4EE622DA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6DD3F237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Düsseldorf|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77000CD5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57F93419" w14:textId="77777777" w:rsidR="00EA5A14" w:rsidRPr="006C69B7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rund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490.000</w:t>
      </w:r>
      <w:r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m²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770 Mio. €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0E509281" w14:textId="77777777" w:rsidR="00EA5A14" w:rsidRDefault="00EA5A14" w:rsidP="00EA5A14">
      <w:pPr>
        <w:pStyle w:val="EinfAbs"/>
        <w:tabs>
          <w:tab w:val="left" w:pos="200"/>
        </w:tabs>
        <w:spacing w:line="220" w:lineRule="exact"/>
        <w:jc w:val="both"/>
      </w:pPr>
    </w:p>
    <w:p w14:paraId="44111629" w14:textId="77777777" w:rsidR="00EA5A14" w:rsidRPr="006456EA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5E8BFEAE" w14:textId="77777777" w:rsidR="00EA5A14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sz w:val="14"/>
          <w:szCs w:val="14"/>
        </w:rPr>
      </w:pPr>
    </w:p>
    <w:p w14:paraId="468FAFF6" w14:textId="0946950C" w:rsidR="005C25D5" w:rsidRPr="00D56A51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  <w:bookmarkEnd w:id="0"/>
    </w:p>
    <w:sectPr w:rsidR="005C25D5" w:rsidRPr="00D56A51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5EBE7C97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F7741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F7741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1499EE44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EA5A14">
      <w:rPr>
        <w:rFonts w:ascii="Source Sans Pro" w:hAnsi="Source Sans Pro" w:cs="Source Sans Pro"/>
        <w:color w:val="0087A8"/>
        <w:sz w:val="18"/>
        <w:szCs w:val="18"/>
      </w:rPr>
      <w:t>88</w:t>
    </w:r>
  </w:p>
  <w:p w14:paraId="6F9C1B3C" w14:textId="3B8E330F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A14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5F115F27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F7741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F7741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46353A06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EA5A14">
      <w:rPr>
        <w:rFonts w:ascii="Source Sans Pro" w:hAnsi="Source Sans Pro" w:cs="Source Sans Pro"/>
        <w:color w:val="0087A8"/>
        <w:sz w:val="18"/>
        <w:szCs w:val="18"/>
      </w:rPr>
      <w:t>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716EBD26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A14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E87"/>
    <w:multiLevelType w:val="hybridMultilevel"/>
    <w:tmpl w:val="D2941DE4"/>
    <w:lvl w:ilvl="0" w:tplc="E22A0C4A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E0B"/>
    <w:multiLevelType w:val="hybridMultilevel"/>
    <w:tmpl w:val="1BC473A8"/>
    <w:lvl w:ilvl="0" w:tplc="321493FE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F1E"/>
    <w:multiLevelType w:val="hybridMultilevel"/>
    <w:tmpl w:val="4B542F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CC6"/>
    <w:multiLevelType w:val="hybridMultilevel"/>
    <w:tmpl w:val="B0E01B48"/>
    <w:lvl w:ilvl="0" w:tplc="1ED8C61C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895"/>
    <w:multiLevelType w:val="hybridMultilevel"/>
    <w:tmpl w:val="30883CD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B53BB"/>
    <w:multiLevelType w:val="hybridMultilevel"/>
    <w:tmpl w:val="A8BA5CB4"/>
    <w:lvl w:ilvl="0" w:tplc="8778A3D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2D38"/>
    <w:multiLevelType w:val="hybridMultilevel"/>
    <w:tmpl w:val="98405EC0"/>
    <w:lvl w:ilvl="0" w:tplc="3F38C434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C0E33"/>
    <w:multiLevelType w:val="hybridMultilevel"/>
    <w:tmpl w:val="2BE8E350"/>
    <w:lvl w:ilvl="0" w:tplc="B82AA30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36C0"/>
    <w:multiLevelType w:val="hybridMultilevel"/>
    <w:tmpl w:val="51220B10"/>
    <w:lvl w:ilvl="0" w:tplc="782E1AF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0478"/>
    <w:multiLevelType w:val="hybridMultilevel"/>
    <w:tmpl w:val="1CC4F102"/>
    <w:lvl w:ilvl="0" w:tplc="EC46D9D4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1796C"/>
    <w:multiLevelType w:val="hybridMultilevel"/>
    <w:tmpl w:val="EE0E1D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030DF"/>
    <w:multiLevelType w:val="hybridMultilevel"/>
    <w:tmpl w:val="C9B00D30"/>
    <w:lvl w:ilvl="0" w:tplc="59D258A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C230A"/>
    <w:multiLevelType w:val="hybridMultilevel"/>
    <w:tmpl w:val="C442B6BA"/>
    <w:lvl w:ilvl="0" w:tplc="5A6C334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6959"/>
    <w:multiLevelType w:val="hybridMultilevel"/>
    <w:tmpl w:val="5CCA21EA"/>
    <w:lvl w:ilvl="0" w:tplc="2F7E3994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813C1"/>
    <w:multiLevelType w:val="hybridMultilevel"/>
    <w:tmpl w:val="05F49C50"/>
    <w:lvl w:ilvl="0" w:tplc="82300CE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356"/>
    <w:multiLevelType w:val="hybridMultilevel"/>
    <w:tmpl w:val="35B4B2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B6D1F"/>
    <w:multiLevelType w:val="hybridMultilevel"/>
    <w:tmpl w:val="456A7860"/>
    <w:lvl w:ilvl="0" w:tplc="B774640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78BD"/>
    <w:multiLevelType w:val="hybridMultilevel"/>
    <w:tmpl w:val="904C4D60"/>
    <w:lvl w:ilvl="0" w:tplc="51F0D846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C4963"/>
    <w:multiLevelType w:val="hybridMultilevel"/>
    <w:tmpl w:val="751880B2"/>
    <w:lvl w:ilvl="0" w:tplc="AF12DF7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5149"/>
    <w:multiLevelType w:val="hybridMultilevel"/>
    <w:tmpl w:val="EDEAD9E0"/>
    <w:lvl w:ilvl="0" w:tplc="2782346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9893">
    <w:abstractNumId w:val="19"/>
  </w:num>
  <w:num w:numId="2" w16cid:durableId="1682125559">
    <w:abstractNumId w:val="18"/>
  </w:num>
  <w:num w:numId="3" w16cid:durableId="1796871747">
    <w:abstractNumId w:val="14"/>
  </w:num>
  <w:num w:numId="4" w16cid:durableId="58407515">
    <w:abstractNumId w:val="7"/>
  </w:num>
  <w:num w:numId="5" w16cid:durableId="1079904006">
    <w:abstractNumId w:val="0"/>
  </w:num>
  <w:num w:numId="6" w16cid:durableId="227964986">
    <w:abstractNumId w:val="17"/>
  </w:num>
  <w:num w:numId="7" w16cid:durableId="2009139140">
    <w:abstractNumId w:val="16"/>
  </w:num>
  <w:num w:numId="8" w16cid:durableId="52045071">
    <w:abstractNumId w:val="12"/>
  </w:num>
  <w:num w:numId="9" w16cid:durableId="932661374">
    <w:abstractNumId w:val="5"/>
  </w:num>
  <w:num w:numId="10" w16cid:durableId="1239100869">
    <w:abstractNumId w:val="8"/>
  </w:num>
  <w:num w:numId="11" w16cid:durableId="1717268342">
    <w:abstractNumId w:val="11"/>
  </w:num>
  <w:num w:numId="12" w16cid:durableId="1354040723">
    <w:abstractNumId w:val="2"/>
  </w:num>
  <w:num w:numId="13" w16cid:durableId="1274023335">
    <w:abstractNumId w:val="9"/>
  </w:num>
  <w:num w:numId="14" w16cid:durableId="673798715">
    <w:abstractNumId w:val="15"/>
  </w:num>
  <w:num w:numId="15" w16cid:durableId="1150026425">
    <w:abstractNumId w:val="3"/>
  </w:num>
  <w:num w:numId="16" w16cid:durableId="2080442575">
    <w:abstractNumId w:val="4"/>
  </w:num>
  <w:num w:numId="17" w16cid:durableId="80376525">
    <w:abstractNumId w:val="10"/>
  </w:num>
  <w:num w:numId="18" w16cid:durableId="1162115505">
    <w:abstractNumId w:val="13"/>
  </w:num>
  <w:num w:numId="19" w16cid:durableId="298652074">
    <w:abstractNumId w:val="6"/>
  </w:num>
  <w:num w:numId="20" w16cid:durableId="55374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1F24"/>
    <w:rsid w:val="000021F4"/>
    <w:rsid w:val="00004E93"/>
    <w:rsid w:val="000136D7"/>
    <w:rsid w:val="00013C9D"/>
    <w:rsid w:val="00013D73"/>
    <w:rsid w:val="000157FA"/>
    <w:rsid w:val="0001662B"/>
    <w:rsid w:val="00020AC9"/>
    <w:rsid w:val="00027EA3"/>
    <w:rsid w:val="00032028"/>
    <w:rsid w:val="00032564"/>
    <w:rsid w:val="00034121"/>
    <w:rsid w:val="000440EB"/>
    <w:rsid w:val="0005029E"/>
    <w:rsid w:val="00054673"/>
    <w:rsid w:val="000610DA"/>
    <w:rsid w:val="00062237"/>
    <w:rsid w:val="00062C87"/>
    <w:rsid w:val="00065685"/>
    <w:rsid w:val="000663B5"/>
    <w:rsid w:val="000665E2"/>
    <w:rsid w:val="00066A8A"/>
    <w:rsid w:val="00072A30"/>
    <w:rsid w:val="00073A63"/>
    <w:rsid w:val="00075446"/>
    <w:rsid w:val="000772AE"/>
    <w:rsid w:val="00077E8A"/>
    <w:rsid w:val="00080FD4"/>
    <w:rsid w:val="00082C59"/>
    <w:rsid w:val="00084254"/>
    <w:rsid w:val="00091562"/>
    <w:rsid w:val="00091D49"/>
    <w:rsid w:val="00091E5B"/>
    <w:rsid w:val="0009382E"/>
    <w:rsid w:val="000A072C"/>
    <w:rsid w:val="000A4FBB"/>
    <w:rsid w:val="000A6A78"/>
    <w:rsid w:val="000B2DF4"/>
    <w:rsid w:val="000B310B"/>
    <w:rsid w:val="000B4A9D"/>
    <w:rsid w:val="000B5FF3"/>
    <w:rsid w:val="000C1C4D"/>
    <w:rsid w:val="000C3A22"/>
    <w:rsid w:val="000C6B4F"/>
    <w:rsid w:val="000D5A87"/>
    <w:rsid w:val="000D6F1F"/>
    <w:rsid w:val="000D7B09"/>
    <w:rsid w:val="000D7FD3"/>
    <w:rsid w:val="000E194E"/>
    <w:rsid w:val="000E4F2C"/>
    <w:rsid w:val="000E6577"/>
    <w:rsid w:val="000E694E"/>
    <w:rsid w:val="000E753B"/>
    <w:rsid w:val="000F57F1"/>
    <w:rsid w:val="001104E2"/>
    <w:rsid w:val="00110917"/>
    <w:rsid w:val="00110E37"/>
    <w:rsid w:val="00110F8E"/>
    <w:rsid w:val="00113D8C"/>
    <w:rsid w:val="00120624"/>
    <w:rsid w:val="0012156C"/>
    <w:rsid w:val="001304F6"/>
    <w:rsid w:val="00131DC5"/>
    <w:rsid w:val="001340F8"/>
    <w:rsid w:val="001407F3"/>
    <w:rsid w:val="00146388"/>
    <w:rsid w:val="00150092"/>
    <w:rsid w:val="001550FE"/>
    <w:rsid w:val="00155828"/>
    <w:rsid w:val="00156AF6"/>
    <w:rsid w:val="00161817"/>
    <w:rsid w:val="00162CC4"/>
    <w:rsid w:val="001647B3"/>
    <w:rsid w:val="00166ED2"/>
    <w:rsid w:val="00176433"/>
    <w:rsid w:val="0018092C"/>
    <w:rsid w:val="00181706"/>
    <w:rsid w:val="00184BB0"/>
    <w:rsid w:val="00190761"/>
    <w:rsid w:val="001963BB"/>
    <w:rsid w:val="001A0708"/>
    <w:rsid w:val="001A22F5"/>
    <w:rsid w:val="001B786B"/>
    <w:rsid w:val="001C32DB"/>
    <w:rsid w:val="001C33FC"/>
    <w:rsid w:val="001C518B"/>
    <w:rsid w:val="001D00A5"/>
    <w:rsid w:val="001E1829"/>
    <w:rsid w:val="001E5503"/>
    <w:rsid w:val="001E7716"/>
    <w:rsid w:val="001F218D"/>
    <w:rsid w:val="001F35E1"/>
    <w:rsid w:val="00200C83"/>
    <w:rsid w:val="002014F7"/>
    <w:rsid w:val="00202DD3"/>
    <w:rsid w:val="00215E22"/>
    <w:rsid w:val="0022694F"/>
    <w:rsid w:val="00235393"/>
    <w:rsid w:val="00246BA0"/>
    <w:rsid w:val="00264A0A"/>
    <w:rsid w:val="00265CA3"/>
    <w:rsid w:val="002704CD"/>
    <w:rsid w:val="00270F3A"/>
    <w:rsid w:val="0028070D"/>
    <w:rsid w:val="00282ED8"/>
    <w:rsid w:val="00290672"/>
    <w:rsid w:val="00290917"/>
    <w:rsid w:val="002915F3"/>
    <w:rsid w:val="002A09C2"/>
    <w:rsid w:val="002A42FA"/>
    <w:rsid w:val="002A480D"/>
    <w:rsid w:val="002A7D58"/>
    <w:rsid w:val="002B63FD"/>
    <w:rsid w:val="002B749A"/>
    <w:rsid w:val="002C52C5"/>
    <w:rsid w:val="002D5463"/>
    <w:rsid w:val="002E1C45"/>
    <w:rsid w:val="002E2D2D"/>
    <w:rsid w:val="002E5673"/>
    <w:rsid w:val="002E7EE2"/>
    <w:rsid w:val="002F3249"/>
    <w:rsid w:val="002F461A"/>
    <w:rsid w:val="002F49BF"/>
    <w:rsid w:val="002F786B"/>
    <w:rsid w:val="00306932"/>
    <w:rsid w:val="003152C9"/>
    <w:rsid w:val="00315870"/>
    <w:rsid w:val="00316196"/>
    <w:rsid w:val="003250ED"/>
    <w:rsid w:val="00340A89"/>
    <w:rsid w:val="00341D84"/>
    <w:rsid w:val="003424EC"/>
    <w:rsid w:val="0034454C"/>
    <w:rsid w:val="00355438"/>
    <w:rsid w:val="00355D78"/>
    <w:rsid w:val="00355ED1"/>
    <w:rsid w:val="003613CB"/>
    <w:rsid w:val="00363075"/>
    <w:rsid w:val="00364C2C"/>
    <w:rsid w:val="00366AF3"/>
    <w:rsid w:val="00367F4F"/>
    <w:rsid w:val="00370785"/>
    <w:rsid w:val="00371640"/>
    <w:rsid w:val="00374F87"/>
    <w:rsid w:val="00375256"/>
    <w:rsid w:val="00392897"/>
    <w:rsid w:val="00392E9E"/>
    <w:rsid w:val="003946DE"/>
    <w:rsid w:val="003948FA"/>
    <w:rsid w:val="00394B04"/>
    <w:rsid w:val="003A463F"/>
    <w:rsid w:val="003B09DC"/>
    <w:rsid w:val="003B10B7"/>
    <w:rsid w:val="003B4145"/>
    <w:rsid w:val="003B4C22"/>
    <w:rsid w:val="003B63A8"/>
    <w:rsid w:val="003D36F0"/>
    <w:rsid w:val="003D3F73"/>
    <w:rsid w:val="003D5215"/>
    <w:rsid w:val="003D5D91"/>
    <w:rsid w:val="003E772C"/>
    <w:rsid w:val="003F1590"/>
    <w:rsid w:val="003F293B"/>
    <w:rsid w:val="003F5E07"/>
    <w:rsid w:val="003F6066"/>
    <w:rsid w:val="0040331F"/>
    <w:rsid w:val="00403C95"/>
    <w:rsid w:val="00404BCC"/>
    <w:rsid w:val="00405679"/>
    <w:rsid w:val="004061B9"/>
    <w:rsid w:val="004103D9"/>
    <w:rsid w:val="0041188F"/>
    <w:rsid w:val="00423DAC"/>
    <w:rsid w:val="00425DBF"/>
    <w:rsid w:val="00426531"/>
    <w:rsid w:val="00430DA2"/>
    <w:rsid w:val="004329C6"/>
    <w:rsid w:val="004338CA"/>
    <w:rsid w:val="004343B1"/>
    <w:rsid w:val="00434EB9"/>
    <w:rsid w:val="00436DD0"/>
    <w:rsid w:val="00442B5C"/>
    <w:rsid w:val="00451993"/>
    <w:rsid w:val="00453F14"/>
    <w:rsid w:val="00456442"/>
    <w:rsid w:val="00462200"/>
    <w:rsid w:val="00465A6E"/>
    <w:rsid w:val="00474099"/>
    <w:rsid w:val="00474AC5"/>
    <w:rsid w:val="004804A5"/>
    <w:rsid w:val="00481D27"/>
    <w:rsid w:val="00484027"/>
    <w:rsid w:val="00486F74"/>
    <w:rsid w:val="00491CBC"/>
    <w:rsid w:val="004956AE"/>
    <w:rsid w:val="0049607C"/>
    <w:rsid w:val="004A2A30"/>
    <w:rsid w:val="004A2D54"/>
    <w:rsid w:val="004A60FB"/>
    <w:rsid w:val="004B5CB6"/>
    <w:rsid w:val="004C322C"/>
    <w:rsid w:val="004C616B"/>
    <w:rsid w:val="004D2CD0"/>
    <w:rsid w:val="004D30FB"/>
    <w:rsid w:val="004D31CF"/>
    <w:rsid w:val="004F09D7"/>
    <w:rsid w:val="004F1EDD"/>
    <w:rsid w:val="004F38BF"/>
    <w:rsid w:val="004F5262"/>
    <w:rsid w:val="004F77D4"/>
    <w:rsid w:val="00500981"/>
    <w:rsid w:val="00501428"/>
    <w:rsid w:val="0050248F"/>
    <w:rsid w:val="00502DEE"/>
    <w:rsid w:val="005045E7"/>
    <w:rsid w:val="00510879"/>
    <w:rsid w:val="00510C33"/>
    <w:rsid w:val="005122A0"/>
    <w:rsid w:val="0052371C"/>
    <w:rsid w:val="0054038E"/>
    <w:rsid w:val="0054593A"/>
    <w:rsid w:val="00547877"/>
    <w:rsid w:val="00554C9F"/>
    <w:rsid w:val="005550A4"/>
    <w:rsid w:val="00557B57"/>
    <w:rsid w:val="005644BE"/>
    <w:rsid w:val="0057524E"/>
    <w:rsid w:val="00575A55"/>
    <w:rsid w:val="00583AC8"/>
    <w:rsid w:val="00584565"/>
    <w:rsid w:val="00593E99"/>
    <w:rsid w:val="005A5999"/>
    <w:rsid w:val="005C25D5"/>
    <w:rsid w:val="005C47F7"/>
    <w:rsid w:val="005C4C28"/>
    <w:rsid w:val="005D0D0E"/>
    <w:rsid w:val="005D449F"/>
    <w:rsid w:val="005D73BE"/>
    <w:rsid w:val="005E1C97"/>
    <w:rsid w:val="005E6515"/>
    <w:rsid w:val="005F1F6B"/>
    <w:rsid w:val="005F3B7B"/>
    <w:rsid w:val="0060257F"/>
    <w:rsid w:val="00604E20"/>
    <w:rsid w:val="00604F63"/>
    <w:rsid w:val="00605989"/>
    <w:rsid w:val="006061BF"/>
    <w:rsid w:val="00607CF6"/>
    <w:rsid w:val="00610BB3"/>
    <w:rsid w:val="00613713"/>
    <w:rsid w:val="006224FB"/>
    <w:rsid w:val="0063115F"/>
    <w:rsid w:val="00632159"/>
    <w:rsid w:val="00635995"/>
    <w:rsid w:val="006363DA"/>
    <w:rsid w:val="006432C0"/>
    <w:rsid w:val="006456EA"/>
    <w:rsid w:val="0065213B"/>
    <w:rsid w:val="00653983"/>
    <w:rsid w:val="00655CAA"/>
    <w:rsid w:val="006609C2"/>
    <w:rsid w:val="00663D75"/>
    <w:rsid w:val="0066478F"/>
    <w:rsid w:val="00672B0F"/>
    <w:rsid w:val="00675E89"/>
    <w:rsid w:val="00682849"/>
    <w:rsid w:val="00695F46"/>
    <w:rsid w:val="006969F1"/>
    <w:rsid w:val="006A3C35"/>
    <w:rsid w:val="006A6D11"/>
    <w:rsid w:val="006B2259"/>
    <w:rsid w:val="006B3ECE"/>
    <w:rsid w:val="006C5754"/>
    <w:rsid w:val="006D03D9"/>
    <w:rsid w:val="006D6526"/>
    <w:rsid w:val="006E06BE"/>
    <w:rsid w:val="006E674D"/>
    <w:rsid w:val="006E6770"/>
    <w:rsid w:val="006F154A"/>
    <w:rsid w:val="00701992"/>
    <w:rsid w:val="0070363C"/>
    <w:rsid w:val="00712023"/>
    <w:rsid w:val="007144E9"/>
    <w:rsid w:val="007145C9"/>
    <w:rsid w:val="00714A1F"/>
    <w:rsid w:val="00715C36"/>
    <w:rsid w:val="0071729A"/>
    <w:rsid w:val="00717328"/>
    <w:rsid w:val="0072073D"/>
    <w:rsid w:val="00735DF6"/>
    <w:rsid w:val="00742C04"/>
    <w:rsid w:val="0074571D"/>
    <w:rsid w:val="00750962"/>
    <w:rsid w:val="00750A05"/>
    <w:rsid w:val="00752C05"/>
    <w:rsid w:val="00767018"/>
    <w:rsid w:val="0077196D"/>
    <w:rsid w:val="00771C92"/>
    <w:rsid w:val="00795586"/>
    <w:rsid w:val="00797DA3"/>
    <w:rsid w:val="007A17C3"/>
    <w:rsid w:val="007A4844"/>
    <w:rsid w:val="007A4BE6"/>
    <w:rsid w:val="007B1DFE"/>
    <w:rsid w:val="007B33CE"/>
    <w:rsid w:val="007B7B81"/>
    <w:rsid w:val="007C1429"/>
    <w:rsid w:val="007C5441"/>
    <w:rsid w:val="007C7B61"/>
    <w:rsid w:val="007D1495"/>
    <w:rsid w:val="007D248E"/>
    <w:rsid w:val="007D5A52"/>
    <w:rsid w:val="007D5CA1"/>
    <w:rsid w:val="007D75C8"/>
    <w:rsid w:val="007E2C66"/>
    <w:rsid w:val="007F1021"/>
    <w:rsid w:val="007F12A3"/>
    <w:rsid w:val="007F1BD3"/>
    <w:rsid w:val="007F2DBB"/>
    <w:rsid w:val="007F7E7C"/>
    <w:rsid w:val="00806C63"/>
    <w:rsid w:val="0081166B"/>
    <w:rsid w:val="00816613"/>
    <w:rsid w:val="00821A81"/>
    <w:rsid w:val="00825F63"/>
    <w:rsid w:val="008322D8"/>
    <w:rsid w:val="00837E5B"/>
    <w:rsid w:val="008472D3"/>
    <w:rsid w:val="008472F9"/>
    <w:rsid w:val="00851067"/>
    <w:rsid w:val="0085416C"/>
    <w:rsid w:val="00854FF2"/>
    <w:rsid w:val="00855329"/>
    <w:rsid w:val="00856A7C"/>
    <w:rsid w:val="0086041F"/>
    <w:rsid w:val="008739E7"/>
    <w:rsid w:val="00874645"/>
    <w:rsid w:val="00881685"/>
    <w:rsid w:val="008844D9"/>
    <w:rsid w:val="008846F6"/>
    <w:rsid w:val="00887D7F"/>
    <w:rsid w:val="00891435"/>
    <w:rsid w:val="00891C3A"/>
    <w:rsid w:val="00895E64"/>
    <w:rsid w:val="008A3638"/>
    <w:rsid w:val="008A3A3B"/>
    <w:rsid w:val="008A7188"/>
    <w:rsid w:val="008B1BA3"/>
    <w:rsid w:val="008B68F7"/>
    <w:rsid w:val="008C276D"/>
    <w:rsid w:val="008C5CEC"/>
    <w:rsid w:val="008C6366"/>
    <w:rsid w:val="008E0A69"/>
    <w:rsid w:val="008E556F"/>
    <w:rsid w:val="008F0631"/>
    <w:rsid w:val="008F17D7"/>
    <w:rsid w:val="008F2058"/>
    <w:rsid w:val="008F2BFB"/>
    <w:rsid w:val="008F3731"/>
    <w:rsid w:val="009020E3"/>
    <w:rsid w:val="00903C74"/>
    <w:rsid w:val="00904B69"/>
    <w:rsid w:val="009064CE"/>
    <w:rsid w:val="0090663A"/>
    <w:rsid w:val="00910AD1"/>
    <w:rsid w:val="00910B65"/>
    <w:rsid w:val="00912233"/>
    <w:rsid w:val="00914021"/>
    <w:rsid w:val="00917410"/>
    <w:rsid w:val="0092334A"/>
    <w:rsid w:val="009264D0"/>
    <w:rsid w:val="0093360A"/>
    <w:rsid w:val="009358D3"/>
    <w:rsid w:val="00935A2F"/>
    <w:rsid w:val="0093738F"/>
    <w:rsid w:val="00955433"/>
    <w:rsid w:val="00955764"/>
    <w:rsid w:val="00957A6F"/>
    <w:rsid w:val="0096086D"/>
    <w:rsid w:val="009649C2"/>
    <w:rsid w:val="00965DEB"/>
    <w:rsid w:val="00966A04"/>
    <w:rsid w:val="00970E83"/>
    <w:rsid w:val="009738DE"/>
    <w:rsid w:val="009750C4"/>
    <w:rsid w:val="00980BEB"/>
    <w:rsid w:val="00980D94"/>
    <w:rsid w:val="009820DC"/>
    <w:rsid w:val="00982F7B"/>
    <w:rsid w:val="009843D4"/>
    <w:rsid w:val="00986361"/>
    <w:rsid w:val="009867A7"/>
    <w:rsid w:val="0099076D"/>
    <w:rsid w:val="00991B64"/>
    <w:rsid w:val="0099690F"/>
    <w:rsid w:val="00996D38"/>
    <w:rsid w:val="00997F89"/>
    <w:rsid w:val="009A10C6"/>
    <w:rsid w:val="009A3B75"/>
    <w:rsid w:val="009A4503"/>
    <w:rsid w:val="009B008F"/>
    <w:rsid w:val="009C2D11"/>
    <w:rsid w:val="009C3E81"/>
    <w:rsid w:val="009C3FDE"/>
    <w:rsid w:val="009C4CE9"/>
    <w:rsid w:val="009F28F5"/>
    <w:rsid w:val="009F5763"/>
    <w:rsid w:val="009F6777"/>
    <w:rsid w:val="00A06310"/>
    <w:rsid w:val="00A07846"/>
    <w:rsid w:val="00A17CA6"/>
    <w:rsid w:val="00A22C2C"/>
    <w:rsid w:val="00A22FBF"/>
    <w:rsid w:val="00A2670C"/>
    <w:rsid w:val="00A3040C"/>
    <w:rsid w:val="00A346EF"/>
    <w:rsid w:val="00A53E9E"/>
    <w:rsid w:val="00A54087"/>
    <w:rsid w:val="00A57024"/>
    <w:rsid w:val="00A61757"/>
    <w:rsid w:val="00A63939"/>
    <w:rsid w:val="00A65690"/>
    <w:rsid w:val="00A65FB0"/>
    <w:rsid w:val="00A66A23"/>
    <w:rsid w:val="00A743C6"/>
    <w:rsid w:val="00A8148C"/>
    <w:rsid w:val="00A831E7"/>
    <w:rsid w:val="00A85640"/>
    <w:rsid w:val="00A86AFC"/>
    <w:rsid w:val="00A91DC1"/>
    <w:rsid w:val="00A9412B"/>
    <w:rsid w:val="00A95D91"/>
    <w:rsid w:val="00A95DFC"/>
    <w:rsid w:val="00A97B5C"/>
    <w:rsid w:val="00AB4B8F"/>
    <w:rsid w:val="00AB536E"/>
    <w:rsid w:val="00AB69AD"/>
    <w:rsid w:val="00AB747E"/>
    <w:rsid w:val="00AC31F4"/>
    <w:rsid w:val="00AC6B15"/>
    <w:rsid w:val="00AD2569"/>
    <w:rsid w:val="00AD4124"/>
    <w:rsid w:val="00AD7DB5"/>
    <w:rsid w:val="00AE0761"/>
    <w:rsid w:val="00AE07A3"/>
    <w:rsid w:val="00AE0E7B"/>
    <w:rsid w:val="00AE2412"/>
    <w:rsid w:val="00AE318F"/>
    <w:rsid w:val="00AF0066"/>
    <w:rsid w:val="00AF06DD"/>
    <w:rsid w:val="00AF237D"/>
    <w:rsid w:val="00AF27B7"/>
    <w:rsid w:val="00AF63B5"/>
    <w:rsid w:val="00AF664D"/>
    <w:rsid w:val="00B005BD"/>
    <w:rsid w:val="00B03444"/>
    <w:rsid w:val="00B04F23"/>
    <w:rsid w:val="00B062A5"/>
    <w:rsid w:val="00B14C16"/>
    <w:rsid w:val="00B14E68"/>
    <w:rsid w:val="00B16A5C"/>
    <w:rsid w:val="00B23669"/>
    <w:rsid w:val="00B24860"/>
    <w:rsid w:val="00B33789"/>
    <w:rsid w:val="00B434EA"/>
    <w:rsid w:val="00B46BC1"/>
    <w:rsid w:val="00B519C8"/>
    <w:rsid w:val="00B54185"/>
    <w:rsid w:val="00B54A00"/>
    <w:rsid w:val="00B56AFB"/>
    <w:rsid w:val="00B576A5"/>
    <w:rsid w:val="00B701FD"/>
    <w:rsid w:val="00B74DC0"/>
    <w:rsid w:val="00B862DB"/>
    <w:rsid w:val="00B922EE"/>
    <w:rsid w:val="00B9596E"/>
    <w:rsid w:val="00BA2FA0"/>
    <w:rsid w:val="00BA3D8E"/>
    <w:rsid w:val="00BA40B4"/>
    <w:rsid w:val="00BA49EB"/>
    <w:rsid w:val="00BB0F85"/>
    <w:rsid w:val="00BB284C"/>
    <w:rsid w:val="00BC0132"/>
    <w:rsid w:val="00BC0598"/>
    <w:rsid w:val="00BC6B47"/>
    <w:rsid w:val="00BC7A4D"/>
    <w:rsid w:val="00BD0526"/>
    <w:rsid w:val="00BD2784"/>
    <w:rsid w:val="00BD46B2"/>
    <w:rsid w:val="00BE4710"/>
    <w:rsid w:val="00BF11C6"/>
    <w:rsid w:val="00C003B1"/>
    <w:rsid w:val="00C11004"/>
    <w:rsid w:val="00C111FE"/>
    <w:rsid w:val="00C1497F"/>
    <w:rsid w:val="00C20B9C"/>
    <w:rsid w:val="00C21E75"/>
    <w:rsid w:val="00C2509E"/>
    <w:rsid w:val="00C2778C"/>
    <w:rsid w:val="00C27F6A"/>
    <w:rsid w:val="00C3159C"/>
    <w:rsid w:val="00C35841"/>
    <w:rsid w:val="00C37E33"/>
    <w:rsid w:val="00C409C6"/>
    <w:rsid w:val="00C41C74"/>
    <w:rsid w:val="00C4260E"/>
    <w:rsid w:val="00C43C76"/>
    <w:rsid w:val="00C47B63"/>
    <w:rsid w:val="00C47F8B"/>
    <w:rsid w:val="00C50567"/>
    <w:rsid w:val="00C56A08"/>
    <w:rsid w:val="00C742DD"/>
    <w:rsid w:val="00C846F6"/>
    <w:rsid w:val="00C86B1E"/>
    <w:rsid w:val="00C94B4E"/>
    <w:rsid w:val="00C96048"/>
    <w:rsid w:val="00C96214"/>
    <w:rsid w:val="00C974EE"/>
    <w:rsid w:val="00C9797F"/>
    <w:rsid w:val="00CA1FB9"/>
    <w:rsid w:val="00CA73C1"/>
    <w:rsid w:val="00CA79D7"/>
    <w:rsid w:val="00CB7BE6"/>
    <w:rsid w:val="00CC0E23"/>
    <w:rsid w:val="00CC40B9"/>
    <w:rsid w:val="00CD7E39"/>
    <w:rsid w:val="00CE2EFB"/>
    <w:rsid w:val="00CE5A10"/>
    <w:rsid w:val="00CF2D6E"/>
    <w:rsid w:val="00CF59C5"/>
    <w:rsid w:val="00D02C78"/>
    <w:rsid w:val="00D02FD8"/>
    <w:rsid w:val="00D10832"/>
    <w:rsid w:val="00D11A3A"/>
    <w:rsid w:val="00D272B4"/>
    <w:rsid w:val="00D3104C"/>
    <w:rsid w:val="00D42152"/>
    <w:rsid w:val="00D422DC"/>
    <w:rsid w:val="00D43D89"/>
    <w:rsid w:val="00D50FDD"/>
    <w:rsid w:val="00D513E4"/>
    <w:rsid w:val="00D53B8E"/>
    <w:rsid w:val="00D56A51"/>
    <w:rsid w:val="00D602AC"/>
    <w:rsid w:val="00D70824"/>
    <w:rsid w:val="00D760A9"/>
    <w:rsid w:val="00D760CF"/>
    <w:rsid w:val="00D76756"/>
    <w:rsid w:val="00D80672"/>
    <w:rsid w:val="00D8335C"/>
    <w:rsid w:val="00D925B8"/>
    <w:rsid w:val="00D949D0"/>
    <w:rsid w:val="00DA3B66"/>
    <w:rsid w:val="00DA4453"/>
    <w:rsid w:val="00DA4D95"/>
    <w:rsid w:val="00DA6836"/>
    <w:rsid w:val="00DA733A"/>
    <w:rsid w:val="00DB2417"/>
    <w:rsid w:val="00DB491D"/>
    <w:rsid w:val="00DC05A3"/>
    <w:rsid w:val="00DC6A0C"/>
    <w:rsid w:val="00DE0CC7"/>
    <w:rsid w:val="00DE49B7"/>
    <w:rsid w:val="00E03DB3"/>
    <w:rsid w:val="00E04EB8"/>
    <w:rsid w:val="00E06757"/>
    <w:rsid w:val="00E126D5"/>
    <w:rsid w:val="00E1280F"/>
    <w:rsid w:val="00E178A3"/>
    <w:rsid w:val="00E17B2C"/>
    <w:rsid w:val="00E20DE4"/>
    <w:rsid w:val="00E26EA1"/>
    <w:rsid w:val="00E27DEF"/>
    <w:rsid w:val="00E30081"/>
    <w:rsid w:val="00E32578"/>
    <w:rsid w:val="00E32743"/>
    <w:rsid w:val="00E342C7"/>
    <w:rsid w:val="00E354F6"/>
    <w:rsid w:val="00E356BD"/>
    <w:rsid w:val="00E412D0"/>
    <w:rsid w:val="00E4317C"/>
    <w:rsid w:val="00E46889"/>
    <w:rsid w:val="00E519A2"/>
    <w:rsid w:val="00E53D4C"/>
    <w:rsid w:val="00E5571D"/>
    <w:rsid w:val="00E5677B"/>
    <w:rsid w:val="00E609ED"/>
    <w:rsid w:val="00E61AC1"/>
    <w:rsid w:val="00E63703"/>
    <w:rsid w:val="00E64DDC"/>
    <w:rsid w:val="00E704C6"/>
    <w:rsid w:val="00E77545"/>
    <w:rsid w:val="00E775AC"/>
    <w:rsid w:val="00E77A47"/>
    <w:rsid w:val="00E77B98"/>
    <w:rsid w:val="00E822DD"/>
    <w:rsid w:val="00E8471E"/>
    <w:rsid w:val="00E91E8C"/>
    <w:rsid w:val="00E93C87"/>
    <w:rsid w:val="00E942DA"/>
    <w:rsid w:val="00E94EF3"/>
    <w:rsid w:val="00E95336"/>
    <w:rsid w:val="00E959E9"/>
    <w:rsid w:val="00E95E00"/>
    <w:rsid w:val="00E97167"/>
    <w:rsid w:val="00EA5A14"/>
    <w:rsid w:val="00EA778F"/>
    <w:rsid w:val="00EB1611"/>
    <w:rsid w:val="00EB468A"/>
    <w:rsid w:val="00EC01E6"/>
    <w:rsid w:val="00EC3DC1"/>
    <w:rsid w:val="00EC4845"/>
    <w:rsid w:val="00EC6CC2"/>
    <w:rsid w:val="00ED1C27"/>
    <w:rsid w:val="00ED3D73"/>
    <w:rsid w:val="00ED3FA6"/>
    <w:rsid w:val="00ED5CDF"/>
    <w:rsid w:val="00ED6DCA"/>
    <w:rsid w:val="00EE1F30"/>
    <w:rsid w:val="00EF0944"/>
    <w:rsid w:val="00EF53CD"/>
    <w:rsid w:val="00EF7BE7"/>
    <w:rsid w:val="00F05141"/>
    <w:rsid w:val="00F07267"/>
    <w:rsid w:val="00F159E2"/>
    <w:rsid w:val="00F167CB"/>
    <w:rsid w:val="00F16AA1"/>
    <w:rsid w:val="00F2164E"/>
    <w:rsid w:val="00F22F9A"/>
    <w:rsid w:val="00F240EB"/>
    <w:rsid w:val="00F315FE"/>
    <w:rsid w:val="00F31FE6"/>
    <w:rsid w:val="00F409F6"/>
    <w:rsid w:val="00F40B12"/>
    <w:rsid w:val="00F45BB8"/>
    <w:rsid w:val="00F4739C"/>
    <w:rsid w:val="00F53F80"/>
    <w:rsid w:val="00F5697E"/>
    <w:rsid w:val="00F57625"/>
    <w:rsid w:val="00F6024C"/>
    <w:rsid w:val="00F673A2"/>
    <w:rsid w:val="00F67B89"/>
    <w:rsid w:val="00F71A10"/>
    <w:rsid w:val="00F72A3E"/>
    <w:rsid w:val="00F74B67"/>
    <w:rsid w:val="00F7577B"/>
    <w:rsid w:val="00F8348D"/>
    <w:rsid w:val="00F91726"/>
    <w:rsid w:val="00F92AA5"/>
    <w:rsid w:val="00FB307B"/>
    <w:rsid w:val="00FB3B53"/>
    <w:rsid w:val="00FB551B"/>
    <w:rsid w:val="00FC2947"/>
    <w:rsid w:val="00FC69D9"/>
    <w:rsid w:val="00FD28C1"/>
    <w:rsid w:val="00FD429E"/>
    <w:rsid w:val="00FD7412"/>
    <w:rsid w:val="00FE6F42"/>
    <w:rsid w:val="00FE7EF3"/>
    <w:rsid w:val="00FF1703"/>
    <w:rsid w:val="00FF1EF9"/>
    <w:rsid w:val="00FF2D3F"/>
    <w:rsid w:val="00FF69E1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465A6E"/>
    <w:pPr>
      <w:ind w:left="720"/>
      <w:contextualSpacing/>
    </w:pPr>
  </w:style>
  <w:style w:type="paragraph" w:styleId="berarbeitung">
    <w:name w:val="Revision"/>
    <w:hidden/>
    <w:uiPriority w:val="99"/>
    <w:semiHidden/>
    <w:rsid w:val="0091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2</cp:revision>
  <cp:lastPrinted>2022-03-30T15:12:00Z</cp:lastPrinted>
  <dcterms:created xsi:type="dcterms:W3CDTF">2024-10-02T15:00:00Z</dcterms:created>
  <dcterms:modified xsi:type="dcterms:W3CDTF">2024-10-02T15:00:00Z</dcterms:modified>
</cp:coreProperties>
</file>