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CL Pocket von SWAROVSKI OPTIK</w:t>
      </w:r>
    </w:p>
    <w:p w:rsidR="00000000" w:rsidDel="00000000" w:rsidP="00000000" w:rsidRDefault="00000000" w:rsidRPr="00000000" w14:paraId="00000002">
      <w:pPr>
        <w:spacing w:line="3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Die Natur in der Tasche</w:t>
        <w:br w:type="textWrapping"/>
      </w:r>
    </w:p>
    <w:p w:rsidR="00000000" w:rsidDel="00000000" w:rsidP="00000000" w:rsidRDefault="00000000" w:rsidRPr="00000000" w14:paraId="00000003">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„Das Gute ständig verbessern“ lautet der Leitsatz von SWAROVSKI OPTIK vom ersten Tag an. Bereits seit 1989 zählen Kompaktferngläser zu den erfolgreichsten Produkten des Tiroler Familienunternehmens und haben sich zu treuen und verlässlichen Begleitern für die unterschiedlichsten Anwendungen entwickelt. Mit der jüngsten Generation des CL Pocket hat SWAROVSKI OPTIK sein Erfolgsprodukt von Grund auf neu designed. Das CL Pocket ist ein faltbares Kompaktfernglas mit einzigartiger optischer Qualität. Es ist robust, bietet höchsten Sehkomfort und liegt perfekt in der Hand. Erhältlich ist der kleine, leistungsstarke Alleskönner ab 15. Februar 2021 im ausgewählten Fachhandel und im e-Shop auf SWAROVSKIOPTIK.com</w:t>
      </w:r>
    </w:p>
    <w:p w:rsidR="00000000" w:rsidDel="00000000" w:rsidP="00000000" w:rsidRDefault="00000000" w:rsidRPr="00000000" w14:paraId="00000004">
      <w:pPr>
        <w:spacing w:line="3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Einsatzmöglichkeiten des neuen CL Pocket sind nahezu unbegrenzt: vom entspannten Wandern, über anspruchsvolle Bergtouren bis hin zu abenteuerlichen Reisen  –  das Kompaktfernglas ist </w:t>
      </w:r>
      <w:r w:rsidDel="00000000" w:rsidR="00000000" w:rsidRPr="00000000">
        <w:rPr>
          <w:rFonts w:ascii="Calibri" w:cs="Calibri" w:eastAsia="Calibri" w:hAnsi="Calibri"/>
          <w:b w:val="1"/>
          <w:color w:val="000000"/>
          <w:sz w:val="22"/>
          <w:szCs w:val="22"/>
          <w:rtl w:val="0"/>
        </w:rPr>
        <w:t xml:space="preserve">Weltklasse in der Kompaktklasse</w:t>
      </w:r>
      <w:r w:rsidDel="00000000" w:rsidR="00000000" w:rsidRPr="00000000">
        <w:rPr>
          <w:rFonts w:ascii="Calibri" w:cs="Calibri" w:eastAsia="Calibri" w:hAnsi="Calibri"/>
          <w:color w:val="000000"/>
          <w:sz w:val="22"/>
          <w:szCs w:val="22"/>
          <w:rtl w:val="0"/>
        </w:rPr>
        <w:t xml:space="preserve"> und der ideale Begleiter für alle Naturbegeisterten. Die hochpräzise Optik gewährleistet entspanntes Beobachten ohne Ermüdung der Augen und liefert einzigartige Seherlebnisse bis ins kleinste Detail. Das Fernglas verfügt über ein grosses Sehfeld und ist zu 100 Prozent brillenträgertauglich. Die brillante Randschärfe und hohe Transmission erzeugen kontrastreiche, scharfe und farbechte Bilder für unvergessliche Beobachtungserlebnisse.</w:t>
      </w:r>
    </w:p>
    <w:p w:rsidR="00000000" w:rsidDel="00000000" w:rsidP="00000000" w:rsidRDefault="00000000" w:rsidRPr="00000000" w14:paraId="00000005">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Immer zur Hand</w:t>
      </w:r>
    </w:p>
    <w:p w:rsidR="00000000" w:rsidDel="00000000" w:rsidP="00000000" w:rsidRDefault="00000000" w:rsidRPr="00000000" w14:paraId="00000006">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Hoher Bedienkomfort durch ein intelligentes, ergonomisches Produktdesign sowie der griffige Gehäuseschutz garantieren ein angenehmes Beobachten. Mit nur 350 g und einer Länge von 110 mm spart das CL Pocket Volumen und Gewicht und passt in jede Tasche. Das moderne Design in den Farben grün oder anthrazit ermöglicht in Kombination mit den Zubehörpaketen ein individuelles Zusammenstellen des Produktes nach eigenen Wünschen.</w:t>
        <w:br w:type="textWrapping"/>
        <w:br w:type="textWrapping"/>
      </w:r>
      <w:r w:rsidDel="00000000" w:rsidR="00000000" w:rsidRPr="00000000">
        <w:rPr>
          <w:rFonts w:ascii="Calibri" w:cs="Calibri" w:eastAsia="Calibri" w:hAnsi="Calibri"/>
          <w:b w:val="1"/>
          <w:color w:val="000000"/>
          <w:sz w:val="22"/>
          <w:szCs w:val="22"/>
          <w:rtl w:val="0"/>
        </w:rPr>
        <w:t xml:space="preserve">Für draussen gebaut</w:t>
      </w:r>
    </w:p>
    <w:p w:rsidR="00000000" w:rsidDel="00000000" w:rsidP="00000000" w:rsidRDefault="00000000" w:rsidRPr="00000000" w14:paraId="00000007">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Die robuste Bauweise mit faltbarem Brückendesign und das stabile Aluminiumgehäuse schützen die fein justierte Optik, die Edelgasfüllung verhindert das Eintreten von Wasser und Staub in das Fernglas. Dank seiner Eigenschaften ist das CL Pocket bei richtiger Pflege ein äusserst langlebiges und damit nachhaltiges Produkt.</w:t>
      </w:r>
      <w:r w:rsidDel="00000000" w:rsidR="00000000" w:rsidRPr="00000000">
        <w:rPr>
          <w:rtl w:val="0"/>
        </w:rPr>
      </w:r>
    </w:p>
    <w:p w:rsidR="00000000" w:rsidDel="00000000" w:rsidP="00000000" w:rsidRDefault="00000000" w:rsidRPr="00000000" w14:paraId="00000008">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Protect what you love – optische Brillanz dank regelmässiger Reinigung</w:t>
      </w:r>
    </w:p>
    <w:p w:rsidR="00000000" w:rsidDel="00000000" w:rsidP="00000000" w:rsidRDefault="00000000" w:rsidRPr="00000000" w14:paraId="00000009">
      <w:pPr>
        <w:spacing w:line="3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neue CSO Linsenreinigungsset Optik ermöglicht eine gründliche und schonende Reinigung aller optischen Linsen und ist als Zubehör zum neuen CL Pocket erhältlich. Das Set besteht aus einem Linsenreiniger, einem Reinigungspinsel, einem Blasebalg und zwei Mikrofasertüchern, verpackt in einer hochwertigen Tasche. Die Mikrofasertücher und die Tasche sind bei 40° in der Waschmaschine waschbar. Die Glasflasche mit Linsenreiniger kann im ausgewählten Fachhandel wieder befüllt werden. Kunststoffe wurden grossteils durch alternative Materialien wie zum Beispiel Bambus oder Glas ersetzt.</w:t>
      </w:r>
    </w:p>
    <w:p w:rsidR="00000000" w:rsidDel="00000000" w:rsidP="00000000" w:rsidRDefault="00000000" w:rsidRPr="00000000" w14:paraId="0000000A">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Lieferumfang CL Pocket und unverbindliche Preisempfehlung</w:t>
      </w:r>
    </w:p>
    <w:p w:rsidR="00000000" w:rsidDel="00000000" w:rsidP="00000000" w:rsidRDefault="00000000" w:rsidRPr="00000000" w14:paraId="0000000B">
      <w:pPr>
        <w:spacing w:line="3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CL Pocket ist in den Vergrösserungen 8x25 oder 10x25 erhältlich. Im Lieferumfang enthalten sind eine Funktionstasche, ein Trageriemen, ein Mikrofasertuch sowie ein Okularschutzdeckel. Die unverbindliche Preisempfehlung (UVP) beträgt ab 780,- Euro.</w:t>
      </w:r>
    </w:p>
    <w:p w:rsidR="00000000" w:rsidDel="00000000" w:rsidP="00000000" w:rsidRDefault="00000000" w:rsidRPr="00000000" w14:paraId="0000000C">
      <w:pPr>
        <w:spacing w:line="3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Bildmaterial zur Pressemitteilung: </w:t>
      </w:r>
    </w:p>
    <w:p w:rsidR="00000000" w:rsidDel="00000000" w:rsidP="00000000" w:rsidRDefault="00000000" w:rsidRPr="00000000" w14:paraId="0000000D">
      <w:pPr>
        <w:spacing w:line="3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Unter </w:t>
      </w:r>
      <w:hyperlink r:id="rId7">
        <w:r w:rsidDel="00000000" w:rsidR="00000000" w:rsidRPr="00000000">
          <w:rPr>
            <w:color w:val="0000ff"/>
            <w:u w:val="single"/>
            <w:rtl w:val="0"/>
          </w:rPr>
          <w:t xml:space="preserve">https://mam.swarovski.com/pinaccess/showpin.do?pinCode=KXK4BL5NZYjK</w:t>
        </w:r>
      </w:hyperlink>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 steht Bildmaterial in hoher Auflösung zum Download bereit</w:t>
      </w:r>
    </w:p>
    <w:p w:rsidR="00000000" w:rsidDel="00000000" w:rsidP="00000000" w:rsidRDefault="00000000" w:rsidRPr="00000000" w14:paraId="0000000E">
      <w:pPr>
        <w:spacing w:line="30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pacing w:line="30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Welt gehört dem, der das Schöne sieht.</w:t>
        <w:br w:type="textWrapping"/>
        <w:t xml:space="preserve">Erlebe den Augenblick!</w:t>
        <w:br w:type="textWrapping"/>
        <w:t xml:space="preserve">SEE THE UNSEEN.</w:t>
        <w:br w:type="textWrapping"/>
        <w:t xml:space="preserve">www.swarovskioptik.com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40" w:lineRule="auto"/>
        <w:rPr>
          <w:rFonts w:ascii="Calibri" w:cs="Calibri" w:eastAsia="Calibri" w:hAnsi="Calibri"/>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SWAROVSKI OPTIK</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2019 lag der Umsatz bei 158,7 Mio. Euro (Vorjahr: 156,3 Mio. Euro) und die Exportquote bei 91%. Das Unternehmen beschäftigt ca. 980 Mitarbeiter.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40" w:lineRule="auto"/>
        <w:rPr>
          <w:rFonts w:ascii="Calibri" w:cs="Calibri" w:eastAsia="Calibri" w:hAnsi="Calibri"/>
          <w:color w:val="000000"/>
          <w:sz w:val="22"/>
          <w:szCs w:val="22"/>
          <w:u w:val="no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Informationen &amp; Kontakt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Kathrin Puelacher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Manager PR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Daniel-Swarovski-Straße 70</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6067 Absam, Austria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Tel.</w:t>
        <w:tab/>
        <w:t xml:space="preserve">+43 (0) 5223 / 511 6367</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Mobil: </w:t>
        <w:tab/>
        <w:t xml:space="preserve">+43 (0) 664 / 625 58 68</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u w:val="none"/>
        </w:rPr>
      </w:pPr>
      <w:r w:rsidDel="00000000" w:rsidR="00000000" w:rsidRPr="00000000">
        <w:rPr>
          <w:rFonts w:ascii="Calibri" w:cs="Calibri" w:eastAsia="Calibri" w:hAnsi="Calibri"/>
          <w:color w:val="000000"/>
          <w:sz w:val="18"/>
          <w:szCs w:val="18"/>
          <w:u w:val="none"/>
          <w:rtl w:val="0"/>
        </w:rPr>
        <w:t xml:space="preserve">kathrin.puelacher@swarovskioptik.com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u w:val="none"/>
        </w:rPr>
      </w:pPr>
      <w:r w:rsidDel="00000000" w:rsidR="00000000" w:rsidRPr="00000000">
        <w:rPr>
          <w:rFonts w:ascii="Calibri" w:cs="Calibri" w:eastAsia="Calibri" w:hAnsi="Calibri"/>
          <w:color w:val="000000"/>
          <w:sz w:val="18"/>
          <w:szCs w:val="18"/>
          <w:u w:val="none"/>
          <w:rtl w:val="0"/>
        </w:rPr>
        <w:t xml:space="preserve">SWAROVSKIOPTIK.COM</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18"/>
          <w:szCs w:val="18"/>
        </w:rPr>
      </w:pPr>
      <w:r w:rsidDel="00000000" w:rsidR="00000000" w:rsidRPr="00000000">
        <w:rPr>
          <w:rtl w:val="0"/>
        </w:rPr>
      </w:r>
    </w:p>
    <w:sectPr>
      <w:headerReference r:id="rId8" w:type="default"/>
      <w:footerReference r:id="rId9" w:type="default"/>
      <w:pgSz w:h="16838" w:w="11906" w:orient="portrait"/>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4c4c4c"/>
        <w:sz w:val="20"/>
        <w:szCs w:val="20"/>
        <w:u w:val="none"/>
        <w:shd w:fill="auto" w:val="clear"/>
        <w:vertAlign w:val="baseline"/>
      </w:rPr>
    </w:pPr>
    <w:r w:rsidDel="00000000" w:rsidR="00000000" w:rsidRPr="00000000">
      <w:rPr>
        <w:rFonts w:ascii="Arial" w:cs="Arial" w:eastAsia="Arial" w:hAnsi="Arial"/>
        <w:b w:val="0"/>
        <w:i w:val="0"/>
        <w:smallCaps w:val="0"/>
        <w:strike w:val="0"/>
        <w:color w:val="4c4c4c"/>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4c4c4c"/>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36"/>
        <w:tab w:val="right" w:pos="9072"/>
      </w:tabs>
      <w:spacing w:after="0" w:line="240" w:lineRule="auto"/>
      <w:rPr>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4433570</wp:posOffset>
          </wp:positionH>
          <wp:positionV relativeFrom="paragraph">
            <wp:posOffset>90805</wp:posOffset>
          </wp:positionV>
          <wp:extent cx="1219835" cy="93408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19835" cy="934085"/>
                  </a:xfrm>
                  <a:prstGeom prst="rect"/>
                  <a:ln/>
                </pic:spPr>
              </pic:pic>
            </a:graphicData>
          </a:graphic>
        </wp:anchor>
      </w:drawing>
    </w:r>
  </w:p>
  <w:p w:rsidR="00000000" w:rsidDel="00000000" w:rsidP="00000000" w:rsidRDefault="00000000" w:rsidRPr="00000000" w14:paraId="0000001E">
    <w:pPr>
      <w:tabs>
        <w:tab w:val="center" w:pos="4536"/>
        <w:tab w:val="right" w:pos="9072"/>
      </w:tabs>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F">
    <w:pPr>
      <w:tabs>
        <w:tab w:val="center" w:pos="4536"/>
        <w:tab w:val="right" w:pos="9072"/>
      </w:tabs>
      <w:spacing w:after="0" w:line="240" w:lineRule="auto"/>
      <w:rPr>
        <w:color w:val="000000"/>
        <w:sz w:val="28"/>
        <w:szCs w:val="28"/>
      </w:rPr>
    </w:pPr>
    <w:r w:rsidDel="00000000" w:rsidR="00000000" w:rsidRPr="00000000">
      <w:rPr>
        <w:color w:val="000000"/>
        <w:sz w:val="28"/>
        <w:szCs w:val="28"/>
        <w:rtl w:val="0"/>
      </w:rPr>
      <w:t xml:space="preserve">PRESSEMITTEILUNG</w:t>
      <w:br w:type="textWrapping"/>
    </w:r>
    <w:r w:rsidDel="00000000" w:rsidR="00000000" w:rsidRPr="00000000">
      <w:rPr>
        <w:color w:val="000000"/>
        <w:rtl w:val="0"/>
      </w:rPr>
      <w:br w:type="textWrapping"/>
      <w:t xml:space="preserve">SWAROVSKI OPTIK KG</w:t>
      <w:br w:type="textWrapping"/>
      <w:t xml:space="preserve">Absam, 14. Januar 2021</w:t>
    </w:r>
    <w:r w:rsidDel="00000000" w:rsidR="00000000" w:rsidRPr="00000000">
      <w:rPr>
        <w:rtl w:val="0"/>
      </w:rPr>
    </w:r>
  </w:p>
  <w:p w:rsidR="00000000" w:rsidDel="00000000" w:rsidP="00000000" w:rsidRDefault="00000000" w:rsidRPr="00000000" w14:paraId="00000020">
    <w:pPr>
      <w:tabs>
        <w:tab w:val="center" w:pos="4536"/>
        <w:tab w:val="right" w:pos="9072"/>
      </w:tabs>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4c4c4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4c4c4c"/>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4c4c"/>
        <w:lang w:val="de-A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2E4A87"/>
    <w:rPr>
      <w:rFonts w:ascii="Arial" w:cs="Arial" w:eastAsia="Times New Roman" w:hAnsi="Arial"/>
      <w:color w:val="4c4c4c"/>
      <w:sz w:val="20"/>
      <w:szCs w:val="18"/>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uiPriority w:val="99"/>
    <w:unhideWhenUsed w:val="1"/>
    <w:rsid w:val="002E4A87"/>
    <w:rPr>
      <w:color w:val="0000ff" w:themeColor="hyperlink"/>
      <w:u w:val="single"/>
    </w:rPr>
  </w:style>
  <w:style w:type="character" w:styleId="Kommentarzeichen">
    <w:name w:val="annotation reference"/>
    <w:basedOn w:val="Absatz-Standardschriftart"/>
    <w:uiPriority w:val="99"/>
    <w:semiHidden w:val="1"/>
    <w:unhideWhenUsed w:val="1"/>
    <w:rsid w:val="001222BC"/>
    <w:rPr>
      <w:sz w:val="16"/>
      <w:szCs w:val="16"/>
    </w:rPr>
  </w:style>
  <w:style w:type="paragraph" w:styleId="Kommentartext">
    <w:name w:val="annotation text"/>
    <w:basedOn w:val="Standard"/>
    <w:link w:val="KommentartextZchn"/>
    <w:uiPriority w:val="99"/>
    <w:unhideWhenUsed w:val="1"/>
    <w:rsid w:val="001222BC"/>
    <w:pPr>
      <w:spacing w:line="240" w:lineRule="auto"/>
    </w:pPr>
    <w:rPr>
      <w:szCs w:val="20"/>
    </w:rPr>
  </w:style>
  <w:style w:type="character" w:styleId="KommentartextZchn" w:customStyle="1">
    <w:name w:val="Kommentartext Zchn"/>
    <w:basedOn w:val="Absatz-Standardschriftart"/>
    <w:link w:val="Kommentartext"/>
    <w:uiPriority w:val="99"/>
    <w:rsid w:val="001222BC"/>
    <w:rPr>
      <w:rFonts w:ascii="Arial" w:cs="Arial" w:eastAsia="Times New Roman" w:hAnsi="Arial"/>
      <w:color w:val="4c4c4c"/>
      <w:sz w:val="20"/>
      <w:szCs w:val="20"/>
    </w:rPr>
  </w:style>
  <w:style w:type="paragraph" w:styleId="Kommentarthema">
    <w:name w:val="annotation subject"/>
    <w:basedOn w:val="Kommentartext"/>
    <w:next w:val="Kommentartext"/>
    <w:link w:val="KommentarthemaZchn"/>
    <w:uiPriority w:val="99"/>
    <w:semiHidden w:val="1"/>
    <w:unhideWhenUsed w:val="1"/>
    <w:rsid w:val="001222BC"/>
    <w:rPr>
      <w:b w:val="1"/>
      <w:bCs w:val="1"/>
    </w:rPr>
  </w:style>
  <w:style w:type="character" w:styleId="KommentarthemaZchn" w:customStyle="1">
    <w:name w:val="Kommentarthema Zchn"/>
    <w:basedOn w:val="KommentartextZchn"/>
    <w:link w:val="Kommentarthema"/>
    <w:uiPriority w:val="99"/>
    <w:semiHidden w:val="1"/>
    <w:rsid w:val="001222BC"/>
    <w:rPr>
      <w:rFonts w:ascii="Arial" w:cs="Arial" w:eastAsia="Times New Roman" w:hAnsi="Arial"/>
      <w:b w:val="1"/>
      <w:bCs w:val="1"/>
      <w:color w:val="4c4c4c"/>
      <w:sz w:val="20"/>
      <w:szCs w:val="20"/>
    </w:rPr>
  </w:style>
  <w:style w:type="paragraph" w:styleId="Sprechblasentext">
    <w:name w:val="Balloon Text"/>
    <w:basedOn w:val="Standard"/>
    <w:link w:val="SprechblasentextZchn"/>
    <w:uiPriority w:val="99"/>
    <w:semiHidden w:val="1"/>
    <w:unhideWhenUsed w:val="1"/>
    <w:rsid w:val="001222BC"/>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1222BC"/>
    <w:rPr>
      <w:rFonts w:ascii="Tahoma" w:cs="Tahoma" w:eastAsia="Times New Roman" w:hAnsi="Tahoma"/>
      <w:color w:val="4c4c4c"/>
      <w:sz w:val="16"/>
      <w:szCs w:val="16"/>
    </w:rPr>
  </w:style>
  <w:style w:type="paragraph" w:styleId="Kopfzeile">
    <w:name w:val="header"/>
    <w:basedOn w:val="Standard"/>
    <w:link w:val="KopfzeileZchn"/>
    <w:uiPriority w:val="99"/>
    <w:unhideWhenUsed w:val="1"/>
    <w:rsid w:val="00C1798F"/>
    <w:pPr>
      <w:tabs>
        <w:tab w:val="center" w:pos="4536"/>
        <w:tab w:val="right" w:pos="9072"/>
      </w:tabs>
      <w:spacing w:after="0" w:line="240" w:lineRule="auto"/>
    </w:pPr>
    <w:rPr>
      <w:rFonts w:ascii="Times New Roman" w:cs="Times New Roman" w:hAnsi="Times New Roman"/>
      <w:szCs w:val="20"/>
      <w:lang w:eastAsia="de-AT" w:val="de-DE"/>
    </w:rPr>
  </w:style>
  <w:style w:type="character" w:styleId="KopfzeileZchn" w:customStyle="1">
    <w:name w:val="Kopfzeile Zchn"/>
    <w:basedOn w:val="Absatz-Standardschriftart"/>
    <w:link w:val="Kopfzeile"/>
    <w:uiPriority w:val="99"/>
    <w:rsid w:val="00C1798F"/>
    <w:rPr>
      <w:rFonts w:ascii="Times New Roman" w:cs="Times New Roman" w:eastAsia="Times New Roman" w:hAnsi="Times New Roman"/>
      <w:color w:val="4c4c4c"/>
      <w:sz w:val="20"/>
      <w:szCs w:val="20"/>
      <w:lang w:eastAsia="de-AT" w:val="de-DE"/>
    </w:rPr>
  </w:style>
  <w:style w:type="paragraph" w:styleId="Fuzeile">
    <w:name w:val="footer"/>
    <w:basedOn w:val="Standard"/>
    <w:link w:val="FuzeileZchn"/>
    <w:uiPriority w:val="99"/>
    <w:unhideWhenUsed w:val="1"/>
    <w:rsid w:val="00C1798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C1798F"/>
    <w:rPr>
      <w:rFonts w:ascii="Arial" w:cs="Arial" w:eastAsia="Times New Roman" w:hAnsi="Arial"/>
      <w:color w:val="4c4c4c"/>
      <w:sz w:val="20"/>
      <w:szCs w:val="18"/>
    </w:rPr>
  </w:style>
  <w:style w:type="character" w:styleId="BesuchterLink">
    <w:name w:val="FollowedHyperlink"/>
    <w:basedOn w:val="Absatz-Standardschriftart"/>
    <w:uiPriority w:val="99"/>
    <w:semiHidden w:val="1"/>
    <w:unhideWhenUsed w:val="1"/>
    <w:rsid w:val="009D4166"/>
    <w:rPr>
      <w:color w:val="800080" w:themeColor="followedHyperlink"/>
      <w:u w:val="single"/>
    </w:rPr>
  </w:style>
  <w:style w:type="paragraph" w:styleId="KeinLeerraum">
    <w:name w:val="No Spacing"/>
    <w:uiPriority w:val="1"/>
    <w:qFormat w:val="1"/>
    <w:rsid w:val="00596361"/>
    <w:pPr>
      <w:spacing w:after="0" w:line="240" w:lineRule="auto"/>
    </w:pPr>
    <w:rPr>
      <w:rFonts w:eastAsiaTheme="minorEastAsia"/>
      <w:lang w:eastAsia="en-GB" w:val="en-GB"/>
    </w:rPr>
  </w:style>
  <w:style w:type="paragraph" w:styleId="berarbeitung">
    <w:name w:val="Revision"/>
    <w:hidden w:val="1"/>
    <w:uiPriority w:val="99"/>
    <w:semiHidden w:val="1"/>
    <w:rsid w:val="00B20695"/>
    <w:pPr>
      <w:spacing w:after="0" w:line="240" w:lineRule="auto"/>
    </w:pPr>
    <w:rPr>
      <w:rFonts w:ascii="Arial" w:cs="Arial" w:eastAsia="Times New Roman" w:hAnsi="Arial"/>
      <w:color w:val="4c4c4c"/>
      <w:sz w:val="20"/>
      <w:szCs w:val="18"/>
    </w:rPr>
  </w:style>
  <w:style w:type="paragraph" w:styleId="StandardWeb">
    <w:name w:val="Normal (Web)"/>
    <w:basedOn w:val="Standard"/>
    <w:uiPriority w:val="99"/>
    <w:semiHidden w:val="1"/>
    <w:unhideWhenUsed w:val="1"/>
    <w:rsid w:val="00E9294B"/>
    <w:pPr>
      <w:spacing w:after="100" w:afterAutospacing="1" w:before="100" w:beforeAutospacing="1" w:line="240" w:lineRule="auto"/>
    </w:pPr>
    <w:rPr>
      <w:rFonts w:ascii="Times New Roman" w:cs="Times New Roman" w:hAnsi="Times New Roman"/>
      <w:color w:val="auto"/>
      <w:sz w:val="24"/>
      <w:szCs w:val="24"/>
      <w:lang w:eastAsia="de-AT"/>
    </w:rPr>
  </w:style>
  <w:style w:type="character" w:styleId="NichtaufgelsteErwhnung">
    <w:name w:val="Unresolved Mention"/>
    <w:basedOn w:val="Absatz-Standardschriftart"/>
    <w:uiPriority w:val="99"/>
    <w:semiHidden w:val="1"/>
    <w:unhideWhenUsed w:val="1"/>
    <w:rsid w:val="00182BB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m.swarovski.com/pinaccess/showpin.do?pinCode=KXK4BL5NZYj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qOHs5sCHgDpuw2ISr2LTVKjsw==">AMUW2mUC+afty6v/xIlDckqjHpsmH1c6Ci8aZol0Ne1LDIkYLGytRzXarztUz+ryG6MZHClc0llOFXffXYSd+GFNNBPaTMMX8ZBZ5Fsj1MLy+dEqOqfa8Ho=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2020-12-09T13:47:00Z</dcterms:created>
  <dc:creator>Kalb Lydia</dc:creator>
</cp:coreProperties>
</file>