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rsidTr="00040684">
        <w:trPr>
          <w:trHeight w:hRule="exact" w:val="23"/>
        </w:trPr>
        <w:tc>
          <w:tcPr>
            <w:tcW w:w="3126" w:type="pct"/>
          </w:tcPr>
          <w:p w:rsidR="00FA2AA7" w:rsidRPr="0068214D" w:rsidRDefault="00FA2AA7" w:rsidP="004E6AAF">
            <w:pPr>
              <w:spacing w:line="240" w:lineRule="auto"/>
              <w:rPr>
                <w:sz w:val="4"/>
              </w:rPr>
            </w:pPr>
          </w:p>
        </w:tc>
        <w:tc>
          <w:tcPr>
            <w:tcW w:w="1874" w:type="pct"/>
            <w:vMerge w:val="restart"/>
          </w:tcPr>
          <w:p w:rsidR="00FA2AA7" w:rsidRDefault="00FA2AA7" w:rsidP="004E6AAF">
            <w:pPr>
              <w:pStyle w:val="Headertextsmall"/>
            </w:pPr>
          </w:p>
          <w:p w:rsidR="004E6AAF" w:rsidRDefault="004E6AAF" w:rsidP="004E6AAF">
            <w:pPr>
              <w:pStyle w:val="Headertextsmall"/>
              <w:spacing w:after="40"/>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4E6AAF">
            <w:pPr>
              <w:pStyle w:val="Headertextsmall"/>
            </w:pPr>
          </w:p>
          <w:p w:rsidR="00773DE1" w:rsidRPr="0068214D" w:rsidRDefault="00773DE1" w:rsidP="004E6AAF">
            <w:pPr>
              <w:pStyle w:val="Headertextsmall"/>
              <w:rPr>
                <w:sz w:val="18"/>
              </w:rPr>
            </w:pPr>
          </w:p>
          <w:p w:rsidR="003E1B2C" w:rsidRDefault="003E1B2C" w:rsidP="004E6AAF">
            <w:pPr>
              <w:pStyle w:val="Headertextsmall"/>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C53EDA">
            <w:pPr>
              <w:pStyle w:val="Classification"/>
            </w:pPr>
            <w:r w:rsidRPr="0068214D">
              <w:t xml:space="preserve"> </w:t>
            </w:r>
          </w:p>
        </w:tc>
      </w:tr>
      <w:tr w:rsidR="00FA2AA7" w:rsidRPr="0068214D" w:rsidTr="00040684">
        <w:trPr>
          <w:trHeight w:hRule="exact" w:val="663"/>
        </w:trPr>
        <w:tc>
          <w:tcPr>
            <w:tcW w:w="3126" w:type="pct"/>
            <w:tcBorders>
              <w:bottom w:val="nil"/>
            </w:tcBorders>
          </w:tcPr>
          <w:p w:rsidR="00FA2AA7" w:rsidRPr="0068214D" w:rsidRDefault="00FA2AA7" w:rsidP="004E6AAF">
            <w:pPr>
              <w:spacing w:line="160" w:lineRule="exact"/>
            </w:pPr>
          </w:p>
        </w:tc>
        <w:tc>
          <w:tcPr>
            <w:tcW w:w="1874" w:type="pct"/>
            <w:vMerge/>
            <w:tcBorders>
              <w:bottom w:val="nil"/>
            </w:tcBorders>
          </w:tcPr>
          <w:p w:rsidR="00FA2AA7" w:rsidRPr="0068214D" w:rsidRDefault="00FA2AA7" w:rsidP="004E6AAF">
            <w:pPr>
              <w:spacing w:line="180" w:lineRule="atLeast"/>
              <w:jc w:val="right"/>
              <w:rPr>
                <w:b/>
              </w:rPr>
            </w:pPr>
          </w:p>
        </w:tc>
      </w:tr>
      <w:tr w:rsidR="00FA2AA7" w:rsidRPr="0068214D" w:rsidTr="00040684">
        <w:trPr>
          <w:trHeight w:hRule="exact" w:val="1695"/>
        </w:trPr>
        <w:tc>
          <w:tcPr>
            <w:tcW w:w="3126" w:type="pct"/>
          </w:tcPr>
          <w:p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rsidR="00FA2AA7" w:rsidRPr="0068214D" w:rsidRDefault="00FA2AA7" w:rsidP="004E6AAF">
            <w:pPr>
              <w:spacing w:line="180" w:lineRule="atLeast"/>
              <w:jc w:val="right"/>
              <w:rPr>
                <w:sz w:val="14"/>
              </w:rPr>
            </w:pPr>
          </w:p>
        </w:tc>
      </w:tr>
      <w:tr w:rsidR="003E1B2C" w:rsidRPr="0068214D" w:rsidTr="00040684">
        <w:trPr>
          <w:trHeight w:hRule="exact" w:val="1191"/>
        </w:trPr>
        <w:tc>
          <w:tcPr>
            <w:tcW w:w="3126" w:type="pct"/>
          </w:tcPr>
          <w:p w:rsidR="003E1B2C" w:rsidRPr="0068214D" w:rsidRDefault="003E1B2C" w:rsidP="004E6AAF"/>
        </w:tc>
        <w:tc>
          <w:tcPr>
            <w:tcW w:w="1874" w:type="pct"/>
          </w:tcPr>
          <w:p w:rsidR="003E1B2C" w:rsidRPr="0068214D" w:rsidRDefault="003E1B2C" w:rsidP="004E6AAF">
            <w:pPr>
              <w:spacing w:line="180" w:lineRule="atLeast"/>
              <w:jc w:val="right"/>
              <w:rPr>
                <w:sz w:val="14"/>
              </w:rPr>
            </w:pPr>
          </w:p>
        </w:tc>
      </w:tr>
      <w:tr w:rsidR="0031158E" w:rsidRPr="009E12C1" w:rsidTr="00040684">
        <w:trPr>
          <w:trHeight w:val="227"/>
        </w:trPr>
        <w:tc>
          <w:tcPr>
            <w:tcW w:w="5000" w:type="pct"/>
            <w:gridSpan w:val="2"/>
          </w:tcPr>
          <w:p w:rsidR="0031158E" w:rsidRPr="005F6ADB" w:rsidRDefault="00EE5F87" w:rsidP="00115749">
            <w:pPr>
              <w:pStyle w:val="Titel"/>
              <w:framePr w:hSpace="0" w:wrap="auto" w:yAlign="inline"/>
              <w:suppressOverlap w:val="0"/>
              <w:rPr>
                <w:lang w:val="de-DE"/>
              </w:rPr>
            </w:pPr>
            <w:r w:rsidRPr="00EE5F87">
              <w:rPr>
                <w:lang w:val="de-DE"/>
              </w:rPr>
              <w:t xml:space="preserve">Die Besten der Baubranche: </w:t>
            </w:r>
            <w:proofErr w:type="spellStart"/>
            <w:r w:rsidRPr="00EE5F87">
              <w:rPr>
                <w:lang w:val="de-DE"/>
              </w:rPr>
              <w:t>dormakaba</w:t>
            </w:r>
            <w:proofErr w:type="spellEnd"/>
            <w:r w:rsidRPr="00EE5F87">
              <w:rPr>
                <w:lang w:val="de-DE"/>
              </w:rPr>
              <w:t xml:space="preserve"> mit dem </w:t>
            </w:r>
            <w:proofErr w:type="spellStart"/>
            <w:r w:rsidRPr="00EE5F87">
              <w:rPr>
                <w:lang w:val="de-DE"/>
              </w:rPr>
              <w:t>Architects</w:t>
            </w:r>
            <w:proofErr w:type="spellEnd"/>
            <w:r w:rsidRPr="00EE5F87">
              <w:rPr>
                <w:lang w:val="de-DE"/>
              </w:rPr>
              <w:t>‘ Darling 2018 in Gold ausgezeichnet</w:t>
            </w:r>
            <w:r w:rsidR="005F6ADB" w:rsidRPr="005F6ADB">
              <w:rPr>
                <w:lang w:val="de-DE"/>
              </w:rPr>
              <w:t xml:space="preserve"> </w:t>
            </w:r>
            <w:r w:rsidR="005227A5" w:rsidRPr="005F6ADB">
              <w:rPr>
                <w:lang w:val="de-DE"/>
              </w:rPr>
              <w:t xml:space="preserve"> </w:t>
            </w:r>
            <w:r w:rsidR="00115749" w:rsidRPr="005F6ADB">
              <w:rPr>
                <w:lang w:val="de-DE"/>
              </w:rPr>
              <w:t xml:space="preserve"> </w:t>
            </w:r>
          </w:p>
        </w:tc>
      </w:tr>
      <w:tr w:rsidR="0031158E" w:rsidRPr="009E12C1" w:rsidTr="00040684">
        <w:trPr>
          <w:trHeight w:val="340"/>
        </w:trPr>
        <w:tc>
          <w:tcPr>
            <w:tcW w:w="5000" w:type="pct"/>
            <w:gridSpan w:val="2"/>
          </w:tcPr>
          <w:p w:rsidR="0031158E" w:rsidRPr="005F6ADB" w:rsidRDefault="0031158E" w:rsidP="0031158E">
            <w:pPr>
              <w:rPr>
                <w:lang w:val="de-DE"/>
              </w:rPr>
            </w:pPr>
          </w:p>
        </w:tc>
      </w:tr>
    </w:tbl>
    <w:p w:rsidR="005227A5" w:rsidRDefault="005227A5" w:rsidP="00677B81">
      <w:pPr>
        <w:rPr>
          <w:lang w:val="de-DE"/>
        </w:rPr>
      </w:pPr>
      <w:r>
        <w:rPr>
          <w:lang w:val="de-DE"/>
        </w:rPr>
        <w:t>Ennepetal</w:t>
      </w:r>
      <w:r w:rsidR="00562835" w:rsidRPr="00705198">
        <w:rPr>
          <w:lang w:val="de-DE"/>
        </w:rPr>
        <w:t xml:space="preserve">, </w:t>
      </w:r>
      <w:r w:rsidR="0021482D">
        <w:rPr>
          <w:lang w:val="de-DE"/>
        </w:rPr>
        <w:t>21</w:t>
      </w:r>
      <w:r w:rsidR="00EF7953">
        <w:rPr>
          <w:lang w:val="de-DE"/>
        </w:rPr>
        <w:t>.</w:t>
      </w:r>
      <w:r w:rsidR="001F13E3">
        <w:rPr>
          <w:lang w:val="de-DE"/>
        </w:rPr>
        <w:t>1</w:t>
      </w:r>
      <w:r w:rsidR="0021482D">
        <w:rPr>
          <w:lang w:val="de-DE"/>
        </w:rPr>
        <w:t>1</w:t>
      </w:r>
      <w:r w:rsidR="00EF7953">
        <w:rPr>
          <w:lang w:val="de-DE"/>
        </w:rPr>
        <w:t>.</w:t>
      </w:r>
      <w:r w:rsidR="002935CE">
        <w:rPr>
          <w:lang w:val="de-DE"/>
        </w:rPr>
        <w:t>201</w:t>
      </w:r>
      <w:r w:rsidR="00E36067">
        <w:rPr>
          <w:lang w:val="de-DE"/>
        </w:rPr>
        <w:t>8</w:t>
      </w:r>
      <w:r w:rsidR="0051483F">
        <w:rPr>
          <w:lang w:val="de-DE"/>
        </w:rPr>
        <w:t xml:space="preserve"> </w:t>
      </w:r>
      <w:r w:rsidR="00562835" w:rsidRPr="00705198">
        <w:rPr>
          <w:lang w:val="de-DE"/>
        </w:rPr>
        <w:t>–</w:t>
      </w:r>
      <w:r w:rsidR="00677B81" w:rsidRPr="00677B81">
        <w:rPr>
          <w:lang w:val="de-DE"/>
        </w:rPr>
        <w:t xml:space="preserve"> </w:t>
      </w:r>
      <w:r w:rsidR="0021482D" w:rsidRPr="0021482D">
        <w:rPr>
          <w:lang w:val="de-DE"/>
        </w:rPr>
        <w:t xml:space="preserve">Der Heinze ARCHITECTS´ DARLING®, die bundesweit größte Branchenbefragung, steht seit vielen Jahren für die Anerkennung von Unternehmen aus der Bauindustrie. An der Umfrage nahmen dieses Jahr erstmalig über 2.100 Architekten und Planer teil. Zu den ausgezeichneten Unternehmen gehörte auch </w:t>
      </w:r>
      <w:proofErr w:type="spellStart"/>
      <w:r w:rsidR="0021482D" w:rsidRPr="0021482D">
        <w:rPr>
          <w:lang w:val="de-DE"/>
        </w:rPr>
        <w:t>dormakaba</w:t>
      </w:r>
      <w:proofErr w:type="spellEnd"/>
      <w:r w:rsidR="0021482D" w:rsidRPr="0021482D">
        <w:rPr>
          <w:lang w:val="de-DE"/>
        </w:rPr>
        <w:t xml:space="preserve">, das mit 2x Gold, 1 x Silber und 2 x Bronze gleich mehrfach geehrt wurde. </w:t>
      </w:r>
    </w:p>
    <w:p w:rsidR="00D95875" w:rsidRDefault="00D95875" w:rsidP="00562835">
      <w:pPr>
        <w:rPr>
          <w:lang w:val="de-DE"/>
        </w:rPr>
      </w:pPr>
    </w:p>
    <w:p w:rsidR="00236A34" w:rsidRDefault="00236A34" w:rsidP="00562835">
      <w:pPr>
        <w:rPr>
          <w:lang w:val="de-DE"/>
        </w:rPr>
      </w:pPr>
    </w:p>
    <w:p w:rsidR="005F6ADB" w:rsidRDefault="0021482D" w:rsidP="00562835">
      <w:pPr>
        <w:rPr>
          <w:lang w:val="de-DE"/>
        </w:rPr>
      </w:pPr>
      <w:r w:rsidRPr="0021482D">
        <w:rPr>
          <w:lang w:val="de-DE"/>
        </w:rPr>
        <w:t xml:space="preserve">So erhielt </w:t>
      </w:r>
      <w:proofErr w:type="spellStart"/>
      <w:r w:rsidRPr="0021482D">
        <w:rPr>
          <w:lang w:val="de-DE"/>
        </w:rPr>
        <w:t>dormakaba</w:t>
      </w:r>
      <w:proofErr w:type="spellEnd"/>
      <w:r w:rsidRPr="0021482D">
        <w:rPr>
          <w:lang w:val="de-DE"/>
        </w:rPr>
        <w:t xml:space="preserve"> die Gold Trophäe in der Kategorie „Türen und Türtechnik“ sowie im Bereich „beste Produkt-Innovation Technik“ für die batteriebetriebene Feststellanlage G-</w:t>
      </w:r>
      <w:proofErr w:type="spellStart"/>
      <w:r w:rsidRPr="0021482D">
        <w:rPr>
          <w:lang w:val="de-DE"/>
        </w:rPr>
        <w:t>Ubivis</w:t>
      </w:r>
      <w:proofErr w:type="spellEnd"/>
      <w:r w:rsidRPr="0021482D">
        <w:rPr>
          <w:lang w:val="de-DE"/>
        </w:rPr>
        <w:t>. Silber gewann der Film #</w:t>
      </w:r>
      <w:proofErr w:type="spellStart"/>
      <w:r w:rsidRPr="0021482D">
        <w:rPr>
          <w:lang w:val="de-DE"/>
        </w:rPr>
        <w:t>moveforward</w:t>
      </w:r>
      <w:proofErr w:type="spellEnd"/>
      <w:r w:rsidRPr="0021482D">
        <w:rPr>
          <w:lang w:val="de-DE"/>
        </w:rPr>
        <w:t xml:space="preserve"> über die Initiative zur Barrierefreiheit in der Kategorie „Bester Film“. In den Kategorien „Barrierefreiheit“ und „Beschläge“ errang </w:t>
      </w:r>
      <w:proofErr w:type="spellStart"/>
      <w:r w:rsidRPr="0021482D">
        <w:rPr>
          <w:lang w:val="de-DE"/>
        </w:rPr>
        <w:t>dormakaba</w:t>
      </w:r>
      <w:proofErr w:type="spellEnd"/>
      <w:r w:rsidRPr="0021482D">
        <w:rPr>
          <w:lang w:val="de-DE"/>
        </w:rPr>
        <w:t xml:space="preserve"> Bronze. Stolz nahm Michael Wiegand, </w:t>
      </w:r>
      <w:proofErr w:type="spellStart"/>
      <w:r w:rsidRPr="0021482D">
        <w:rPr>
          <w:lang w:val="de-DE"/>
        </w:rPr>
        <w:t>Vice</w:t>
      </w:r>
      <w:proofErr w:type="spellEnd"/>
      <w:r w:rsidRPr="0021482D">
        <w:rPr>
          <w:lang w:val="de-DE"/>
        </w:rPr>
        <w:t xml:space="preserve"> </w:t>
      </w:r>
      <w:proofErr w:type="spellStart"/>
      <w:r w:rsidRPr="0021482D">
        <w:rPr>
          <w:lang w:val="de-DE"/>
        </w:rPr>
        <w:t>President</w:t>
      </w:r>
      <w:proofErr w:type="spellEnd"/>
      <w:r w:rsidRPr="0021482D">
        <w:rPr>
          <w:lang w:val="de-DE"/>
        </w:rPr>
        <w:t xml:space="preserve"> Marketing Access Solutions DACH bei </w:t>
      </w:r>
      <w:proofErr w:type="spellStart"/>
      <w:r w:rsidRPr="0021482D">
        <w:rPr>
          <w:lang w:val="de-DE"/>
        </w:rPr>
        <w:t>dormakaba</w:t>
      </w:r>
      <w:proofErr w:type="spellEnd"/>
      <w:r w:rsidRPr="0021482D">
        <w:rPr>
          <w:lang w:val="de-DE"/>
        </w:rPr>
        <w:t xml:space="preserve"> die begehrten Trophäen in Empfang: „Im Namen von </w:t>
      </w:r>
      <w:proofErr w:type="spellStart"/>
      <w:r w:rsidRPr="0021482D">
        <w:rPr>
          <w:lang w:val="de-DE"/>
        </w:rPr>
        <w:t>dormakaba</w:t>
      </w:r>
      <w:proofErr w:type="spellEnd"/>
      <w:r w:rsidRPr="0021482D">
        <w:rPr>
          <w:lang w:val="de-DE"/>
        </w:rPr>
        <w:t xml:space="preserve"> bedanke ich mich herzlich für das Vertrauen unserer Kunden und die Auszeichnung der Jury. Für uns drückt der </w:t>
      </w:r>
      <w:proofErr w:type="spellStart"/>
      <w:r w:rsidRPr="0021482D">
        <w:rPr>
          <w:lang w:val="de-DE"/>
        </w:rPr>
        <w:t>Architects</w:t>
      </w:r>
      <w:proofErr w:type="spellEnd"/>
      <w:r w:rsidRPr="0021482D">
        <w:rPr>
          <w:lang w:val="de-DE"/>
        </w:rPr>
        <w:t xml:space="preserve"> Darling zwei Dinge aus: er ist zum einen Anerkennung für bereits Geleistetes und zum anderen ein starker Ansporn uns täglich zu verbessern – für unsere Kunden.“ </w:t>
      </w:r>
    </w:p>
    <w:p w:rsidR="0021482D" w:rsidRDefault="0021482D" w:rsidP="00562835">
      <w:pPr>
        <w:rPr>
          <w:lang w:val="de-DE"/>
        </w:rPr>
      </w:pPr>
    </w:p>
    <w:p w:rsidR="00DE16DB" w:rsidRPr="00DE16DB" w:rsidRDefault="0021482D" w:rsidP="00DE16DB">
      <w:pPr>
        <w:rPr>
          <w:lang w:val="de-DE"/>
        </w:rPr>
      </w:pPr>
      <w:r w:rsidRPr="0021482D">
        <w:rPr>
          <w:lang w:val="de-DE"/>
        </w:rPr>
        <w:t xml:space="preserve">Die Jury bestehend aus Kommunikationsexperten sowie namhaften Vertretern internationaler Top-Architekturbüros bewerteten in diesem Jahr 23 Produktbereiche, von Fassaden über Barrierefreiheit bis hin zu Wärmedämmverbundsystemen und Architektensoftware. Darüber hinaus wurden 12 Themen-Awards bewertet. </w:t>
      </w:r>
      <w:bookmarkStart w:id="0" w:name="_Hlk526756431"/>
    </w:p>
    <w:p w:rsidR="00DE16DB" w:rsidRPr="00410325" w:rsidRDefault="00DE16DB" w:rsidP="00410325">
      <w:pPr>
        <w:rPr>
          <w:lang w:val="de-DE"/>
        </w:rPr>
      </w:pPr>
    </w:p>
    <w:bookmarkEnd w:id="0"/>
    <w:p w:rsidR="00D242CA" w:rsidRDefault="00D242CA" w:rsidP="007A3A23">
      <w:pPr>
        <w:rPr>
          <w:lang w:val="de-DE"/>
        </w:rPr>
      </w:pPr>
    </w:p>
    <w:p w:rsidR="003809C4" w:rsidRPr="003809C4" w:rsidRDefault="003809C4" w:rsidP="003809C4">
      <w:pPr>
        <w:rPr>
          <w:u w:val="single"/>
          <w:lang w:val="de-DE"/>
        </w:rPr>
      </w:pPr>
      <w:r w:rsidRPr="003809C4">
        <w:rPr>
          <w:u w:val="single"/>
          <w:lang w:val="de-DE"/>
        </w:rPr>
        <w:t>Bildunterschrift:</w:t>
      </w:r>
    </w:p>
    <w:p w:rsidR="003809C4" w:rsidRPr="003809C4" w:rsidRDefault="0021482D" w:rsidP="003809C4">
      <w:pPr>
        <w:rPr>
          <w:lang w:val="de-DE"/>
        </w:rPr>
      </w:pPr>
      <w:r>
        <w:rPr>
          <w:lang w:val="de-DE"/>
        </w:rPr>
        <w:t xml:space="preserve">Michael Wiegand und Lothar Piehl nehmen den Preis in Empfang. </w:t>
      </w:r>
      <w:r w:rsidR="00236A34">
        <w:rPr>
          <w:lang w:val="de-DE"/>
        </w:rPr>
        <w:t xml:space="preserve"> </w:t>
      </w:r>
    </w:p>
    <w:p w:rsidR="005227A5" w:rsidRPr="009A410B" w:rsidRDefault="009E12C1" w:rsidP="003809C4">
      <w:pPr>
        <w:rPr>
          <w:lang w:val="de-DE"/>
        </w:rPr>
      </w:pPr>
      <w:r>
        <w:rPr>
          <w:lang w:val="de-DE"/>
        </w:rPr>
        <w:t>Foto: Fotografie</w:t>
      </w:r>
      <w:bookmarkStart w:id="1" w:name="_GoBack"/>
      <w:bookmarkEnd w:id="1"/>
      <w:r>
        <w:rPr>
          <w:lang w:val="de-DE"/>
        </w:rPr>
        <w:t xml:space="preserve"> Roman Thomas</w:t>
      </w:r>
    </w:p>
    <w:p w:rsidR="005227A5" w:rsidRPr="009A410B" w:rsidRDefault="005227A5" w:rsidP="007A3A23">
      <w:pPr>
        <w:rPr>
          <w:lang w:val="de-DE"/>
        </w:rPr>
      </w:pPr>
    </w:p>
    <w:p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rsidR="00566625" w:rsidRPr="002E3238" w:rsidRDefault="002E3238" w:rsidP="00566625">
      <w:pPr>
        <w:rPr>
          <w:lang w:val="de-DE"/>
        </w:rPr>
      </w:pPr>
      <w:r w:rsidRPr="002E3238">
        <w:rPr>
          <w:lang w:val="de-DE"/>
        </w:rPr>
        <w:tab/>
      </w:r>
      <w:r w:rsidR="00E8419C">
        <w:rPr>
          <w:lang w:val="de-DE"/>
        </w:rPr>
        <w:t>Presse- und Öffentlichkeitsarbeit</w:t>
      </w:r>
    </w:p>
    <w:p w:rsidR="00E8419C" w:rsidRDefault="00566625" w:rsidP="00566625">
      <w:pPr>
        <w:rPr>
          <w:lang w:val="de-DE"/>
        </w:rPr>
      </w:pPr>
      <w:r w:rsidRPr="002E3238">
        <w:rPr>
          <w:lang w:val="de-DE"/>
        </w:rPr>
        <w:tab/>
      </w:r>
      <w:r w:rsidR="00E8419C">
        <w:rPr>
          <w:lang w:val="de-DE"/>
        </w:rPr>
        <w:t>T: +49 6103 9907 455</w:t>
      </w:r>
    </w:p>
    <w:p w:rsidR="007C7CCA" w:rsidRDefault="00566625" w:rsidP="00566625">
      <w:pPr>
        <w:rPr>
          <w:lang w:val="de-DE"/>
        </w:rPr>
      </w:pPr>
      <w:r w:rsidRPr="00FE31BA">
        <w:rPr>
          <w:lang w:val="de-DE"/>
        </w:rPr>
        <w:tab/>
      </w:r>
      <w:hyperlink r:id="rId7" w:history="1">
        <w:r w:rsidR="0021482D" w:rsidRPr="00A51320">
          <w:rPr>
            <w:rStyle w:val="Hyperlink"/>
            <w:lang w:val="de-DE"/>
          </w:rPr>
          <w:t>petra.eisenbeis-trinkle@dormakaba.com</w:t>
        </w:r>
      </w:hyperlink>
    </w:p>
    <w:p w:rsidR="0021482D" w:rsidRPr="0021482D" w:rsidRDefault="0021482D" w:rsidP="00566625">
      <w:pPr>
        <w:rPr>
          <w:lang w:val="de-DE"/>
        </w:rPr>
      </w:pPr>
    </w:p>
    <w:p w:rsidR="001F13E3" w:rsidRPr="009E12C1" w:rsidRDefault="001F13E3" w:rsidP="001F13E3">
      <w:pPr>
        <w:rPr>
          <w:lang w:val="de-DE"/>
        </w:rPr>
      </w:pPr>
    </w:p>
    <w:p w:rsidR="001F13E3" w:rsidRPr="001F13E3" w:rsidRDefault="001F13E3" w:rsidP="001F13E3">
      <w:pPr>
        <w:rPr>
          <w:lang w:val="de-DE"/>
        </w:rPr>
      </w:pPr>
    </w:p>
    <w:p w:rsidR="0075272C" w:rsidRDefault="0075272C" w:rsidP="0075272C">
      <w:pPr>
        <w:rPr>
          <w:b/>
          <w:lang w:val="de-DE"/>
        </w:rPr>
      </w:pPr>
    </w:p>
    <w:p w:rsidR="0075272C" w:rsidRPr="0075272C" w:rsidRDefault="0075272C" w:rsidP="0075272C">
      <w:pPr>
        <w:rPr>
          <w:b/>
          <w:lang w:val="de-DE"/>
        </w:rPr>
      </w:pPr>
      <w:proofErr w:type="spellStart"/>
      <w:r w:rsidRPr="0075272C">
        <w:rPr>
          <w:b/>
          <w:lang w:val="de-DE"/>
        </w:rPr>
        <w:t>dormakaba</w:t>
      </w:r>
      <w:proofErr w:type="spellEnd"/>
      <w:r w:rsidRPr="0075272C">
        <w:rPr>
          <w:b/>
          <w:lang w:val="de-DE"/>
        </w:rPr>
        <w:t xml:space="preserve"> Gruppe</w:t>
      </w:r>
    </w:p>
    <w:p w:rsidR="0075272C" w:rsidRPr="0075272C" w:rsidRDefault="0075272C" w:rsidP="0075272C">
      <w:pPr>
        <w:rPr>
          <w:lang w:val="de-DE"/>
        </w:rPr>
      </w:pPr>
      <w:proofErr w:type="spellStart"/>
      <w:r w:rsidRPr="0075272C">
        <w:rPr>
          <w:lang w:val="de-DE"/>
        </w:rPr>
        <w:t>dormakaba</w:t>
      </w:r>
      <w:proofErr w:type="spellEnd"/>
      <w:r w:rsidRPr="0075272C">
        <w:rPr>
          <w:lang w:val="de-DE"/>
        </w:rPr>
        <w:t xml:space="preserve"> macht Zutritt im Leben smart und sicher. Als eines der Top-3-Unternehmen der Industrie, ist</w:t>
      </w:r>
      <w:r>
        <w:rPr>
          <w:lang w:val="de-DE"/>
        </w:rPr>
        <w:t xml:space="preserve"> </w:t>
      </w:r>
      <w:proofErr w:type="spellStart"/>
      <w:r w:rsidRPr="0075272C">
        <w:rPr>
          <w:lang w:val="de-DE"/>
        </w:rPr>
        <w:t>dormakaba</w:t>
      </w:r>
      <w:proofErr w:type="spellEnd"/>
      <w:r w:rsidRPr="0075272C">
        <w:rPr>
          <w:lang w:val="de-DE"/>
        </w:rPr>
        <w:t xml:space="preserve"> der vertrauenswürdige Partner für Produkte, Lösungen und Services für Zutritt zu Gebäuden und</w:t>
      </w:r>
      <w:r>
        <w:rPr>
          <w:lang w:val="de-DE"/>
        </w:rPr>
        <w:t xml:space="preserve"> </w:t>
      </w:r>
      <w:r w:rsidRPr="0075272C">
        <w:rPr>
          <w:lang w:val="de-DE"/>
        </w:rPr>
        <w:t>Räumen aus einer Hand. Mit starken Marken wie Dorma, Kaba und Best im Portfolio ist das Unternehmen</w:t>
      </w:r>
    </w:p>
    <w:p w:rsidR="0075272C" w:rsidRPr="0075272C" w:rsidRDefault="0075272C" w:rsidP="0075272C">
      <w:pPr>
        <w:rPr>
          <w:lang w:val="de-DE"/>
        </w:rPr>
      </w:pPr>
      <w:r w:rsidRPr="0075272C">
        <w:rPr>
          <w:lang w:val="de-DE"/>
        </w:rPr>
        <w:t>zusammen mit zahlreichen Kooperationspartnern in über 130 Ländern weltweit vertreten.</w:t>
      </w:r>
    </w:p>
    <w:p w:rsidR="002E3238" w:rsidRDefault="0075272C" w:rsidP="002E3238">
      <w:pPr>
        <w:rPr>
          <w:lang w:val="de-DE"/>
        </w:rPr>
      </w:pPr>
      <w:proofErr w:type="spellStart"/>
      <w:r w:rsidRPr="0075272C">
        <w:rPr>
          <w:lang w:val="de-DE"/>
        </w:rPr>
        <w:t>dormakaba</w:t>
      </w:r>
      <w:proofErr w:type="spellEnd"/>
      <w:r w:rsidRPr="0075272C">
        <w:rPr>
          <w:lang w:val="de-DE"/>
        </w:rPr>
        <w:t xml:space="preserve">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16 000 Mitarbeitenden einen Umsatz von über CHF 2.8 Mrd. im Geschäftsjahr</w:t>
      </w:r>
      <w:r>
        <w:rPr>
          <w:lang w:val="de-DE"/>
        </w:rPr>
        <w:t xml:space="preserve"> 2017/2018.</w:t>
      </w:r>
    </w:p>
    <w:p w:rsidR="0075272C" w:rsidRDefault="0075272C" w:rsidP="002E3238">
      <w:pPr>
        <w:rPr>
          <w:rFonts w:ascii="Arial" w:hAnsi="Arial" w:cs="Arial"/>
          <w:lang w:val="de-CH"/>
        </w:rPr>
      </w:pPr>
    </w:p>
    <w:p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8" w:history="1">
        <w:r w:rsidRPr="001E2AE3">
          <w:rPr>
            <w:rFonts w:ascii="Arial" w:hAnsi="Arial" w:cs="Arial"/>
            <w:lang w:val="de-CH"/>
          </w:rPr>
          <w:t>www.dormakaba.com</w:t>
        </w:r>
      </w:hyperlink>
    </w:p>
    <w:p w:rsidR="00566625" w:rsidRDefault="00566625" w:rsidP="00566625">
      <w:pPr>
        <w:spacing w:after="560"/>
      </w:pPr>
      <w:r>
        <w:rPr>
          <w:noProof/>
          <w:lang w:val="de-DE" w:eastAsia="de-DE"/>
        </w:rPr>
        <mc:AlternateContent>
          <mc:Choice Requires="wps">
            <w:drawing>
              <wp:inline distT="0" distB="0" distL="0" distR="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24208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9"/>
      <w:footerReference w:type="default" r:id="rId10"/>
      <w:headerReference w:type="first" r:id="rId11"/>
      <w:footerReference w:type="first" r:id="rId12"/>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3A1" w:rsidRDefault="008153A1" w:rsidP="00E207FD">
      <w:pPr>
        <w:spacing w:line="240" w:lineRule="auto"/>
      </w:pPr>
      <w:r>
        <w:separator/>
      </w:r>
    </w:p>
  </w:endnote>
  <w:endnote w:type="continuationSeparator" w:id="0">
    <w:p w:rsidR="008153A1" w:rsidRDefault="008153A1"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3A1" w:rsidRDefault="008153A1" w:rsidP="00E207FD">
      <w:pPr>
        <w:spacing w:line="240" w:lineRule="auto"/>
      </w:pPr>
      <w:r>
        <w:separator/>
      </w:r>
    </w:p>
  </w:footnote>
  <w:footnote w:type="continuationSeparator" w:id="0">
    <w:p w:rsidR="008153A1" w:rsidRDefault="008153A1"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AD" w:rsidRPr="00AD06AD"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AD06AD" w:rsidTr="00FB5C11">
      <w:tc>
        <w:tcPr>
          <w:tcW w:w="3544" w:type="dxa"/>
        </w:tcPr>
        <w:p w:rsidR="00AD06AD" w:rsidRDefault="00AD06AD">
          <w:pPr>
            <w:pStyle w:val="Kopfzeile"/>
          </w:pPr>
        </w:p>
      </w:tc>
      <w:tc>
        <w:tcPr>
          <w:tcW w:w="1276" w:type="dxa"/>
        </w:tcPr>
        <w:p w:rsidR="00AD06AD" w:rsidRDefault="00AD06AD" w:rsidP="00773DE1">
          <w:pPr>
            <w:pStyle w:val="Kopfzeile"/>
            <w:jc w:val="right"/>
          </w:pPr>
        </w:p>
      </w:tc>
      <w:tc>
        <w:tcPr>
          <w:tcW w:w="1171" w:type="dxa"/>
        </w:tcPr>
        <w:p w:rsidR="00AD06AD" w:rsidRDefault="00AD06AD" w:rsidP="00773DE1">
          <w:pPr>
            <w:pStyle w:val="Kopfzeile"/>
            <w:jc w:val="right"/>
          </w:pPr>
        </w:p>
      </w:tc>
      <w:sdt>
        <w:sdtPr>
          <w:alias w:val="Logo"/>
          <w:tag w:val="Logo"/>
          <w:id w:val="51892273"/>
          <w:lock w:val="sdtLocked"/>
          <w:docPartList>
            <w:docPartGallery w:val="Custom AutoText"/>
            <w:docPartCategory w:val="Logo"/>
          </w:docPartList>
        </w:sdtPr>
        <w:sdtEndPr/>
        <w:sdtContent>
          <w:tc>
            <w:tcPr>
              <w:tcW w:w="3302" w:type="dxa"/>
            </w:tcPr>
            <w:p w:rsidR="00AD06AD" w:rsidRDefault="00AD06AD" w:rsidP="00C05C5B">
              <w:pPr>
                <w:pStyle w:val="Kopfzeile"/>
                <w:jc w:val="right"/>
              </w:pPr>
              <w:r>
                <w:rPr>
                  <w:noProof/>
                  <w:lang w:val="de-DE" w:eastAsia="de-DE"/>
                </w:rPr>
                <w:drawing>
                  <wp:inline distT="0" distB="0" distL="0" distR="0" wp14:anchorId="7F875A40" wp14:editId="069E4A0E">
                    <wp:extent cx="1800000" cy="194723"/>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rsidR="00773DE1" w:rsidRDefault="00773DE1">
    <w:pPr>
      <w:pStyle w:val="Kopfzeile"/>
    </w:pPr>
    <w:r>
      <w:fldChar w:fldCharType="end"/>
    </w:r>
  </w:p>
  <w:p w:rsidR="00773DE1" w:rsidRDefault="00773DE1" w:rsidP="00773DE1">
    <w:pPr>
      <w:pStyle w:val="Kopfzeile"/>
      <w:spacing w:after="400"/>
    </w:pPr>
  </w:p>
  <w:p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rsidR="00773DE1" w:rsidRPr="009A410B" w:rsidRDefault="0021482D" w:rsidP="00773DE1">
    <w:pPr>
      <w:pStyle w:val="Headertextsmall"/>
      <w:rPr>
        <w:lang w:val="de-DE"/>
      </w:rPr>
    </w:pPr>
    <w:proofErr w:type="spellStart"/>
    <w:r>
      <w:rPr>
        <w:lang w:val="de-DE"/>
      </w:rPr>
      <w:t>Architects</w:t>
    </w:r>
    <w:proofErr w:type="spellEnd"/>
    <w:r>
      <w:rPr>
        <w:lang w:val="de-DE"/>
      </w:rPr>
      <w:t>‘ Darling Award</w:t>
    </w:r>
  </w:p>
  <w:p w:rsidR="00E86AA3" w:rsidRPr="009A410B" w:rsidRDefault="00E86AA3">
    <w:pPr>
      <w:rPr>
        <w:lang w:val="de-DE"/>
      </w:rPr>
    </w:pPr>
  </w:p>
  <w:p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rsidTr="00FB5C11">
      <w:tc>
        <w:tcPr>
          <w:tcW w:w="3544" w:type="dxa"/>
        </w:tcPr>
        <w:p w:rsidR="004732B5" w:rsidRDefault="004732B5">
          <w:pPr>
            <w:pStyle w:val="Kopfzeile"/>
          </w:pPr>
          <w:bookmarkStart w:id="2" w:name="Header"/>
        </w:p>
      </w:tc>
      <w:tc>
        <w:tcPr>
          <w:tcW w:w="1276" w:type="dxa"/>
        </w:tcPr>
        <w:p w:rsidR="004732B5" w:rsidRDefault="004732B5" w:rsidP="00773DE1">
          <w:pPr>
            <w:pStyle w:val="Kopfzeile"/>
            <w:jc w:val="right"/>
          </w:pPr>
        </w:p>
      </w:tc>
      <w:tc>
        <w:tcPr>
          <w:tcW w:w="1171" w:type="dxa"/>
        </w:tcPr>
        <w:p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rsidR="004732B5" w:rsidRDefault="00836148" w:rsidP="00C05C5B">
              <w:pPr>
                <w:pStyle w:val="Kopfzeile"/>
                <w:jc w:val="right"/>
              </w:pPr>
              <w:r>
                <w:rPr>
                  <w:noProof/>
                  <w:lang w:val="de-DE" w:eastAsia="de-DE"/>
                </w:rPr>
                <w:drawing>
                  <wp:inline distT="0" distB="0" distL="0" distR="0" wp14:anchorId="074B8945" wp14:editId="77DDE38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2"/>
  </w:tbl>
  <w:p w:rsidR="0032694F" w:rsidRDefault="0032694F" w:rsidP="0032694F">
    <w:pPr>
      <w:pStyle w:val="Kopfzeile"/>
    </w:pPr>
  </w:p>
  <w:p w:rsidR="0032694F" w:rsidRDefault="0032694F" w:rsidP="0032694F">
    <w:pPr>
      <w:pStyle w:val="Kopfzeile"/>
      <w:spacing w:after="400"/>
    </w:pPr>
  </w:p>
  <w:p w:rsidR="0032694F" w:rsidRPr="009A410B" w:rsidRDefault="0032694F" w:rsidP="0032694F">
    <w:pPr>
      <w:pStyle w:val="Headertextsmall"/>
      <w:rPr>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rsidR="0032694F" w:rsidRPr="009A410B" w:rsidRDefault="0021482D" w:rsidP="0032694F">
    <w:pPr>
      <w:pStyle w:val="Headertextsmall"/>
      <w:rPr>
        <w:lang w:val="de-DE"/>
      </w:rPr>
    </w:pPr>
    <w:proofErr w:type="spellStart"/>
    <w:r>
      <w:rPr>
        <w:lang w:val="de-DE"/>
      </w:rPr>
      <w:t>Architects</w:t>
    </w:r>
    <w:proofErr w:type="spellEnd"/>
    <w:r>
      <w:rPr>
        <w:lang w:val="de-DE"/>
      </w:rPr>
      <w:t xml:space="preserve">’ Darling Award </w:t>
    </w:r>
  </w:p>
  <w:p w:rsidR="00E207FD" w:rsidRPr="009A410B"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605F"/>
    <w:rsid w:val="00040684"/>
    <w:rsid w:val="000423C8"/>
    <w:rsid w:val="00042AD3"/>
    <w:rsid w:val="000500B7"/>
    <w:rsid w:val="00081428"/>
    <w:rsid w:val="00084F08"/>
    <w:rsid w:val="00086BF9"/>
    <w:rsid w:val="0008787C"/>
    <w:rsid w:val="000906A6"/>
    <w:rsid w:val="0009212C"/>
    <w:rsid w:val="00092845"/>
    <w:rsid w:val="000974CF"/>
    <w:rsid w:val="000B6769"/>
    <w:rsid w:val="000B6A57"/>
    <w:rsid w:val="000F359E"/>
    <w:rsid w:val="000F3DD3"/>
    <w:rsid w:val="00115749"/>
    <w:rsid w:val="00122066"/>
    <w:rsid w:val="001223DA"/>
    <w:rsid w:val="00122544"/>
    <w:rsid w:val="0012333F"/>
    <w:rsid w:val="00145178"/>
    <w:rsid w:val="0017519E"/>
    <w:rsid w:val="001B1A0C"/>
    <w:rsid w:val="001C0A6D"/>
    <w:rsid w:val="001C2C5A"/>
    <w:rsid w:val="001C3459"/>
    <w:rsid w:val="001C5027"/>
    <w:rsid w:val="001D0D13"/>
    <w:rsid w:val="001D2B63"/>
    <w:rsid w:val="001D49C0"/>
    <w:rsid w:val="001E5265"/>
    <w:rsid w:val="001F13E3"/>
    <w:rsid w:val="00203773"/>
    <w:rsid w:val="00213AE2"/>
    <w:rsid w:val="00213F16"/>
    <w:rsid w:val="0021482D"/>
    <w:rsid w:val="00215538"/>
    <w:rsid w:val="00234E1C"/>
    <w:rsid w:val="00236A34"/>
    <w:rsid w:val="0025653A"/>
    <w:rsid w:val="00266447"/>
    <w:rsid w:val="002856C8"/>
    <w:rsid w:val="002935CE"/>
    <w:rsid w:val="00296479"/>
    <w:rsid w:val="002E2EA4"/>
    <w:rsid w:val="002E3238"/>
    <w:rsid w:val="002F617A"/>
    <w:rsid w:val="00305A55"/>
    <w:rsid w:val="0030735B"/>
    <w:rsid w:val="0031158E"/>
    <w:rsid w:val="00314716"/>
    <w:rsid w:val="0032694F"/>
    <w:rsid w:val="00335AC9"/>
    <w:rsid w:val="00356B56"/>
    <w:rsid w:val="003809C4"/>
    <w:rsid w:val="00383A9C"/>
    <w:rsid w:val="003C09D9"/>
    <w:rsid w:val="003E1B2C"/>
    <w:rsid w:val="003E3CB5"/>
    <w:rsid w:val="0040597E"/>
    <w:rsid w:val="00410325"/>
    <w:rsid w:val="004326A7"/>
    <w:rsid w:val="00440367"/>
    <w:rsid w:val="0045053B"/>
    <w:rsid w:val="00451B88"/>
    <w:rsid w:val="00452D62"/>
    <w:rsid w:val="004617D4"/>
    <w:rsid w:val="004641EB"/>
    <w:rsid w:val="004732B5"/>
    <w:rsid w:val="00473764"/>
    <w:rsid w:val="004A2C7D"/>
    <w:rsid w:val="004B78AC"/>
    <w:rsid w:val="004C234A"/>
    <w:rsid w:val="004D27F4"/>
    <w:rsid w:val="004D5DDB"/>
    <w:rsid w:val="004E0B79"/>
    <w:rsid w:val="004E6AAF"/>
    <w:rsid w:val="005147AF"/>
    <w:rsid w:val="0051483F"/>
    <w:rsid w:val="00520226"/>
    <w:rsid w:val="005227A5"/>
    <w:rsid w:val="00527885"/>
    <w:rsid w:val="0054786F"/>
    <w:rsid w:val="00562835"/>
    <w:rsid w:val="00562A04"/>
    <w:rsid w:val="00566625"/>
    <w:rsid w:val="00583B60"/>
    <w:rsid w:val="0058429A"/>
    <w:rsid w:val="00587560"/>
    <w:rsid w:val="005B7BD1"/>
    <w:rsid w:val="005E2D19"/>
    <w:rsid w:val="005F6ADB"/>
    <w:rsid w:val="00605E80"/>
    <w:rsid w:val="006104DC"/>
    <w:rsid w:val="006505A0"/>
    <w:rsid w:val="00663EC1"/>
    <w:rsid w:val="0067070E"/>
    <w:rsid w:val="00677B81"/>
    <w:rsid w:val="0068214D"/>
    <w:rsid w:val="00684DD5"/>
    <w:rsid w:val="006B2C55"/>
    <w:rsid w:val="006D0D1A"/>
    <w:rsid w:val="006E5691"/>
    <w:rsid w:val="006F4F48"/>
    <w:rsid w:val="00705198"/>
    <w:rsid w:val="007451A6"/>
    <w:rsid w:val="0075272C"/>
    <w:rsid w:val="00773DE1"/>
    <w:rsid w:val="00786042"/>
    <w:rsid w:val="007A3A23"/>
    <w:rsid w:val="007C57C7"/>
    <w:rsid w:val="007C7CCA"/>
    <w:rsid w:val="007D2A8B"/>
    <w:rsid w:val="007D780F"/>
    <w:rsid w:val="007D78EA"/>
    <w:rsid w:val="0080305B"/>
    <w:rsid w:val="008075E9"/>
    <w:rsid w:val="00812385"/>
    <w:rsid w:val="008153A1"/>
    <w:rsid w:val="00836148"/>
    <w:rsid w:val="008438FE"/>
    <w:rsid w:val="00881549"/>
    <w:rsid w:val="00892545"/>
    <w:rsid w:val="008B1574"/>
    <w:rsid w:val="008B1FCA"/>
    <w:rsid w:val="008B3AAC"/>
    <w:rsid w:val="008C0C65"/>
    <w:rsid w:val="008C5AEF"/>
    <w:rsid w:val="008E274A"/>
    <w:rsid w:val="0091163A"/>
    <w:rsid w:val="009135BE"/>
    <w:rsid w:val="0092565A"/>
    <w:rsid w:val="009268CD"/>
    <w:rsid w:val="00982F6F"/>
    <w:rsid w:val="009A410B"/>
    <w:rsid w:val="009C2A33"/>
    <w:rsid w:val="009C5814"/>
    <w:rsid w:val="009D16B2"/>
    <w:rsid w:val="009E12C1"/>
    <w:rsid w:val="00A24DDF"/>
    <w:rsid w:val="00A448DC"/>
    <w:rsid w:val="00A822A9"/>
    <w:rsid w:val="00A86145"/>
    <w:rsid w:val="00A87DC9"/>
    <w:rsid w:val="00A936CB"/>
    <w:rsid w:val="00AB519C"/>
    <w:rsid w:val="00AD06AD"/>
    <w:rsid w:val="00AD7084"/>
    <w:rsid w:val="00AE4869"/>
    <w:rsid w:val="00AF003C"/>
    <w:rsid w:val="00AF7FC8"/>
    <w:rsid w:val="00B17C38"/>
    <w:rsid w:val="00B17FE1"/>
    <w:rsid w:val="00B23025"/>
    <w:rsid w:val="00BB10DA"/>
    <w:rsid w:val="00BC147F"/>
    <w:rsid w:val="00BD5FFA"/>
    <w:rsid w:val="00C05C5B"/>
    <w:rsid w:val="00C24EFB"/>
    <w:rsid w:val="00C27E23"/>
    <w:rsid w:val="00C30742"/>
    <w:rsid w:val="00C43B39"/>
    <w:rsid w:val="00C443D0"/>
    <w:rsid w:val="00C53EDA"/>
    <w:rsid w:val="00C72F4D"/>
    <w:rsid w:val="00C95A95"/>
    <w:rsid w:val="00CB48A1"/>
    <w:rsid w:val="00CC0D10"/>
    <w:rsid w:val="00CC3F6C"/>
    <w:rsid w:val="00D242CA"/>
    <w:rsid w:val="00D45A0B"/>
    <w:rsid w:val="00D61AC2"/>
    <w:rsid w:val="00D80B27"/>
    <w:rsid w:val="00D86BAF"/>
    <w:rsid w:val="00D87590"/>
    <w:rsid w:val="00D9053E"/>
    <w:rsid w:val="00D95875"/>
    <w:rsid w:val="00DC33F3"/>
    <w:rsid w:val="00DD30C4"/>
    <w:rsid w:val="00DE01F6"/>
    <w:rsid w:val="00DE16DB"/>
    <w:rsid w:val="00DE1E32"/>
    <w:rsid w:val="00DE7E15"/>
    <w:rsid w:val="00DF2E53"/>
    <w:rsid w:val="00DF3B1B"/>
    <w:rsid w:val="00E0606B"/>
    <w:rsid w:val="00E07018"/>
    <w:rsid w:val="00E207FD"/>
    <w:rsid w:val="00E21C3F"/>
    <w:rsid w:val="00E36067"/>
    <w:rsid w:val="00E52AF0"/>
    <w:rsid w:val="00E5324D"/>
    <w:rsid w:val="00E64831"/>
    <w:rsid w:val="00E82A62"/>
    <w:rsid w:val="00E8419C"/>
    <w:rsid w:val="00E853EE"/>
    <w:rsid w:val="00E86AA3"/>
    <w:rsid w:val="00EE3523"/>
    <w:rsid w:val="00EE5F87"/>
    <w:rsid w:val="00EF3F36"/>
    <w:rsid w:val="00EF7953"/>
    <w:rsid w:val="00F16F82"/>
    <w:rsid w:val="00F17412"/>
    <w:rsid w:val="00F234CA"/>
    <w:rsid w:val="00F44C8A"/>
    <w:rsid w:val="00F461DA"/>
    <w:rsid w:val="00F6509E"/>
    <w:rsid w:val="00F8559E"/>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3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character" w:styleId="NichtaufgelsteErwhnung">
    <w:name w:val="Unresolved Mention"/>
    <w:basedOn w:val="Absatz-Standardschriftart"/>
    <w:uiPriority w:val="99"/>
    <w:semiHidden/>
    <w:unhideWhenUsed/>
    <w:rsid w:val="002148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makab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eisenbeis-trinkle@dormakab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Pressemitteilung_Sicherheitsexpo 2017</Template>
  <TotalTime>0</TotalTime>
  <Pages>2</Pages>
  <Words>770</Words>
  <Characters>4851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2018-11-21T07:48:00Z</dcterms:created>
  <dcterms:modified xsi:type="dcterms:W3CDTF">2018-11-21T07:48:00Z</dcterms:modified>
</cp:coreProperties>
</file>