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C36E9" w14:textId="4B1B8BCB" w:rsidR="000B1E51" w:rsidRPr="004D02F0" w:rsidRDefault="00436816" w:rsidP="00462FC6">
      <w:pPr>
        <w:widowControl w:val="0"/>
        <w:spacing w:after="40"/>
        <w:rPr>
          <w:rFonts w:ascii="Arial" w:hAnsi="Arial" w:cs="Arial"/>
          <w:b/>
          <w:color w:val="000000" w:themeColor="text1"/>
          <w:sz w:val="40"/>
          <w:szCs w:val="40"/>
        </w:rPr>
      </w:pPr>
      <w:r w:rsidRPr="004D02F0">
        <w:rPr>
          <w:noProof/>
          <w:color w:val="000000" w:themeColor="text1"/>
          <w:lang w:eastAsia="de-DE"/>
        </w:rPr>
        <mc:AlternateContent>
          <mc:Choice Requires="wps">
            <w:drawing>
              <wp:anchor distT="0" distB="0" distL="114300" distR="114300" simplePos="0" relativeHeight="251658242" behindDoc="0" locked="0" layoutInCell="1" allowOverlap="1" wp14:anchorId="2CFA8A02" wp14:editId="6F9C03A4">
                <wp:simplePos x="0" y="0"/>
                <wp:positionH relativeFrom="column">
                  <wp:posOffset>3747184</wp:posOffset>
                </wp:positionH>
                <wp:positionV relativeFrom="paragraph">
                  <wp:posOffset>-898863</wp:posOffset>
                </wp:positionV>
                <wp:extent cx="2392878" cy="55814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878" cy="558140"/>
                        </a:xfrm>
                        <a:prstGeom prst="rect">
                          <a:avLst/>
                        </a:prstGeom>
                        <a:noFill/>
                        <a:ln w="9525">
                          <a:noFill/>
                          <a:miter lim="800000"/>
                          <a:headEnd/>
                          <a:tailEnd/>
                        </a:ln>
                      </wps:spPr>
                      <wps:txb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149868A3" w14:textId="6C07D614" w:rsidR="00422A01" w:rsidRDefault="008F2BB6"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Frau </w:t>
                            </w:r>
                            <w:r w:rsidR="00D563F3">
                              <w:rPr>
                                <w:rFonts w:ascii="Arial" w:hAnsi="Arial" w:cs="Arial"/>
                                <w:color w:val="808080" w:themeColor="background1" w:themeShade="80"/>
                                <w:sz w:val="16"/>
                                <w:szCs w:val="16"/>
                              </w:rPr>
                              <w:t>Berit Friedrich</w:t>
                            </w:r>
                          </w:p>
                          <w:p w14:paraId="35F2F7FA" w14:textId="7B32F1FA" w:rsidR="00422A01" w:rsidRDefault="00487ECE"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Telefon: +49 (0)40</w:t>
                            </w:r>
                            <w:r w:rsidR="00422A01">
                              <w:rPr>
                                <w:rFonts w:ascii="Arial" w:hAnsi="Arial" w:cs="Arial"/>
                                <w:color w:val="808080" w:themeColor="background1" w:themeShade="80"/>
                                <w:sz w:val="16"/>
                                <w:szCs w:val="16"/>
                              </w:rPr>
                              <w:t xml:space="preserve"> / </w:t>
                            </w:r>
                            <w:r w:rsidR="00D563F3">
                              <w:rPr>
                                <w:rFonts w:ascii="Arial" w:hAnsi="Arial" w:cs="Arial"/>
                                <w:color w:val="808080" w:themeColor="background1" w:themeShade="80"/>
                                <w:sz w:val="16"/>
                                <w:szCs w:val="16"/>
                              </w:rPr>
                              <w:t>350 80 2-620</w:t>
                            </w:r>
                          </w:p>
                          <w:p w14:paraId="45200597" w14:textId="07DA2334" w:rsidR="00422A01" w:rsidRPr="00E22CF2" w:rsidRDefault="00422A01" w:rsidP="00436816">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r w:rsidR="00487ECE">
                              <w:rPr>
                                <w:rFonts w:ascii="Arial" w:hAnsi="Arial" w:cs="Arial"/>
                                <w:color w:val="808080" w:themeColor="background1" w:themeShade="80"/>
                                <w:sz w:val="16"/>
                                <w:szCs w:val="16"/>
                                <w:lang w:val="it-IT"/>
                              </w:rPr>
                              <w:t>presse</w:t>
                            </w:r>
                            <w:r w:rsidRPr="00E22CF2">
                              <w:rPr>
                                <w:rFonts w:ascii="Arial" w:hAnsi="Arial" w:cs="Arial"/>
                                <w:color w:val="808080" w:themeColor="background1" w:themeShade="80"/>
                                <w:sz w:val="16"/>
                                <w:szCs w:val="16"/>
                                <w:lang w:val="it-IT"/>
                              </w:rPr>
                              <w:t>@</w:t>
                            </w:r>
                            <w:r w:rsidR="00487ECE">
                              <w:rPr>
                                <w:rFonts w:ascii="Arial" w:hAnsi="Arial" w:cs="Arial"/>
                                <w:color w:val="808080" w:themeColor="background1" w:themeShade="80"/>
                                <w:sz w:val="16"/>
                                <w:szCs w:val="16"/>
                                <w:lang w:val="it-IT"/>
                              </w:rPr>
                              <w:t>germanpropertypartners</w:t>
                            </w:r>
                            <w:r w:rsidRPr="00E22CF2">
                              <w:rPr>
                                <w:rFonts w:ascii="Arial" w:hAnsi="Arial" w:cs="Arial"/>
                                <w:color w:val="808080" w:themeColor="background1" w:themeShade="80"/>
                                <w:sz w:val="16"/>
                                <w:szCs w:val="16"/>
                                <w:lang w:val="it-IT"/>
                              </w:rPr>
                              <w:t>.</w:t>
                            </w:r>
                            <w:r w:rsidR="0050461D">
                              <w:rPr>
                                <w:rFonts w:ascii="Arial" w:hAnsi="Arial" w:cs="Arial"/>
                                <w:color w:val="808080" w:themeColor="background1" w:themeShade="80"/>
                                <w:sz w:val="16"/>
                                <w:szCs w:val="16"/>
                                <w:lang w:val="it-IT"/>
                              </w:rPr>
                              <w:t>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A8A02" id="_x0000_t202" coordsize="21600,21600" o:spt="202" path="m,l,21600r21600,l21600,xe">
                <v:stroke joinstyle="miter"/>
                <v:path gradientshapeok="t" o:connecttype="rect"/>
              </v:shapetype>
              <v:shape id="Textfeld 2" o:spid="_x0000_s1026" type="#_x0000_t202" style="position:absolute;margin-left:295.05pt;margin-top:-70.8pt;width:188.4pt;height:43.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" filled="f" stroked="f">
                <v:textbo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149868A3" w14:textId="6C07D614" w:rsidR="00422A01" w:rsidRDefault="008F2BB6"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Frau </w:t>
                      </w:r>
                      <w:r w:rsidR="00D563F3">
                        <w:rPr>
                          <w:rFonts w:ascii="Arial" w:hAnsi="Arial" w:cs="Arial"/>
                          <w:color w:val="808080" w:themeColor="background1" w:themeShade="80"/>
                          <w:sz w:val="16"/>
                          <w:szCs w:val="16"/>
                        </w:rPr>
                        <w:t>Berit Friedrich</w:t>
                      </w:r>
                    </w:p>
                    <w:p w14:paraId="35F2F7FA" w14:textId="7B32F1FA" w:rsidR="00422A01" w:rsidRDefault="00487ECE"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Telefon: +49 (0)40</w:t>
                      </w:r>
                      <w:r w:rsidR="00422A01">
                        <w:rPr>
                          <w:rFonts w:ascii="Arial" w:hAnsi="Arial" w:cs="Arial"/>
                          <w:color w:val="808080" w:themeColor="background1" w:themeShade="80"/>
                          <w:sz w:val="16"/>
                          <w:szCs w:val="16"/>
                        </w:rPr>
                        <w:t xml:space="preserve"> / </w:t>
                      </w:r>
                      <w:r w:rsidR="00D563F3">
                        <w:rPr>
                          <w:rFonts w:ascii="Arial" w:hAnsi="Arial" w:cs="Arial"/>
                          <w:color w:val="808080" w:themeColor="background1" w:themeShade="80"/>
                          <w:sz w:val="16"/>
                          <w:szCs w:val="16"/>
                        </w:rPr>
                        <w:t>350 80 2-620</w:t>
                      </w:r>
                    </w:p>
                    <w:p w14:paraId="45200597" w14:textId="07DA2334" w:rsidR="00422A01" w:rsidRPr="00E22CF2" w:rsidRDefault="00422A01" w:rsidP="00436816">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proofErr w:type="spellStart"/>
                      <w:r w:rsidR="00487ECE">
                        <w:rPr>
                          <w:rFonts w:ascii="Arial" w:hAnsi="Arial" w:cs="Arial"/>
                          <w:color w:val="808080" w:themeColor="background1" w:themeShade="80"/>
                          <w:sz w:val="16"/>
                          <w:szCs w:val="16"/>
                          <w:lang w:val="it-IT"/>
                        </w:rPr>
                        <w:t>presse</w:t>
                      </w:r>
                      <w:r w:rsidRPr="00E22CF2">
                        <w:rPr>
                          <w:rFonts w:ascii="Arial" w:hAnsi="Arial" w:cs="Arial"/>
                          <w:color w:val="808080" w:themeColor="background1" w:themeShade="80"/>
                          <w:sz w:val="16"/>
                          <w:szCs w:val="16"/>
                          <w:lang w:val="it-IT"/>
                        </w:rPr>
                        <w:t>@</w:t>
                      </w:r>
                      <w:r w:rsidR="00487ECE">
                        <w:rPr>
                          <w:rFonts w:ascii="Arial" w:hAnsi="Arial" w:cs="Arial"/>
                          <w:color w:val="808080" w:themeColor="background1" w:themeShade="80"/>
                          <w:sz w:val="16"/>
                          <w:szCs w:val="16"/>
                          <w:lang w:val="it-IT"/>
                        </w:rPr>
                        <w:t>germanpropertypartners</w:t>
                      </w:r>
                      <w:r w:rsidRPr="00E22CF2">
                        <w:rPr>
                          <w:rFonts w:ascii="Arial" w:hAnsi="Arial" w:cs="Arial"/>
                          <w:color w:val="808080" w:themeColor="background1" w:themeShade="80"/>
                          <w:sz w:val="16"/>
                          <w:szCs w:val="16"/>
                          <w:lang w:val="it-IT"/>
                        </w:rPr>
                        <w:t>.</w:t>
                      </w:r>
                      <w:r w:rsidR="0050461D">
                        <w:rPr>
                          <w:rFonts w:ascii="Arial" w:hAnsi="Arial" w:cs="Arial"/>
                          <w:color w:val="808080" w:themeColor="background1" w:themeShade="80"/>
                          <w:sz w:val="16"/>
                          <w:szCs w:val="16"/>
                          <w:lang w:val="it-IT"/>
                        </w:rPr>
                        <w:t>de</w:t>
                      </w:r>
                      <w:proofErr w:type="spellEnd"/>
                    </w:p>
                  </w:txbxContent>
                </v:textbox>
              </v:shape>
            </w:pict>
          </mc:Fallback>
        </mc:AlternateContent>
      </w:r>
      <w:r w:rsidR="000B1E51" w:rsidRPr="004D02F0">
        <w:rPr>
          <w:noProof/>
          <w:color w:val="000000" w:themeColor="text1"/>
          <w:lang w:eastAsia="de-DE"/>
        </w:rPr>
        <mc:AlternateContent>
          <mc:Choice Requires="wps">
            <w:drawing>
              <wp:anchor distT="0" distB="0" distL="114300" distR="114300" simplePos="0" relativeHeight="251658241" behindDoc="0" locked="0" layoutInCell="1" allowOverlap="1" wp14:anchorId="205F5D46" wp14:editId="058A0945">
                <wp:simplePos x="0" y="0"/>
                <wp:positionH relativeFrom="column">
                  <wp:posOffset>3737610</wp:posOffset>
                </wp:positionH>
                <wp:positionV relativeFrom="paragraph">
                  <wp:posOffset>-1261745</wp:posOffset>
                </wp:positionV>
                <wp:extent cx="2296795" cy="306705"/>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306705"/>
                        </a:xfrm>
                        <a:prstGeom prst="rect">
                          <a:avLst/>
                        </a:prstGeom>
                        <a:noFill/>
                        <a:ln w="9525">
                          <a:noFill/>
                          <a:miter lim="800000"/>
                          <a:headEnd/>
                          <a:tailEnd/>
                        </a:ln>
                      </wps:spPr>
                      <wps:txbx>
                        <w:txbxContent>
                          <w:p w14:paraId="6068F86B" w14:textId="77777777" w:rsidR="00422A01" w:rsidRPr="000B1E51" w:rsidRDefault="00422A01"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F5D46" id="_x0000_s1027" type="#_x0000_t202" style="position:absolute;margin-left:294.3pt;margin-top:-99.35pt;width:180.85pt;height:2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" filled="f" stroked="f">
                <v:textbox>
                  <w:txbxContent>
                    <w:p w14:paraId="6068F86B" w14:textId="77777777" w:rsidR="00422A01" w:rsidRPr="000B1E51" w:rsidRDefault="00422A01"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v:textbox>
              </v:shape>
            </w:pict>
          </mc:Fallback>
        </mc:AlternateContent>
      </w:r>
      <w:bookmarkStart w:id="0" w:name="_Hlk526187594"/>
      <w:r w:rsidR="00995D9D">
        <w:rPr>
          <w:rFonts w:ascii="Arial" w:hAnsi="Arial" w:cs="Arial"/>
          <w:noProof/>
          <w:color w:val="000000" w:themeColor="text1"/>
          <w:sz w:val="40"/>
          <w:szCs w:val="40"/>
          <w:lang w:eastAsia="de-DE"/>
        </w:rPr>
        <w:t>TOP-7-INVESTMENTMÄRKTE</w:t>
      </w:r>
      <w:r w:rsidR="00995D9D" w:rsidRPr="00A93F42">
        <w:rPr>
          <w:rFonts w:ascii="Arial" w:hAnsi="Arial" w:cs="Arial"/>
          <w:color w:val="000000" w:themeColor="text1"/>
          <w:sz w:val="40"/>
          <w:szCs w:val="40"/>
        </w:rPr>
        <w:t xml:space="preserve"> </w:t>
      </w:r>
      <w:bookmarkEnd w:id="0"/>
      <w:r w:rsidR="00AA0D76">
        <w:rPr>
          <w:rFonts w:ascii="Arial" w:hAnsi="Arial" w:cs="Arial"/>
          <w:color w:val="000000" w:themeColor="text1"/>
          <w:sz w:val="40"/>
          <w:szCs w:val="40"/>
        </w:rPr>
        <w:t>Q2</w:t>
      </w:r>
      <w:r w:rsidR="00995D9D" w:rsidRPr="004D02F0">
        <w:rPr>
          <w:rFonts w:ascii="Arial" w:hAnsi="Arial" w:cs="Arial"/>
          <w:color w:val="000000" w:themeColor="text1"/>
          <w:sz w:val="40"/>
          <w:szCs w:val="40"/>
        </w:rPr>
        <w:t>/20</w:t>
      </w:r>
      <w:r w:rsidR="00A9552F">
        <w:rPr>
          <w:rFonts w:ascii="Arial" w:hAnsi="Arial" w:cs="Arial"/>
          <w:color w:val="000000" w:themeColor="text1"/>
          <w:sz w:val="40"/>
          <w:szCs w:val="40"/>
        </w:rPr>
        <w:t>21</w:t>
      </w:r>
    </w:p>
    <w:p w14:paraId="3B735A9E" w14:textId="78EA4EE4" w:rsidR="00073A8E" w:rsidRPr="00D02362" w:rsidRDefault="00A643AD" w:rsidP="00462FC6">
      <w:pPr>
        <w:widowControl w:val="0"/>
        <w:spacing w:after="120"/>
        <w:rPr>
          <w:rFonts w:ascii="Arial" w:hAnsi="Arial" w:cs="Arial"/>
          <w:b/>
          <w:caps/>
          <w:sz w:val="40"/>
          <w:szCs w:val="40"/>
        </w:rPr>
      </w:pPr>
      <w:r>
        <w:rPr>
          <w:rFonts w:ascii="Arial" w:hAnsi="Arial" w:cs="Arial"/>
          <w:b/>
          <w:caps/>
          <w:sz w:val="40"/>
          <w:szCs w:val="40"/>
        </w:rPr>
        <w:t>Sehr differenziertes marktgeschehen</w:t>
      </w:r>
    </w:p>
    <w:p w14:paraId="28BEC29F" w14:textId="7B8F866E" w:rsidR="007D3839" w:rsidRDefault="00224B51" w:rsidP="004C416A">
      <w:pPr>
        <w:widowControl w:val="0"/>
        <w:spacing w:after="120"/>
        <w:jc w:val="center"/>
        <w:rPr>
          <w:rFonts w:ascii="Arial" w:hAnsi="Arial" w:cs="Arial"/>
          <w:b/>
          <w:sz w:val="20"/>
          <w:szCs w:val="20"/>
        </w:rPr>
      </w:pPr>
      <w:r>
        <w:rPr>
          <w:noProof/>
          <w:lang w:eastAsia="de-DE"/>
        </w:rPr>
        <w:drawing>
          <wp:anchor distT="0" distB="0" distL="114300" distR="114300" simplePos="0" relativeHeight="251659266" behindDoc="0" locked="0" layoutInCell="1" allowOverlap="1" wp14:anchorId="33D94CDA" wp14:editId="1F62964C">
            <wp:simplePos x="0" y="0"/>
            <wp:positionH relativeFrom="margin">
              <wp:posOffset>718185</wp:posOffset>
            </wp:positionH>
            <wp:positionV relativeFrom="margin">
              <wp:posOffset>910590</wp:posOffset>
            </wp:positionV>
            <wp:extent cx="4319905" cy="2508885"/>
            <wp:effectExtent l="0" t="0" r="4445"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319905" cy="2508885"/>
                    </a:xfrm>
                    <a:prstGeom prst="rect">
                      <a:avLst/>
                    </a:prstGeom>
                  </pic:spPr>
                </pic:pic>
              </a:graphicData>
            </a:graphic>
          </wp:anchor>
        </w:drawing>
      </w:r>
      <w:r w:rsidR="00B5621B" w:rsidRPr="004D02F0">
        <w:rPr>
          <w:noProof/>
          <w:color w:val="000000" w:themeColor="text1"/>
          <w:lang w:eastAsia="de-DE"/>
        </w:rPr>
        <mc:AlternateContent>
          <mc:Choice Requires="wps">
            <w:drawing>
              <wp:anchor distT="0" distB="0" distL="114300" distR="114300" simplePos="0" relativeHeight="251658240" behindDoc="0" locked="0" layoutInCell="1" allowOverlap="1" wp14:anchorId="1B925072" wp14:editId="7B0A7C37">
                <wp:simplePos x="0" y="0"/>
                <wp:positionH relativeFrom="column">
                  <wp:posOffset>-966</wp:posOffset>
                </wp:positionH>
                <wp:positionV relativeFrom="paragraph">
                  <wp:posOffset>60325</wp:posOffset>
                </wp:positionV>
                <wp:extent cx="577215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64D7C8" id="Gerade Verbindung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75pt" to="45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" strokecolor="#5a5a5a [2109]" strokeweight="1pt"/>
            </w:pict>
          </mc:Fallback>
        </mc:AlternateContent>
      </w:r>
      <w:bookmarkStart w:id="1" w:name="_Hlk486831603"/>
      <w:bookmarkStart w:id="2" w:name="_Hlk526105468"/>
      <w:r w:rsidR="00D6747B" w:rsidRPr="007D3839">
        <w:rPr>
          <w:rFonts w:ascii="Arial" w:hAnsi="Arial" w:cs="Arial"/>
          <w:b/>
          <w:sz w:val="20"/>
          <w:szCs w:val="20"/>
        </w:rPr>
        <w:br/>
      </w:r>
    </w:p>
    <w:p w14:paraId="0D843304" w14:textId="3AE4EE1C" w:rsidR="00D02362" w:rsidRDefault="006A0566" w:rsidP="00727CFC">
      <w:pPr>
        <w:widowControl w:val="0"/>
        <w:spacing w:after="120"/>
        <w:jc w:val="both"/>
        <w:rPr>
          <w:rFonts w:ascii="Arial" w:hAnsi="Arial" w:cs="Arial"/>
          <w:b/>
          <w:sz w:val="20"/>
          <w:szCs w:val="20"/>
        </w:rPr>
      </w:pPr>
      <w:r>
        <w:rPr>
          <w:rFonts w:ascii="Arial" w:hAnsi="Arial" w:cs="Arial"/>
          <w:b/>
          <w:sz w:val="20"/>
          <w:szCs w:val="20"/>
        </w:rPr>
        <w:br/>
      </w:r>
    </w:p>
    <w:p w14:paraId="35FA1C85" w14:textId="1D007D61" w:rsidR="00D02362" w:rsidRDefault="00D02362" w:rsidP="00727CFC">
      <w:pPr>
        <w:widowControl w:val="0"/>
        <w:spacing w:after="120"/>
        <w:jc w:val="both"/>
        <w:rPr>
          <w:rFonts w:ascii="Arial" w:hAnsi="Arial" w:cs="Arial"/>
          <w:b/>
          <w:sz w:val="20"/>
          <w:szCs w:val="20"/>
        </w:rPr>
      </w:pPr>
    </w:p>
    <w:p w14:paraId="7BFE03E9" w14:textId="71806ABC" w:rsidR="00D02362" w:rsidRDefault="00D02362" w:rsidP="00727CFC">
      <w:pPr>
        <w:widowControl w:val="0"/>
        <w:spacing w:after="120"/>
        <w:jc w:val="both"/>
        <w:rPr>
          <w:rFonts w:ascii="Arial" w:hAnsi="Arial" w:cs="Arial"/>
          <w:b/>
          <w:sz w:val="20"/>
          <w:szCs w:val="20"/>
        </w:rPr>
      </w:pPr>
    </w:p>
    <w:p w14:paraId="22C8795E" w14:textId="1B586448" w:rsidR="00D02362" w:rsidRDefault="00D02362" w:rsidP="00727CFC">
      <w:pPr>
        <w:widowControl w:val="0"/>
        <w:spacing w:after="120"/>
        <w:jc w:val="both"/>
        <w:rPr>
          <w:rFonts w:ascii="Arial" w:hAnsi="Arial" w:cs="Arial"/>
          <w:b/>
          <w:sz w:val="20"/>
          <w:szCs w:val="20"/>
        </w:rPr>
      </w:pPr>
    </w:p>
    <w:p w14:paraId="22E4578B" w14:textId="6213F371" w:rsidR="00D02362" w:rsidRDefault="00D02362" w:rsidP="00727CFC">
      <w:pPr>
        <w:widowControl w:val="0"/>
        <w:spacing w:after="120"/>
        <w:jc w:val="both"/>
        <w:rPr>
          <w:rFonts w:ascii="Arial" w:hAnsi="Arial" w:cs="Arial"/>
          <w:b/>
          <w:sz w:val="20"/>
          <w:szCs w:val="20"/>
        </w:rPr>
      </w:pPr>
    </w:p>
    <w:p w14:paraId="4F1AD27F" w14:textId="77777777" w:rsidR="00D02362" w:rsidRDefault="00D02362" w:rsidP="00727CFC">
      <w:pPr>
        <w:widowControl w:val="0"/>
        <w:spacing w:after="120"/>
        <w:jc w:val="both"/>
        <w:rPr>
          <w:rFonts w:ascii="Arial" w:hAnsi="Arial" w:cs="Arial"/>
          <w:b/>
          <w:sz w:val="20"/>
          <w:szCs w:val="20"/>
        </w:rPr>
      </w:pPr>
    </w:p>
    <w:p w14:paraId="1FF41F7C" w14:textId="77777777" w:rsidR="00D02362" w:rsidRDefault="00D02362" w:rsidP="00727CFC">
      <w:pPr>
        <w:widowControl w:val="0"/>
        <w:spacing w:after="120"/>
        <w:jc w:val="both"/>
        <w:rPr>
          <w:rFonts w:ascii="Arial" w:hAnsi="Arial" w:cs="Arial"/>
          <w:b/>
          <w:sz w:val="20"/>
          <w:szCs w:val="20"/>
        </w:rPr>
      </w:pPr>
    </w:p>
    <w:p w14:paraId="3D852292" w14:textId="77777777" w:rsidR="00D02362" w:rsidRDefault="00D02362" w:rsidP="00727CFC">
      <w:pPr>
        <w:widowControl w:val="0"/>
        <w:spacing w:after="120"/>
        <w:jc w:val="both"/>
        <w:rPr>
          <w:rFonts w:ascii="Arial" w:hAnsi="Arial" w:cs="Arial"/>
          <w:b/>
          <w:sz w:val="20"/>
          <w:szCs w:val="20"/>
        </w:rPr>
      </w:pPr>
    </w:p>
    <w:p w14:paraId="75923157" w14:textId="77777777" w:rsidR="00D02362" w:rsidRDefault="00D02362" w:rsidP="00727CFC">
      <w:pPr>
        <w:widowControl w:val="0"/>
        <w:spacing w:after="120"/>
        <w:jc w:val="both"/>
        <w:rPr>
          <w:rFonts w:ascii="Arial" w:hAnsi="Arial" w:cs="Arial"/>
          <w:b/>
          <w:sz w:val="20"/>
          <w:szCs w:val="20"/>
        </w:rPr>
      </w:pPr>
    </w:p>
    <w:p w14:paraId="3DA8D00C" w14:textId="77777777" w:rsidR="00D02362" w:rsidRDefault="00D02362" w:rsidP="00727CFC">
      <w:pPr>
        <w:widowControl w:val="0"/>
        <w:spacing w:after="120"/>
        <w:jc w:val="both"/>
        <w:rPr>
          <w:rFonts w:ascii="Arial" w:hAnsi="Arial" w:cs="Arial"/>
          <w:b/>
          <w:sz w:val="20"/>
          <w:szCs w:val="20"/>
        </w:rPr>
      </w:pPr>
    </w:p>
    <w:p w14:paraId="34DAE7F7" w14:textId="77777777" w:rsidR="00D02362" w:rsidRDefault="00D02362" w:rsidP="00727CFC">
      <w:pPr>
        <w:widowControl w:val="0"/>
        <w:spacing w:after="120"/>
        <w:jc w:val="both"/>
        <w:rPr>
          <w:rFonts w:ascii="Arial" w:hAnsi="Arial" w:cs="Arial"/>
          <w:b/>
          <w:sz w:val="20"/>
          <w:szCs w:val="20"/>
        </w:rPr>
      </w:pPr>
    </w:p>
    <w:p w14:paraId="6DF6352E" w14:textId="30B4E0F0" w:rsidR="00F804F3" w:rsidRDefault="00F804F3" w:rsidP="00727CFC">
      <w:pPr>
        <w:widowControl w:val="0"/>
        <w:spacing w:after="120"/>
        <w:jc w:val="both"/>
        <w:rPr>
          <w:rFonts w:ascii="Arial" w:hAnsi="Arial" w:cs="Arial"/>
          <w:bCs/>
          <w:sz w:val="20"/>
          <w:szCs w:val="20"/>
        </w:rPr>
      </w:pPr>
      <w:r>
        <w:rPr>
          <w:rFonts w:ascii="Arial" w:hAnsi="Arial" w:cs="Arial"/>
          <w:b/>
          <w:sz w:val="20"/>
          <w:szCs w:val="20"/>
        </w:rPr>
        <w:t>2</w:t>
      </w:r>
      <w:r w:rsidR="00205F77" w:rsidRPr="004D02F0">
        <w:rPr>
          <w:rFonts w:ascii="Arial" w:hAnsi="Arial" w:cs="Arial"/>
          <w:b/>
          <w:sz w:val="20"/>
          <w:szCs w:val="20"/>
        </w:rPr>
        <w:t xml:space="preserve">. </w:t>
      </w:r>
      <w:r>
        <w:rPr>
          <w:rFonts w:ascii="Arial" w:hAnsi="Arial" w:cs="Arial"/>
          <w:b/>
          <w:sz w:val="20"/>
          <w:szCs w:val="20"/>
        </w:rPr>
        <w:t>Juli</w:t>
      </w:r>
      <w:r w:rsidR="00205F77" w:rsidRPr="004D02F0">
        <w:rPr>
          <w:rFonts w:ascii="Arial" w:hAnsi="Arial" w:cs="Arial"/>
          <w:b/>
          <w:sz w:val="20"/>
          <w:szCs w:val="20"/>
        </w:rPr>
        <w:t xml:space="preserve"> 20</w:t>
      </w:r>
      <w:r w:rsidR="00EC64A2">
        <w:rPr>
          <w:rFonts w:ascii="Arial" w:hAnsi="Arial" w:cs="Arial"/>
          <w:b/>
          <w:sz w:val="20"/>
          <w:szCs w:val="20"/>
        </w:rPr>
        <w:t>21</w:t>
      </w:r>
      <w:r w:rsidR="00205F77" w:rsidRPr="004D02F0">
        <w:rPr>
          <w:rFonts w:ascii="Arial" w:hAnsi="Arial" w:cs="Arial"/>
          <w:b/>
          <w:sz w:val="20"/>
          <w:szCs w:val="20"/>
        </w:rPr>
        <w:t xml:space="preserve">, </w:t>
      </w:r>
      <w:bookmarkStart w:id="3" w:name="_Hlk486831588"/>
      <w:r w:rsidR="00487ECE">
        <w:rPr>
          <w:rFonts w:ascii="Arial" w:hAnsi="Arial" w:cs="Arial"/>
          <w:b/>
          <w:sz w:val="20"/>
          <w:szCs w:val="20"/>
        </w:rPr>
        <w:t>Hamburg</w:t>
      </w:r>
      <w:r w:rsidR="009066E5">
        <w:rPr>
          <w:rFonts w:ascii="Arial" w:hAnsi="Arial" w:cs="Arial"/>
          <w:b/>
          <w:sz w:val="20"/>
          <w:szCs w:val="20"/>
        </w:rPr>
        <w:t>.</w:t>
      </w:r>
      <w:r w:rsidR="004E304A">
        <w:rPr>
          <w:rFonts w:ascii="Arial" w:hAnsi="Arial" w:cs="Arial"/>
          <w:bCs/>
          <w:sz w:val="20"/>
          <w:szCs w:val="20"/>
        </w:rPr>
        <w:t xml:space="preserve"> </w:t>
      </w:r>
      <w:r>
        <w:rPr>
          <w:rFonts w:ascii="Arial" w:hAnsi="Arial" w:cs="Arial"/>
          <w:bCs/>
          <w:sz w:val="20"/>
          <w:szCs w:val="20"/>
        </w:rPr>
        <w:t xml:space="preserve">Der Markt für gewerbliche Immobilieninvestments an den deutschen Top-7-Standorten zeigt sich zum Ende des 2. Quartals 2021 insgesamt wieder stabil mit einem Transaktionsvolumen (TAV) von </w:t>
      </w:r>
      <w:r w:rsidR="00A761F2">
        <w:rPr>
          <w:rFonts w:ascii="Arial" w:hAnsi="Arial" w:cs="Arial"/>
          <w:bCs/>
          <w:sz w:val="20"/>
          <w:szCs w:val="20"/>
        </w:rPr>
        <w:t>12,5</w:t>
      </w:r>
      <w:r w:rsidRPr="00D02362">
        <w:rPr>
          <w:rFonts w:ascii="Arial" w:hAnsi="Arial" w:cs="Arial"/>
          <w:bCs/>
          <w:sz w:val="20"/>
          <w:szCs w:val="20"/>
        </w:rPr>
        <w:t xml:space="preserve"> </w:t>
      </w:r>
      <w:r>
        <w:rPr>
          <w:rFonts w:ascii="Arial" w:hAnsi="Arial" w:cs="Arial"/>
          <w:bCs/>
          <w:sz w:val="20"/>
          <w:szCs w:val="20"/>
        </w:rPr>
        <w:t xml:space="preserve">Mrd. €. Damit liegt das Halbjahresergebnis nur </w:t>
      </w:r>
      <w:r w:rsidR="00A761F2">
        <w:rPr>
          <w:rFonts w:ascii="Arial" w:hAnsi="Arial" w:cs="Arial"/>
          <w:bCs/>
          <w:sz w:val="20"/>
          <w:szCs w:val="20"/>
        </w:rPr>
        <w:t>1</w:t>
      </w:r>
      <w:r w:rsidRPr="00D02362">
        <w:rPr>
          <w:rFonts w:ascii="Arial" w:hAnsi="Arial" w:cs="Arial"/>
          <w:bCs/>
          <w:sz w:val="20"/>
          <w:szCs w:val="20"/>
        </w:rPr>
        <w:t xml:space="preserve"> % </w:t>
      </w:r>
      <w:r>
        <w:rPr>
          <w:rFonts w:ascii="Arial" w:hAnsi="Arial" w:cs="Arial"/>
          <w:bCs/>
          <w:sz w:val="20"/>
          <w:szCs w:val="20"/>
        </w:rPr>
        <w:t>unter dem Vorjahresniveau. Mit Blick auf die einzelnen Standorte Hamburg, Berlin, Düsseldorf, Köln, Frankfurt, Stuttgart und München zeigt sich jedoch ein äußerst differenziertes Bild: German Property Partners (GPP), das Gewerbeimmobiliennetzwerk von Grossmann &amp; Berger, Anteon Immobilien, GREIF &amp; CONTZEN Immobilien, blackolive und E &amp; G Real Estate, ermittelte Veränderungen beim TAV zwischen -46 % in Hamburg und +97 % in München.</w:t>
      </w:r>
      <w:r w:rsidR="00314976">
        <w:rPr>
          <w:rFonts w:ascii="Arial" w:hAnsi="Arial" w:cs="Arial"/>
          <w:bCs/>
          <w:sz w:val="20"/>
          <w:szCs w:val="20"/>
        </w:rPr>
        <w:t xml:space="preserve"> </w:t>
      </w:r>
    </w:p>
    <w:p w14:paraId="2ACCDC89" w14:textId="77777777" w:rsidR="00735CE6" w:rsidRDefault="00735CE6" w:rsidP="00727CFC">
      <w:pPr>
        <w:widowControl w:val="0"/>
        <w:spacing w:after="0"/>
        <w:jc w:val="both"/>
        <w:rPr>
          <w:rFonts w:ascii="Arial" w:hAnsi="Arial" w:cs="Arial"/>
          <w:b/>
          <w:bCs/>
          <w:caps/>
          <w:sz w:val="20"/>
          <w:szCs w:val="20"/>
        </w:rPr>
      </w:pPr>
    </w:p>
    <w:p w14:paraId="035D3C6D" w14:textId="78122C9F" w:rsidR="004C1EFC" w:rsidRPr="00D02362" w:rsidRDefault="00D02362" w:rsidP="00727CFC">
      <w:pPr>
        <w:widowControl w:val="0"/>
        <w:spacing w:after="0"/>
        <w:jc w:val="center"/>
        <w:rPr>
          <w:rFonts w:ascii="Arial" w:hAnsi="Arial" w:cs="Arial"/>
          <w:b/>
          <w:bCs/>
          <w:caps/>
          <w:sz w:val="20"/>
          <w:szCs w:val="20"/>
        </w:rPr>
      </w:pPr>
      <w:r>
        <w:rPr>
          <w:rFonts w:ascii="Arial" w:hAnsi="Arial" w:cs="Arial"/>
          <w:b/>
          <w:bCs/>
          <w:caps/>
          <w:sz w:val="20"/>
          <w:szCs w:val="20"/>
        </w:rPr>
        <w:t>gemischte Transaktionsdynamik</w:t>
      </w:r>
      <w:r w:rsidRPr="00D02362">
        <w:rPr>
          <w:rFonts w:ascii="Arial" w:hAnsi="Arial" w:cs="Arial"/>
          <w:b/>
          <w:bCs/>
          <w:caps/>
          <w:sz w:val="20"/>
          <w:szCs w:val="20"/>
        </w:rPr>
        <w:t xml:space="preserve"> nach schwachem jahresauftakt</w:t>
      </w:r>
    </w:p>
    <w:p w14:paraId="465237C3" w14:textId="042C46C9" w:rsidR="00A035D3" w:rsidRDefault="00A035D3" w:rsidP="00727CFC">
      <w:pPr>
        <w:widowControl w:val="0"/>
        <w:spacing w:after="0"/>
        <w:jc w:val="both"/>
        <w:rPr>
          <w:rFonts w:ascii="Arial" w:hAnsi="Arial" w:cs="Arial"/>
          <w:sz w:val="20"/>
          <w:szCs w:val="20"/>
        </w:rPr>
      </w:pPr>
    </w:p>
    <w:p w14:paraId="6C459BF0" w14:textId="21A918EB" w:rsidR="00314976" w:rsidRDefault="00633C54" w:rsidP="00727CFC">
      <w:pPr>
        <w:widowControl w:val="0"/>
        <w:spacing w:after="0"/>
        <w:jc w:val="both"/>
        <w:rPr>
          <w:rFonts w:ascii="Arial" w:hAnsi="Arial" w:cs="Arial"/>
          <w:sz w:val="20"/>
          <w:szCs w:val="20"/>
        </w:rPr>
      </w:pPr>
      <w:r>
        <w:rPr>
          <w:rFonts w:ascii="Arial" w:hAnsi="Arial" w:cs="Arial"/>
          <w:sz w:val="20"/>
          <w:szCs w:val="20"/>
        </w:rPr>
        <w:t xml:space="preserve">In Köln trugen Veräußerungen </w:t>
      </w:r>
      <w:r w:rsidR="007E47A3">
        <w:rPr>
          <w:rFonts w:ascii="Arial" w:hAnsi="Arial" w:cs="Arial"/>
          <w:sz w:val="20"/>
          <w:szCs w:val="20"/>
        </w:rPr>
        <w:t>größerer Ensembles wie zuletzt mit den Gebäuden</w:t>
      </w:r>
      <w:r w:rsidR="001C37AC">
        <w:rPr>
          <w:rFonts w:ascii="Arial" w:hAnsi="Arial" w:cs="Arial"/>
          <w:sz w:val="20"/>
          <w:szCs w:val="20"/>
        </w:rPr>
        <w:t xml:space="preserve"> „The Corner</w:t>
      </w:r>
      <w:r w:rsidR="007E47A3">
        <w:rPr>
          <w:rFonts w:ascii="Arial" w:hAnsi="Arial" w:cs="Arial"/>
          <w:sz w:val="20"/>
          <w:szCs w:val="20"/>
        </w:rPr>
        <w:t xml:space="preserve"> Cologne</w:t>
      </w:r>
      <w:r w:rsidR="001C37AC">
        <w:rPr>
          <w:rFonts w:ascii="Arial" w:hAnsi="Arial" w:cs="Arial"/>
          <w:sz w:val="20"/>
          <w:szCs w:val="20"/>
        </w:rPr>
        <w:t>“ und „The Spikes“</w:t>
      </w:r>
      <w:r w:rsidR="00825859">
        <w:rPr>
          <w:rFonts w:ascii="Arial" w:hAnsi="Arial" w:cs="Arial"/>
          <w:sz w:val="20"/>
          <w:szCs w:val="20"/>
        </w:rPr>
        <w:t xml:space="preserve"> für rund 100 Mio. </w:t>
      </w:r>
      <w:r w:rsidR="001C37AC">
        <w:rPr>
          <w:rFonts w:ascii="Arial" w:hAnsi="Arial" w:cs="Arial"/>
          <w:sz w:val="20"/>
          <w:szCs w:val="20"/>
        </w:rPr>
        <w:t xml:space="preserve">€ von Proximus und Quantum an </w:t>
      </w:r>
      <w:r w:rsidR="007E47A3">
        <w:rPr>
          <w:rFonts w:ascii="Arial" w:hAnsi="Arial" w:cs="Arial"/>
          <w:sz w:val="20"/>
          <w:szCs w:val="20"/>
        </w:rPr>
        <w:t xml:space="preserve">einen </w:t>
      </w:r>
      <w:r w:rsidR="001C37AC">
        <w:rPr>
          <w:rFonts w:ascii="Arial" w:hAnsi="Arial" w:cs="Arial"/>
          <w:sz w:val="20"/>
          <w:szCs w:val="20"/>
        </w:rPr>
        <w:t>Hines</w:t>
      </w:r>
      <w:r w:rsidR="007E47A3">
        <w:rPr>
          <w:rFonts w:ascii="Arial" w:hAnsi="Arial" w:cs="Arial"/>
          <w:sz w:val="20"/>
          <w:szCs w:val="20"/>
        </w:rPr>
        <w:t>-Fonds</w:t>
      </w:r>
      <w:r w:rsidR="001C37AC">
        <w:rPr>
          <w:rFonts w:ascii="Arial" w:hAnsi="Arial" w:cs="Arial"/>
          <w:sz w:val="20"/>
          <w:szCs w:val="20"/>
        </w:rPr>
        <w:t xml:space="preserve"> </w:t>
      </w:r>
      <w:r>
        <w:rPr>
          <w:rFonts w:ascii="Arial" w:hAnsi="Arial" w:cs="Arial"/>
          <w:sz w:val="20"/>
          <w:szCs w:val="20"/>
        </w:rPr>
        <w:t xml:space="preserve">zum Umsatzplus von </w:t>
      </w:r>
      <w:r w:rsidR="001C37AC">
        <w:rPr>
          <w:rFonts w:ascii="Arial" w:hAnsi="Arial" w:cs="Arial"/>
          <w:sz w:val="20"/>
          <w:szCs w:val="20"/>
        </w:rPr>
        <w:t>33</w:t>
      </w:r>
      <w:r>
        <w:rPr>
          <w:rFonts w:ascii="Arial" w:hAnsi="Arial" w:cs="Arial"/>
          <w:sz w:val="20"/>
          <w:szCs w:val="20"/>
        </w:rPr>
        <w:t xml:space="preserve"> % bei. </w:t>
      </w:r>
      <w:r w:rsidR="007E47A3">
        <w:rPr>
          <w:rFonts w:ascii="Arial" w:hAnsi="Arial" w:cs="Arial"/>
          <w:sz w:val="20"/>
          <w:szCs w:val="20"/>
        </w:rPr>
        <w:t xml:space="preserve">Hinzu kamen außerdem Verkäufe im Einzelhandelssegment. </w:t>
      </w:r>
      <w:r w:rsidR="00825859">
        <w:rPr>
          <w:rFonts w:ascii="Arial" w:hAnsi="Arial" w:cs="Arial"/>
          <w:sz w:val="20"/>
          <w:szCs w:val="20"/>
        </w:rPr>
        <w:t>In Berlin</w:t>
      </w:r>
      <w:r w:rsidR="00F93E6D">
        <w:rPr>
          <w:rFonts w:ascii="Arial" w:hAnsi="Arial" w:cs="Arial"/>
          <w:sz w:val="20"/>
          <w:szCs w:val="20"/>
        </w:rPr>
        <w:t>,</w:t>
      </w:r>
      <w:r w:rsidR="00F93E6D" w:rsidRPr="00F93E6D">
        <w:rPr>
          <w:rFonts w:ascii="Arial" w:hAnsi="Arial" w:cs="Arial"/>
          <w:sz w:val="20"/>
          <w:szCs w:val="20"/>
        </w:rPr>
        <w:t xml:space="preserve"> </w:t>
      </w:r>
      <w:r w:rsidR="00F93E6D">
        <w:rPr>
          <w:rFonts w:ascii="Arial" w:hAnsi="Arial" w:cs="Arial"/>
          <w:sz w:val="20"/>
          <w:szCs w:val="20"/>
        </w:rPr>
        <w:t>wo die Veräußerung des „Fürst“ am Kurfürstendamm 206-209 von Vivion an Aggregate Holdings für über 1 Mrd. € für einen Sondereffekt sorgte</w:t>
      </w:r>
      <w:r w:rsidR="00F93E6D">
        <w:rPr>
          <w:rFonts w:ascii="Arial" w:hAnsi="Arial" w:cs="Arial"/>
          <w:sz w:val="20"/>
          <w:szCs w:val="20"/>
        </w:rPr>
        <w:t>,</w:t>
      </w:r>
      <w:r w:rsidR="00825859">
        <w:rPr>
          <w:rFonts w:ascii="Arial" w:hAnsi="Arial" w:cs="Arial"/>
          <w:sz w:val="20"/>
          <w:szCs w:val="20"/>
        </w:rPr>
        <w:t xml:space="preserve"> legte das Transaktionsvolumen um 24 % zu</w:t>
      </w:r>
      <w:r>
        <w:rPr>
          <w:rFonts w:ascii="Arial" w:hAnsi="Arial" w:cs="Arial"/>
          <w:sz w:val="20"/>
          <w:szCs w:val="20"/>
        </w:rPr>
        <w:t>. Einen weiteren Sondere</w:t>
      </w:r>
      <w:r w:rsidR="00F93E6D">
        <w:rPr>
          <w:rFonts w:ascii="Arial" w:hAnsi="Arial" w:cs="Arial"/>
          <w:sz w:val="20"/>
          <w:szCs w:val="20"/>
        </w:rPr>
        <w:t>ffekt gab es in München durch den Verkauf</w:t>
      </w:r>
      <w:r>
        <w:rPr>
          <w:rFonts w:ascii="Arial" w:hAnsi="Arial" w:cs="Arial"/>
          <w:sz w:val="20"/>
          <w:szCs w:val="20"/>
        </w:rPr>
        <w:t xml:space="preserve"> von </w:t>
      </w:r>
      <w:r w:rsidR="00FF1864">
        <w:rPr>
          <w:rFonts w:ascii="Arial" w:hAnsi="Arial" w:cs="Arial"/>
          <w:sz w:val="20"/>
          <w:szCs w:val="20"/>
        </w:rPr>
        <w:t xml:space="preserve">gleich </w:t>
      </w:r>
      <w:r>
        <w:rPr>
          <w:rFonts w:ascii="Arial" w:hAnsi="Arial" w:cs="Arial"/>
          <w:sz w:val="20"/>
          <w:szCs w:val="20"/>
        </w:rPr>
        <w:t xml:space="preserve">drei großvolumigen Objekten über 500 Mio. </w:t>
      </w:r>
      <w:r w:rsidR="00FF1864">
        <w:rPr>
          <w:rFonts w:ascii="Arial" w:hAnsi="Arial" w:cs="Arial"/>
          <w:sz w:val="20"/>
          <w:szCs w:val="20"/>
        </w:rPr>
        <w:t>€. Dies bescherte</w:t>
      </w:r>
      <w:r>
        <w:rPr>
          <w:rFonts w:ascii="Arial" w:hAnsi="Arial" w:cs="Arial"/>
          <w:sz w:val="20"/>
          <w:szCs w:val="20"/>
        </w:rPr>
        <w:t xml:space="preserve"> der bayerischen Landeshauptstadt ein </w:t>
      </w:r>
      <w:r w:rsidR="007B27DE">
        <w:rPr>
          <w:rFonts w:ascii="Arial" w:hAnsi="Arial" w:cs="Arial"/>
          <w:sz w:val="20"/>
          <w:szCs w:val="20"/>
        </w:rPr>
        <w:t>TAV-Rekordplus von 97 %</w:t>
      </w:r>
      <w:r>
        <w:rPr>
          <w:rFonts w:ascii="Arial" w:hAnsi="Arial" w:cs="Arial"/>
          <w:sz w:val="20"/>
          <w:szCs w:val="20"/>
        </w:rPr>
        <w:t>.</w:t>
      </w:r>
      <w:r w:rsidR="00FF1864">
        <w:rPr>
          <w:rFonts w:ascii="Arial" w:hAnsi="Arial" w:cs="Arial"/>
          <w:sz w:val="20"/>
          <w:szCs w:val="20"/>
        </w:rPr>
        <w:t xml:space="preserve"> </w:t>
      </w:r>
      <w:r w:rsidR="00AA229D" w:rsidRPr="00AA229D">
        <w:rPr>
          <w:rFonts w:ascii="Arial" w:hAnsi="Arial" w:cs="Arial"/>
          <w:sz w:val="20"/>
          <w:szCs w:val="20"/>
        </w:rPr>
        <w:t xml:space="preserve">In Düsseldorf hat die Marktdynamik im 2. Quartal 2021 wieder ein stabiles Niveau erreicht. </w:t>
      </w:r>
      <w:r w:rsidR="00AA229D">
        <w:rPr>
          <w:rFonts w:ascii="Arial" w:hAnsi="Arial" w:cs="Arial"/>
          <w:sz w:val="20"/>
          <w:szCs w:val="20"/>
        </w:rPr>
        <w:t xml:space="preserve">Aufgrund des historischen Tiefstwerts zu Jahresbeginn </w:t>
      </w:r>
      <w:r w:rsidR="00F93E6D">
        <w:rPr>
          <w:rFonts w:ascii="Arial" w:hAnsi="Arial" w:cs="Arial"/>
          <w:sz w:val="20"/>
          <w:szCs w:val="20"/>
        </w:rPr>
        <w:t>lag</w:t>
      </w:r>
      <w:r w:rsidR="00AA229D">
        <w:rPr>
          <w:rFonts w:ascii="Arial" w:hAnsi="Arial" w:cs="Arial"/>
          <w:sz w:val="20"/>
          <w:szCs w:val="20"/>
        </w:rPr>
        <w:t xml:space="preserve"> das TAV im 1. Halbjahr 2021 jedoch noch um 42 % unter dem Vorjahresniveau. </w:t>
      </w:r>
      <w:r w:rsidR="00AA229D">
        <w:rPr>
          <w:rFonts w:ascii="Arial" w:hAnsi="Arial" w:cs="Arial"/>
          <w:sz w:val="20"/>
          <w:szCs w:val="20"/>
        </w:rPr>
        <w:t>I</w:t>
      </w:r>
      <w:r w:rsidR="00AA229D" w:rsidRPr="00AA229D">
        <w:rPr>
          <w:rFonts w:ascii="Arial" w:hAnsi="Arial" w:cs="Arial"/>
          <w:sz w:val="20"/>
          <w:szCs w:val="20"/>
        </w:rPr>
        <w:t>n</w:t>
      </w:r>
      <w:r w:rsidR="00A761F2">
        <w:rPr>
          <w:rFonts w:ascii="Arial" w:hAnsi="Arial" w:cs="Arial"/>
          <w:sz w:val="20"/>
          <w:szCs w:val="20"/>
        </w:rPr>
        <w:t xml:space="preserve"> Hamburg (-46 %), Frankfurt (-34</w:t>
      </w:r>
      <w:r w:rsidR="00AA229D" w:rsidRPr="00AA229D">
        <w:rPr>
          <w:rFonts w:ascii="Arial" w:hAnsi="Arial" w:cs="Arial"/>
          <w:sz w:val="20"/>
          <w:szCs w:val="20"/>
        </w:rPr>
        <w:t xml:space="preserve"> %) und Stuttgart (-29 %)</w:t>
      </w:r>
      <w:r w:rsidR="00AA229D">
        <w:rPr>
          <w:rFonts w:ascii="Arial" w:hAnsi="Arial" w:cs="Arial"/>
          <w:sz w:val="20"/>
          <w:szCs w:val="20"/>
        </w:rPr>
        <w:t xml:space="preserve"> setzte sich d</w:t>
      </w:r>
      <w:r w:rsidR="00AA229D" w:rsidRPr="00AA229D">
        <w:rPr>
          <w:rFonts w:ascii="Arial" w:hAnsi="Arial" w:cs="Arial"/>
          <w:sz w:val="20"/>
          <w:szCs w:val="20"/>
        </w:rPr>
        <w:t xml:space="preserve">er schwache </w:t>
      </w:r>
      <w:r w:rsidR="00AA229D" w:rsidRPr="00AA229D">
        <w:rPr>
          <w:rFonts w:ascii="Arial" w:hAnsi="Arial" w:cs="Arial"/>
          <w:sz w:val="20"/>
          <w:szCs w:val="20"/>
        </w:rPr>
        <w:lastRenderedPageBreak/>
        <w:t>Jahresauftakt</w:t>
      </w:r>
      <w:r w:rsidR="00AA229D">
        <w:rPr>
          <w:rFonts w:ascii="Arial" w:hAnsi="Arial" w:cs="Arial"/>
          <w:sz w:val="20"/>
          <w:szCs w:val="20"/>
        </w:rPr>
        <w:t xml:space="preserve"> hingegen</w:t>
      </w:r>
      <w:r w:rsidR="00AA229D" w:rsidRPr="00AA229D">
        <w:rPr>
          <w:rFonts w:ascii="Arial" w:hAnsi="Arial" w:cs="Arial"/>
          <w:sz w:val="20"/>
          <w:szCs w:val="20"/>
        </w:rPr>
        <w:t xml:space="preserve"> fort, wo der anhaltende Mangel an Core-Objekten ein höheres Transaktionsvolumen verhindert. </w:t>
      </w:r>
      <w:r w:rsidR="00FF1864" w:rsidRPr="00FF1864">
        <w:rPr>
          <w:rFonts w:ascii="Arial" w:hAnsi="Arial" w:cs="Arial"/>
          <w:i/>
          <w:sz w:val="20"/>
          <w:szCs w:val="20"/>
        </w:rPr>
        <w:t>„Ein so unterschiedliches Marktgeschehen in einem zwei</w:t>
      </w:r>
      <w:r w:rsidR="006A3001">
        <w:rPr>
          <w:rFonts w:ascii="Arial" w:hAnsi="Arial" w:cs="Arial"/>
          <w:i/>
          <w:sz w:val="20"/>
          <w:szCs w:val="20"/>
        </w:rPr>
        <w:t>ten Quartal ist für gewerbliche</w:t>
      </w:r>
      <w:r w:rsidR="00FF1864" w:rsidRPr="00FF1864">
        <w:rPr>
          <w:rFonts w:ascii="Arial" w:hAnsi="Arial" w:cs="Arial"/>
          <w:i/>
          <w:sz w:val="20"/>
          <w:szCs w:val="20"/>
        </w:rPr>
        <w:t xml:space="preserve"> Immobilieninvestments sehr außergewöhnlich.</w:t>
      </w:r>
      <w:r w:rsidR="00FF1864">
        <w:rPr>
          <w:rFonts w:ascii="Arial" w:hAnsi="Arial" w:cs="Arial"/>
          <w:sz w:val="20"/>
          <w:szCs w:val="20"/>
        </w:rPr>
        <w:t xml:space="preserve"> </w:t>
      </w:r>
      <w:r w:rsidR="00FF1864" w:rsidRPr="00FF1864">
        <w:rPr>
          <w:rFonts w:ascii="Arial" w:hAnsi="Arial" w:cs="Arial"/>
          <w:i/>
          <w:sz w:val="20"/>
          <w:szCs w:val="20"/>
        </w:rPr>
        <w:t xml:space="preserve">Wie die Sondereffekte in Berlin und München zeigen, ist die Nachfrage nach Core-Objekten ungebrochen und wenn attraktive Produkte an den Markt kommen, werden neue Benchmarks erreicht“, </w:t>
      </w:r>
      <w:r w:rsidR="00FF1864">
        <w:rPr>
          <w:rFonts w:ascii="Arial" w:hAnsi="Arial" w:cs="Arial"/>
          <w:sz w:val="20"/>
          <w:szCs w:val="20"/>
        </w:rPr>
        <w:t xml:space="preserve">so </w:t>
      </w:r>
      <w:r w:rsidR="00FF1864" w:rsidRPr="00FF1864">
        <w:rPr>
          <w:rFonts w:ascii="Arial" w:hAnsi="Arial" w:cs="Arial"/>
          <w:b/>
          <w:sz w:val="20"/>
          <w:szCs w:val="20"/>
        </w:rPr>
        <w:t>Oliver Schön</w:t>
      </w:r>
      <w:r w:rsidR="00FF1864">
        <w:rPr>
          <w:rFonts w:ascii="Arial" w:hAnsi="Arial" w:cs="Arial"/>
          <w:sz w:val="20"/>
          <w:szCs w:val="20"/>
        </w:rPr>
        <w:t xml:space="preserve">, Sprecher von German Property Partners. </w:t>
      </w:r>
      <w:r w:rsidR="0072370D">
        <w:rPr>
          <w:rFonts w:ascii="Arial" w:hAnsi="Arial" w:cs="Arial"/>
          <w:sz w:val="20"/>
          <w:szCs w:val="20"/>
        </w:rPr>
        <w:t xml:space="preserve">Nach wie vor niedrig ist insgesamt noch der Anteil an Portfolio-Verkäufen mit 11 % im 1. Halbjahr 2021. Lediglich in Köln und Stuttgart </w:t>
      </w:r>
      <w:r w:rsidR="0003603A">
        <w:rPr>
          <w:rFonts w:ascii="Arial" w:hAnsi="Arial" w:cs="Arial"/>
          <w:sz w:val="20"/>
          <w:szCs w:val="20"/>
        </w:rPr>
        <w:t>lag</w:t>
      </w:r>
      <w:r w:rsidR="0072370D">
        <w:rPr>
          <w:rFonts w:ascii="Arial" w:hAnsi="Arial" w:cs="Arial"/>
          <w:sz w:val="20"/>
          <w:szCs w:val="20"/>
        </w:rPr>
        <w:t xml:space="preserve"> der Anteil über 20 %. </w:t>
      </w:r>
    </w:p>
    <w:p w14:paraId="2D7FC3FE" w14:textId="60CDF049" w:rsidR="00AA7AD2" w:rsidRPr="00DB5E18" w:rsidRDefault="00AA7AD2" w:rsidP="00727CFC">
      <w:pPr>
        <w:widowControl w:val="0"/>
        <w:spacing w:after="0"/>
        <w:jc w:val="both"/>
        <w:rPr>
          <w:rFonts w:ascii="Arial" w:hAnsi="Arial" w:cs="Arial"/>
          <w:color w:val="FF0000"/>
          <w:sz w:val="20"/>
          <w:szCs w:val="20"/>
        </w:rPr>
      </w:pPr>
    </w:p>
    <w:p w14:paraId="441E0ACC" w14:textId="4AA59A4D" w:rsidR="00487ECE" w:rsidRPr="007E5481" w:rsidRDefault="007E5481" w:rsidP="00727CFC">
      <w:pPr>
        <w:widowControl w:val="0"/>
        <w:spacing w:after="0"/>
        <w:jc w:val="center"/>
        <w:rPr>
          <w:rFonts w:ascii="Arial" w:hAnsi="Arial" w:cs="Arial"/>
          <w:b/>
          <w:bCs/>
          <w:caps/>
          <w:sz w:val="20"/>
          <w:szCs w:val="20"/>
        </w:rPr>
      </w:pPr>
      <w:r w:rsidRPr="007E5481">
        <w:rPr>
          <w:rFonts w:ascii="Arial" w:hAnsi="Arial" w:cs="Arial"/>
          <w:b/>
          <w:bCs/>
          <w:caps/>
          <w:sz w:val="20"/>
          <w:szCs w:val="20"/>
        </w:rPr>
        <w:t>Gesteigertes kaufinteresse von internationalen investoren</w:t>
      </w:r>
    </w:p>
    <w:p w14:paraId="1FB7C3C1" w14:textId="7950B649" w:rsidR="006B7430" w:rsidRDefault="006B7430" w:rsidP="00727CFC">
      <w:pPr>
        <w:widowControl w:val="0"/>
        <w:spacing w:after="0"/>
        <w:jc w:val="both"/>
        <w:rPr>
          <w:rFonts w:ascii="Arial" w:hAnsi="Arial" w:cs="Arial"/>
          <w:sz w:val="20"/>
          <w:szCs w:val="20"/>
        </w:rPr>
      </w:pPr>
    </w:p>
    <w:p w14:paraId="59E56696" w14:textId="6D6B8327" w:rsidR="001C37AC" w:rsidRDefault="001C37AC" w:rsidP="00727CFC">
      <w:pPr>
        <w:widowControl w:val="0"/>
        <w:spacing w:after="0"/>
        <w:jc w:val="both"/>
        <w:rPr>
          <w:rFonts w:ascii="Arial" w:hAnsi="Arial" w:cs="Arial"/>
          <w:sz w:val="20"/>
          <w:szCs w:val="20"/>
        </w:rPr>
      </w:pPr>
      <w:r>
        <w:rPr>
          <w:rFonts w:ascii="Arial" w:hAnsi="Arial" w:cs="Arial"/>
          <w:sz w:val="20"/>
          <w:szCs w:val="20"/>
        </w:rPr>
        <w:t xml:space="preserve">Nachdem der Anteil an internationalen Investoren im 1. Quartal 2021 im Vorjahresvergleich deutlich zurückgegangen war, ist ihr Anteil zum Ende des 2. Quartals 2021 </w:t>
      </w:r>
      <w:r w:rsidR="00825859">
        <w:rPr>
          <w:rFonts w:ascii="Arial" w:hAnsi="Arial" w:cs="Arial"/>
          <w:sz w:val="20"/>
          <w:szCs w:val="20"/>
        </w:rPr>
        <w:t>auf 37</w:t>
      </w:r>
      <w:r>
        <w:rPr>
          <w:rFonts w:ascii="Arial" w:hAnsi="Arial" w:cs="Arial"/>
          <w:sz w:val="20"/>
          <w:szCs w:val="20"/>
        </w:rPr>
        <w:t xml:space="preserve"> % gestiegen. </w:t>
      </w:r>
      <w:r w:rsidR="00825859">
        <w:rPr>
          <w:rFonts w:ascii="Arial" w:hAnsi="Arial" w:cs="Arial"/>
          <w:sz w:val="20"/>
          <w:szCs w:val="20"/>
        </w:rPr>
        <w:t xml:space="preserve">An vier der Top-7-Standorte zeigten sich </w:t>
      </w:r>
      <w:r w:rsidRPr="00825859">
        <w:rPr>
          <w:rFonts w:ascii="Arial" w:hAnsi="Arial" w:cs="Arial"/>
          <w:sz w:val="20"/>
          <w:szCs w:val="20"/>
        </w:rPr>
        <w:t xml:space="preserve">internationale Käufer </w:t>
      </w:r>
      <w:r w:rsidR="00F93E6D">
        <w:rPr>
          <w:rFonts w:ascii="Arial" w:hAnsi="Arial" w:cs="Arial"/>
          <w:sz w:val="20"/>
          <w:szCs w:val="20"/>
        </w:rPr>
        <w:t xml:space="preserve">aber </w:t>
      </w:r>
      <w:r w:rsidRPr="00825859">
        <w:rPr>
          <w:rFonts w:ascii="Arial" w:hAnsi="Arial" w:cs="Arial"/>
          <w:sz w:val="20"/>
          <w:szCs w:val="20"/>
        </w:rPr>
        <w:t>weiterhin noch nicht so aktiv wie im Vorjahreszeitraum.</w:t>
      </w:r>
      <w:r>
        <w:rPr>
          <w:rFonts w:ascii="Arial" w:hAnsi="Arial" w:cs="Arial"/>
          <w:sz w:val="20"/>
          <w:szCs w:val="20"/>
        </w:rPr>
        <w:t xml:space="preserve"> </w:t>
      </w:r>
      <w:r w:rsidR="00825859">
        <w:rPr>
          <w:rFonts w:ascii="Arial" w:hAnsi="Arial" w:cs="Arial"/>
          <w:sz w:val="20"/>
          <w:szCs w:val="20"/>
        </w:rPr>
        <w:t>Trotz der</w:t>
      </w:r>
      <w:r w:rsidR="00312C2A">
        <w:rPr>
          <w:rFonts w:ascii="Arial" w:hAnsi="Arial" w:cs="Arial"/>
          <w:sz w:val="20"/>
          <w:szCs w:val="20"/>
        </w:rPr>
        <w:t xml:space="preserve"> Groß-Transaktion </w:t>
      </w:r>
      <w:r w:rsidR="00825859">
        <w:rPr>
          <w:rFonts w:ascii="Arial" w:hAnsi="Arial" w:cs="Arial"/>
          <w:sz w:val="20"/>
          <w:szCs w:val="20"/>
        </w:rPr>
        <w:t xml:space="preserve">„Fürst“ mit internationaler Beteiligung ist auch in Berlin ihr Anteil niedriger ausgefallen. Hingegen hat diese Transaktion </w:t>
      </w:r>
      <w:r w:rsidR="00312C2A">
        <w:rPr>
          <w:rFonts w:ascii="Arial" w:hAnsi="Arial" w:cs="Arial"/>
          <w:sz w:val="20"/>
          <w:szCs w:val="20"/>
        </w:rPr>
        <w:t xml:space="preserve">dazu geführt, dass Mischnutzungs-Objekte (51 %) Büro-Immobilien (35 %) als stärkste Assetklasse </w:t>
      </w:r>
      <w:r w:rsidR="00825859">
        <w:rPr>
          <w:rFonts w:ascii="Arial" w:hAnsi="Arial" w:cs="Arial"/>
          <w:sz w:val="20"/>
          <w:szCs w:val="20"/>
        </w:rPr>
        <w:t xml:space="preserve">in der Bundeshauptstadt </w:t>
      </w:r>
      <w:r w:rsidR="00312C2A">
        <w:rPr>
          <w:rFonts w:ascii="Arial" w:hAnsi="Arial" w:cs="Arial"/>
          <w:sz w:val="20"/>
          <w:szCs w:val="20"/>
        </w:rPr>
        <w:t>verdrängt haben. An allen anderen Top-7-Standorten wurden die meisten Transaktionen mit Bürogebäuden getätigt, allen voran</w:t>
      </w:r>
      <w:r w:rsidR="006A3001">
        <w:rPr>
          <w:rFonts w:ascii="Arial" w:hAnsi="Arial" w:cs="Arial"/>
          <w:sz w:val="20"/>
          <w:szCs w:val="20"/>
        </w:rPr>
        <w:t xml:space="preserve"> in München, wo der Anteil in den ersten beiden</w:t>
      </w:r>
      <w:r w:rsidR="00312C2A">
        <w:rPr>
          <w:rFonts w:ascii="Arial" w:hAnsi="Arial" w:cs="Arial"/>
          <w:sz w:val="20"/>
          <w:szCs w:val="20"/>
        </w:rPr>
        <w:t xml:space="preserve"> Quartal</w:t>
      </w:r>
      <w:r w:rsidR="006A3001">
        <w:rPr>
          <w:rFonts w:ascii="Arial" w:hAnsi="Arial" w:cs="Arial"/>
          <w:sz w:val="20"/>
          <w:szCs w:val="20"/>
        </w:rPr>
        <w:t>en</w:t>
      </w:r>
      <w:r w:rsidR="00312C2A">
        <w:rPr>
          <w:rFonts w:ascii="Arial" w:hAnsi="Arial" w:cs="Arial"/>
          <w:sz w:val="20"/>
          <w:szCs w:val="20"/>
        </w:rPr>
        <w:t xml:space="preserve"> 2021 bei 83 % lag. </w:t>
      </w:r>
      <w:r w:rsidR="00920A52">
        <w:rPr>
          <w:rFonts w:ascii="Arial" w:hAnsi="Arial" w:cs="Arial"/>
          <w:sz w:val="20"/>
          <w:szCs w:val="20"/>
        </w:rPr>
        <w:t>Zu diesem hohen Anteil tru</w:t>
      </w:r>
      <w:bookmarkStart w:id="4" w:name="_GoBack"/>
      <w:bookmarkEnd w:id="4"/>
      <w:r w:rsidR="00DB5E18">
        <w:rPr>
          <w:rFonts w:ascii="Arial" w:hAnsi="Arial" w:cs="Arial"/>
          <w:sz w:val="20"/>
          <w:szCs w:val="20"/>
        </w:rPr>
        <w:t xml:space="preserve">gen auch </w:t>
      </w:r>
      <w:r w:rsidR="00312C2A">
        <w:rPr>
          <w:rFonts w:ascii="Arial" w:hAnsi="Arial" w:cs="Arial"/>
          <w:sz w:val="20"/>
          <w:szCs w:val="20"/>
        </w:rPr>
        <w:t>hier die genannten</w:t>
      </w:r>
      <w:r w:rsidR="00DB5E18">
        <w:rPr>
          <w:rFonts w:ascii="Arial" w:hAnsi="Arial" w:cs="Arial"/>
          <w:sz w:val="20"/>
          <w:szCs w:val="20"/>
        </w:rPr>
        <w:t xml:space="preserve"> großvolumigen Transaktionen bei. </w:t>
      </w:r>
      <w:r w:rsidR="00DB5E18" w:rsidRPr="00DB5E18">
        <w:rPr>
          <w:rFonts w:ascii="Arial" w:hAnsi="Arial" w:cs="Arial"/>
          <w:i/>
          <w:sz w:val="20"/>
          <w:szCs w:val="20"/>
        </w:rPr>
        <w:t>„Solche Sondereffekte bilden nicht das übliche Marktgeschehen ab, sodass davon auszugehen ist, dass die Marktkennzahlen im weiteren Jahresverlauf wieder ein normaleres Niveau erreichen“</w:t>
      </w:r>
      <w:r w:rsidR="00DB5E18">
        <w:rPr>
          <w:rFonts w:ascii="Arial" w:hAnsi="Arial" w:cs="Arial"/>
          <w:sz w:val="20"/>
          <w:szCs w:val="20"/>
        </w:rPr>
        <w:t xml:space="preserve">, ordnet </w:t>
      </w:r>
      <w:r w:rsidR="00DB5E18" w:rsidRPr="00DB5E18">
        <w:rPr>
          <w:rFonts w:ascii="Arial" w:hAnsi="Arial" w:cs="Arial"/>
          <w:b/>
          <w:sz w:val="20"/>
          <w:szCs w:val="20"/>
        </w:rPr>
        <w:t>Oliver Schön</w:t>
      </w:r>
      <w:r w:rsidR="00DB5E18">
        <w:rPr>
          <w:rFonts w:ascii="Arial" w:hAnsi="Arial" w:cs="Arial"/>
          <w:sz w:val="20"/>
          <w:szCs w:val="20"/>
        </w:rPr>
        <w:t xml:space="preserve"> ein. Recht unverändert zeigt sich die Entwicklung hinsichtlich der Spitzenrenditen</w:t>
      </w:r>
      <w:r w:rsidR="007E682A">
        <w:rPr>
          <w:rFonts w:ascii="Arial" w:hAnsi="Arial" w:cs="Arial"/>
          <w:sz w:val="20"/>
          <w:szCs w:val="20"/>
        </w:rPr>
        <w:t xml:space="preserve"> im Vergleich der 1. Halbjahre 2021 und 2020</w:t>
      </w:r>
      <w:r w:rsidR="00DB5E18">
        <w:rPr>
          <w:rFonts w:ascii="Arial" w:hAnsi="Arial" w:cs="Arial"/>
          <w:sz w:val="20"/>
          <w:szCs w:val="20"/>
        </w:rPr>
        <w:t xml:space="preserve">. </w:t>
      </w:r>
      <w:r w:rsidR="00AC20C3">
        <w:rPr>
          <w:rFonts w:ascii="Arial" w:hAnsi="Arial" w:cs="Arial"/>
          <w:sz w:val="20"/>
          <w:szCs w:val="20"/>
        </w:rPr>
        <w:t xml:space="preserve">Durch die hohe Nachfrage nach Core-Objekten blieb die Spitzenrendite für Büro-Immobilien </w:t>
      </w:r>
      <w:r w:rsidR="007E682A">
        <w:rPr>
          <w:rFonts w:ascii="Arial" w:hAnsi="Arial" w:cs="Arial"/>
          <w:sz w:val="20"/>
          <w:szCs w:val="20"/>
        </w:rPr>
        <w:t>im Schnitt nahezu stabil bei 2,88 % (-0,05 %-Punkte)</w:t>
      </w:r>
      <w:r w:rsidR="00AC20C3">
        <w:rPr>
          <w:rFonts w:ascii="Arial" w:hAnsi="Arial" w:cs="Arial"/>
          <w:sz w:val="20"/>
          <w:szCs w:val="20"/>
        </w:rPr>
        <w:t xml:space="preserve">. Am stärksten nachgegeben hat die Spitzenrendite in Hamburg mit -0,20 %-Punkten auf </w:t>
      </w:r>
      <w:r w:rsidR="007E682A">
        <w:rPr>
          <w:rFonts w:ascii="Arial" w:hAnsi="Arial" w:cs="Arial"/>
          <w:sz w:val="20"/>
          <w:szCs w:val="20"/>
        </w:rPr>
        <w:t>2,60 </w:t>
      </w:r>
      <w:r w:rsidR="008A23B0">
        <w:rPr>
          <w:rFonts w:ascii="Arial" w:hAnsi="Arial" w:cs="Arial"/>
          <w:sz w:val="20"/>
          <w:szCs w:val="20"/>
        </w:rPr>
        <w:t>%, die niedrigste</w:t>
      </w:r>
      <w:r w:rsidR="00AC20C3">
        <w:rPr>
          <w:rFonts w:ascii="Arial" w:hAnsi="Arial" w:cs="Arial"/>
          <w:sz w:val="20"/>
          <w:szCs w:val="20"/>
        </w:rPr>
        <w:t xml:space="preserve"> Spitzenrendite im Top-7-Vergleich. </w:t>
      </w:r>
      <w:r w:rsidR="001065B2">
        <w:rPr>
          <w:rFonts w:ascii="Arial" w:hAnsi="Arial" w:cs="Arial"/>
          <w:sz w:val="20"/>
          <w:szCs w:val="20"/>
        </w:rPr>
        <w:t>Einen signifikanten Rückgang der Spitzenrendite verzeichne</w:t>
      </w:r>
      <w:r w:rsidR="00256A25">
        <w:rPr>
          <w:rFonts w:ascii="Arial" w:hAnsi="Arial" w:cs="Arial"/>
          <w:sz w:val="20"/>
          <w:szCs w:val="20"/>
        </w:rPr>
        <w:t>te</w:t>
      </w:r>
      <w:r w:rsidR="001065B2">
        <w:rPr>
          <w:rFonts w:ascii="Arial" w:hAnsi="Arial" w:cs="Arial"/>
          <w:sz w:val="20"/>
          <w:szCs w:val="20"/>
        </w:rPr>
        <w:t>n Industrie- und Logistikimmobilien mit durchschnittlich -0,31 %-Punkten gegenüber dem 1. Halbjahr 2020 auf 3,75 %. Den höchsten Rückgang verzeichneten Köln und Stuttgart mit -0,50 %-Punkten.</w:t>
      </w:r>
    </w:p>
    <w:p w14:paraId="3DD099DD" w14:textId="77777777" w:rsidR="00BB0BF5" w:rsidRDefault="00BB0BF5" w:rsidP="00727CFC">
      <w:pPr>
        <w:widowControl w:val="0"/>
        <w:spacing w:after="0"/>
        <w:jc w:val="both"/>
        <w:rPr>
          <w:rFonts w:ascii="Arial" w:hAnsi="Arial" w:cs="Arial"/>
          <w:sz w:val="20"/>
          <w:szCs w:val="20"/>
        </w:rPr>
      </w:pPr>
    </w:p>
    <w:p w14:paraId="5BB2BD37" w14:textId="4831AFC2" w:rsidR="00D6747B" w:rsidRPr="00CA1597" w:rsidRDefault="00D6747B" w:rsidP="00CA1597">
      <w:pPr>
        <w:widowControl w:val="0"/>
        <w:spacing w:after="0"/>
        <w:jc w:val="center"/>
        <w:rPr>
          <w:rFonts w:ascii="Arial" w:eastAsiaTheme="minorEastAsia" w:hAnsi="Arial" w:cs="Arial"/>
          <w:b/>
          <w:bCs/>
          <w:sz w:val="20"/>
          <w:szCs w:val="20"/>
          <w:lang w:eastAsia="de-DE"/>
        </w:rPr>
      </w:pPr>
      <w:r w:rsidRPr="00CA1597">
        <w:rPr>
          <w:rFonts w:ascii="Arial" w:eastAsiaTheme="minorEastAsia" w:hAnsi="Arial" w:cs="Arial"/>
          <w:b/>
          <w:bCs/>
          <w:sz w:val="20"/>
          <w:szCs w:val="20"/>
          <w:lang w:eastAsia="de-DE"/>
        </w:rPr>
        <w:t>PROGNOSE</w:t>
      </w:r>
      <w:r w:rsidR="0069588E" w:rsidRPr="00CA1597">
        <w:rPr>
          <w:rFonts w:ascii="Arial" w:eastAsiaTheme="minorEastAsia" w:hAnsi="Arial" w:cs="Arial"/>
          <w:b/>
          <w:bCs/>
          <w:sz w:val="20"/>
          <w:szCs w:val="20"/>
          <w:lang w:eastAsia="de-DE"/>
        </w:rPr>
        <w:t xml:space="preserve">: </w:t>
      </w:r>
      <w:r w:rsidR="00CA1597" w:rsidRPr="00CA1597">
        <w:rPr>
          <w:rFonts w:ascii="Arial" w:eastAsiaTheme="minorEastAsia" w:hAnsi="Arial" w:cs="Arial"/>
          <w:b/>
          <w:bCs/>
          <w:sz w:val="20"/>
          <w:szCs w:val="20"/>
          <w:lang w:eastAsia="de-DE"/>
        </w:rPr>
        <w:t>MARKTBELEBUNG DURCH GROßTRANSAKTIONEN</w:t>
      </w:r>
    </w:p>
    <w:p w14:paraId="0B4A2806" w14:textId="56E863A4" w:rsidR="00D6747B" w:rsidRDefault="00D6747B" w:rsidP="00727CFC">
      <w:pPr>
        <w:widowControl w:val="0"/>
        <w:spacing w:after="0"/>
        <w:jc w:val="both"/>
        <w:rPr>
          <w:rFonts w:ascii="Arial" w:eastAsiaTheme="minorEastAsia" w:hAnsi="Arial" w:cs="Arial"/>
          <w:sz w:val="20"/>
          <w:szCs w:val="20"/>
          <w:lang w:eastAsia="de-DE"/>
        </w:rPr>
      </w:pPr>
    </w:p>
    <w:p w14:paraId="66A15F32" w14:textId="6C453FD5" w:rsidR="00FC53B5" w:rsidRDefault="0027498A" w:rsidP="00727CFC">
      <w:pPr>
        <w:widowControl w:val="0"/>
        <w:spacing w:after="0"/>
        <w:jc w:val="both"/>
        <w:rPr>
          <w:rFonts w:ascii="Arial" w:eastAsiaTheme="minorEastAsia" w:hAnsi="Arial" w:cs="Arial"/>
          <w:sz w:val="20"/>
          <w:szCs w:val="20"/>
          <w:lang w:eastAsia="de-DE"/>
        </w:rPr>
      </w:pPr>
      <w:r>
        <w:rPr>
          <w:rFonts w:ascii="Arial" w:eastAsiaTheme="minorEastAsia" w:hAnsi="Arial" w:cs="Arial"/>
          <w:sz w:val="20"/>
          <w:szCs w:val="20"/>
          <w:lang w:eastAsia="de-DE"/>
        </w:rPr>
        <w:t xml:space="preserve">Für die zweite Jahreshälfte rechnet German Property Partners an einigen Standorten mit einer weiteren Belebung des Marktes. Besonders in Hamburg, Köln und Frankfurt dürften großvolumige Transaktionen für ein solides Gesamtjahresergebnis sorgen. </w:t>
      </w:r>
      <w:r w:rsidRPr="00CA1597">
        <w:rPr>
          <w:rFonts w:ascii="Arial" w:eastAsiaTheme="minorEastAsia" w:hAnsi="Arial" w:cs="Arial"/>
          <w:i/>
          <w:sz w:val="20"/>
          <w:szCs w:val="20"/>
          <w:lang w:eastAsia="de-DE"/>
        </w:rPr>
        <w:t>„</w:t>
      </w:r>
      <w:r w:rsidR="00A643AD">
        <w:rPr>
          <w:rFonts w:ascii="Arial" w:eastAsiaTheme="minorEastAsia" w:hAnsi="Arial" w:cs="Arial"/>
          <w:i/>
          <w:sz w:val="20"/>
          <w:szCs w:val="20"/>
          <w:lang w:eastAsia="de-DE"/>
        </w:rPr>
        <w:t>Im Vergleich zum Vor-Corona-Niveau ist insgesamt aber</w:t>
      </w:r>
      <w:r w:rsidRPr="00CA1597">
        <w:rPr>
          <w:rFonts w:ascii="Arial" w:eastAsiaTheme="minorEastAsia" w:hAnsi="Arial" w:cs="Arial"/>
          <w:i/>
          <w:sz w:val="20"/>
          <w:szCs w:val="20"/>
          <w:lang w:eastAsia="de-DE"/>
        </w:rPr>
        <w:t xml:space="preserve"> </w:t>
      </w:r>
      <w:r w:rsidR="00A643AD">
        <w:rPr>
          <w:rFonts w:ascii="Arial" w:eastAsiaTheme="minorEastAsia" w:hAnsi="Arial" w:cs="Arial"/>
          <w:i/>
          <w:sz w:val="20"/>
          <w:szCs w:val="20"/>
          <w:lang w:eastAsia="de-DE"/>
        </w:rPr>
        <w:t>noch</w:t>
      </w:r>
      <w:r w:rsidRPr="00CA1597">
        <w:rPr>
          <w:rFonts w:ascii="Arial" w:eastAsiaTheme="minorEastAsia" w:hAnsi="Arial" w:cs="Arial"/>
          <w:i/>
          <w:sz w:val="20"/>
          <w:szCs w:val="20"/>
          <w:lang w:eastAsia="de-DE"/>
        </w:rPr>
        <w:t xml:space="preserve"> wenig Produkt am Markt. Gleichzeitig suchen die Investoren händeringend nach attraktiven Anlageobjekten</w:t>
      </w:r>
      <w:r w:rsidR="00CA1597" w:rsidRPr="00CA1597">
        <w:rPr>
          <w:rFonts w:ascii="Arial" w:eastAsiaTheme="minorEastAsia" w:hAnsi="Arial" w:cs="Arial"/>
          <w:i/>
          <w:sz w:val="20"/>
          <w:szCs w:val="20"/>
          <w:lang w:eastAsia="de-DE"/>
        </w:rPr>
        <w:t>. Dies dürfte auch künftig die Renditen weiter unter Druck setzen“</w:t>
      </w:r>
      <w:r w:rsidR="00CA1597">
        <w:rPr>
          <w:rFonts w:ascii="Arial" w:eastAsiaTheme="minorEastAsia" w:hAnsi="Arial" w:cs="Arial"/>
          <w:sz w:val="20"/>
          <w:szCs w:val="20"/>
          <w:lang w:eastAsia="de-DE"/>
        </w:rPr>
        <w:t xml:space="preserve">, so </w:t>
      </w:r>
      <w:r w:rsidR="00CA1597" w:rsidRPr="00256A25">
        <w:rPr>
          <w:rFonts w:ascii="Arial" w:eastAsiaTheme="minorEastAsia" w:hAnsi="Arial" w:cs="Arial"/>
          <w:b/>
          <w:sz w:val="20"/>
          <w:szCs w:val="20"/>
          <w:lang w:eastAsia="de-DE"/>
        </w:rPr>
        <w:t>Schön</w:t>
      </w:r>
      <w:r w:rsidR="00CA1597">
        <w:rPr>
          <w:rFonts w:ascii="Arial" w:eastAsiaTheme="minorEastAsia" w:hAnsi="Arial" w:cs="Arial"/>
          <w:sz w:val="20"/>
          <w:szCs w:val="20"/>
          <w:lang w:eastAsia="de-DE"/>
        </w:rPr>
        <w:t xml:space="preserve"> abschließend.</w:t>
      </w:r>
    </w:p>
    <w:p w14:paraId="769C9903" w14:textId="4AA915A0" w:rsidR="00FC53B5" w:rsidRDefault="00FC53B5" w:rsidP="00727CFC">
      <w:pPr>
        <w:widowControl w:val="0"/>
        <w:spacing w:after="0"/>
        <w:jc w:val="both"/>
        <w:rPr>
          <w:rFonts w:ascii="Arial" w:eastAsiaTheme="minorEastAsia" w:hAnsi="Arial" w:cs="Arial"/>
          <w:sz w:val="20"/>
          <w:szCs w:val="20"/>
          <w:lang w:eastAsia="de-DE"/>
        </w:rPr>
      </w:pPr>
    </w:p>
    <w:p w14:paraId="53AF7590" w14:textId="3811A426" w:rsidR="00FC53B5" w:rsidRDefault="00FC53B5" w:rsidP="00727CFC">
      <w:pPr>
        <w:widowControl w:val="0"/>
        <w:spacing w:after="0"/>
        <w:jc w:val="both"/>
        <w:rPr>
          <w:rFonts w:ascii="Arial" w:eastAsiaTheme="minorEastAsia" w:hAnsi="Arial" w:cs="Arial"/>
          <w:sz w:val="20"/>
          <w:szCs w:val="20"/>
          <w:lang w:eastAsia="de-DE"/>
        </w:rPr>
      </w:pPr>
    </w:p>
    <w:p w14:paraId="17D30712" w14:textId="71F3E867" w:rsidR="00FC53B5" w:rsidRDefault="00FC53B5" w:rsidP="00727CFC">
      <w:pPr>
        <w:widowControl w:val="0"/>
        <w:spacing w:after="0"/>
        <w:jc w:val="both"/>
        <w:rPr>
          <w:rFonts w:ascii="Arial" w:eastAsiaTheme="minorEastAsia" w:hAnsi="Arial" w:cs="Arial"/>
          <w:sz w:val="20"/>
          <w:szCs w:val="20"/>
          <w:lang w:eastAsia="de-DE"/>
        </w:rPr>
      </w:pPr>
    </w:p>
    <w:p w14:paraId="35279C20" w14:textId="77777777" w:rsidR="00FC53B5" w:rsidRDefault="00FC53B5" w:rsidP="00727CFC">
      <w:pPr>
        <w:widowControl w:val="0"/>
        <w:spacing w:after="0"/>
        <w:jc w:val="both"/>
        <w:rPr>
          <w:rFonts w:ascii="Arial" w:eastAsiaTheme="minorEastAsia" w:hAnsi="Arial" w:cs="Arial"/>
          <w:sz w:val="20"/>
          <w:szCs w:val="20"/>
          <w:lang w:eastAsia="de-DE"/>
        </w:rPr>
      </w:pPr>
    </w:p>
    <w:bookmarkEnd w:id="1"/>
    <w:bookmarkEnd w:id="3"/>
    <w:p w14:paraId="73C305EE" w14:textId="77777777" w:rsidR="00F21C81" w:rsidRDefault="00F21C81" w:rsidP="00727CFC">
      <w:pPr>
        <w:widowControl w:val="0"/>
        <w:spacing w:after="0"/>
        <w:jc w:val="both"/>
        <w:rPr>
          <w:rFonts w:ascii="Arial" w:hAnsi="Arial" w:cs="Arial"/>
          <w:sz w:val="20"/>
          <w:szCs w:val="20"/>
        </w:rPr>
      </w:pPr>
    </w:p>
    <w:p w14:paraId="32FF8DF1" w14:textId="535A9D72" w:rsidR="0071679E" w:rsidRDefault="0071679E" w:rsidP="00727CFC">
      <w:pPr>
        <w:widowControl w:val="0"/>
        <w:spacing w:after="0"/>
        <w:jc w:val="both"/>
        <w:rPr>
          <w:rFonts w:ascii="Arial" w:hAnsi="Arial" w:cs="Arial"/>
          <w:sz w:val="20"/>
          <w:szCs w:val="20"/>
        </w:rPr>
      </w:pPr>
    </w:p>
    <w:p w14:paraId="143EE438" w14:textId="693C85F3" w:rsidR="006A0566" w:rsidRDefault="006A0566" w:rsidP="006A0566">
      <w:pPr>
        <w:spacing w:after="0" w:line="240" w:lineRule="auto"/>
        <w:jc w:val="both"/>
        <w:rPr>
          <w:rFonts w:ascii="Arial" w:hAnsi="Arial" w:cs="Arial"/>
          <w:b/>
          <w:sz w:val="20"/>
          <w:szCs w:val="20"/>
        </w:rPr>
      </w:pPr>
      <w:r w:rsidRPr="00EE7FCA">
        <w:rPr>
          <w:rFonts w:ascii="Arial" w:hAnsi="Arial" w:cs="Arial"/>
          <w:b/>
          <w:sz w:val="20"/>
          <w:szCs w:val="20"/>
        </w:rPr>
        <w:lastRenderedPageBreak/>
        <w:t>Top</w:t>
      </w:r>
      <w:r>
        <w:rPr>
          <w:rFonts w:ascii="Arial" w:hAnsi="Arial" w:cs="Arial"/>
          <w:b/>
          <w:sz w:val="20"/>
          <w:szCs w:val="20"/>
        </w:rPr>
        <w:t xml:space="preserve"> 10 </w:t>
      </w:r>
      <w:r w:rsidRPr="00EE7FCA">
        <w:rPr>
          <w:rFonts w:ascii="Arial" w:hAnsi="Arial" w:cs="Arial"/>
          <w:b/>
          <w:sz w:val="20"/>
          <w:szCs w:val="20"/>
        </w:rPr>
        <w:t>bekannte Abschlüsse</w:t>
      </w:r>
      <w:r w:rsidR="00B40217">
        <w:rPr>
          <w:rFonts w:ascii="Arial" w:hAnsi="Arial" w:cs="Arial"/>
          <w:b/>
          <w:sz w:val="20"/>
          <w:szCs w:val="20"/>
        </w:rPr>
        <w:t xml:space="preserve"> | Top-7-Standorte | 1.</w:t>
      </w:r>
      <w:r w:rsidR="007E47A3">
        <w:rPr>
          <w:rFonts w:ascii="Arial" w:hAnsi="Arial" w:cs="Arial"/>
          <w:b/>
          <w:sz w:val="20"/>
          <w:szCs w:val="20"/>
        </w:rPr>
        <w:t>-2.</w:t>
      </w:r>
      <w:r>
        <w:rPr>
          <w:rFonts w:ascii="Arial" w:hAnsi="Arial" w:cs="Arial"/>
          <w:b/>
          <w:sz w:val="20"/>
          <w:szCs w:val="20"/>
        </w:rPr>
        <w:t xml:space="preserve"> Quartal 20</w:t>
      </w:r>
      <w:r w:rsidR="00B40217">
        <w:rPr>
          <w:rFonts w:ascii="Arial" w:hAnsi="Arial" w:cs="Arial"/>
          <w:b/>
          <w:sz w:val="20"/>
          <w:szCs w:val="20"/>
        </w:rPr>
        <w:t>21</w:t>
      </w:r>
    </w:p>
    <w:tbl>
      <w:tblPr>
        <w:tblStyle w:val="TableGrid1"/>
        <w:tblW w:w="9231" w:type="dxa"/>
        <w:tblLayout w:type="fixed"/>
        <w:tblLook w:val="04A0" w:firstRow="1" w:lastRow="0" w:firstColumn="1" w:lastColumn="0" w:noHBand="0" w:noVBand="1"/>
      </w:tblPr>
      <w:tblGrid>
        <w:gridCol w:w="687"/>
        <w:gridCol w:w="2682"/>
        <w:gridCol w:w="2658"/>
        <w:gridCol w:w="2190"/>
        <w:gridCol w:w="1014"/>
      </w:tblGrid>
      <w:tr w:rsidR="006A0566" w:rsidRPr="006F49D0" w14:paraId="39E8140D" w14:textId="77777777" w:rsidTr="00280AC0">
        <w:trPr>
          <w:trHeight w:val="552"/>
        </w:trPr>
        <w:tc>
          <w:tcPr>
            <w:tcW w:w="687" w:type="dxa"/>
            <w:shd w:val="clear" w:color="auto" w:fill="auto"/>
            <w:vAlign w:val="center"/>
          </w:tcPr>
          <w:p w14:paraId="4BC5FD6D"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Stadt</w:t>
            </w:r>
          </w:p>
        </w:tc>
        <w:tc>
          <w:tcPr>
            <w:tcW w:w="2682" w:type="dxa"/>
            <w:shd w:val="clear" w:color="auto" w:fill="auto"/>
            <w:vAlign w:val="center"/>
          </w:tcPr>
          <w:p w14:paraId="05982A93"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Projekt/Objekt</w:t>
            </w:r>
          </w:p>
        </w:tc>
        <w:tc>
          <w:tcPr>
            <w:tcW w:w="2658" w:type="dxa"/>
            <w:shd w:val="clear" w:color="auto" w:fill="auto"/>
            <w:vAlign w:val="center"/>
          </w:tcPr>
          <w:p w14:paraId="39A5F310"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Käufer</w:t>
            </w:r>
          </w:p>
        </w:tc>
        <w:tc>
          <w:tcPr>
            <w:tcW w:w="2190" w:type="dxa"/>
            <w:shd w:val="clear" w:color="auto" w:fill="auto"/>
            <w:vAlign w:val="center"/>
          </w:tcPr>
          <w:p w14:paraId="2E6A865A"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Verkäufer</w:t>
            </w:r>
          </w:p>
        </w:tc>
        <w:tc>
          <w:tcPr>
            <w:tcW w:w="1014" w:type="dxa"/>
            <w:shd w:val="clear" w:color="auto" w:fill="auto"/>
            <w:vAlign w:val="center"/>
          </w:tcPr>
          <w:p w14:paraId="47B106DB"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KP</w:t>
            </w:r>
            <w:r>
              <w:rPr>
                <w:rFonts w:ascii="Arial" w:hAnsi="Arial" w:cs="Arial"/>
                <w:b/>
                <w:sz w:val="16"/>
                <w:szCs w:val="16"/>
              </w:rPr>
              <w:t>*</w:t>
            </w:r>
          </w:p>
          <w:p w14:paraId="6D60E96E" w14:textId="77777777" w:rsidR="006A0566" w:rsidRPr="006F49D0" w:rsidRDefault="006A0566" w:rsidP="00CB4698">
            <w:pPr>
              <w:widowControl w:val="0"/>
              <w:jc w:val="center"/>
              <w:rPr>
                <w:rFonts w:ascii="Arial" w:hAnsi="Arial" w:cs="Arial"/>
                <w:b/>
                <w:sz w:val="16"/>
                <w:szCs w:val="16"/>
              </w:rPr>
            </w:pPr>
            <w:r w:rsidRPr="006F49D0">
              <w:rPr>
                <w:rFonts w:ascii="Arial" w:hAnsi="Arial" w:cs="Arial"/>
                <w:sz w:val="16"/>
                <w:szCs w:val="16"/>
              </w:rPr>
              <w:t>(ca. Mio. €)</w:t>
            </w:r>
          </w:p>
        </w:tc>
      </w:tr>
      <w:tr w:rsidR="00A17B9C" w:rsidRPr="006F49D0" w14:paraId="5D2561C0" w14:textId="77777777" w:rsidTr="00517975">
        <w:trPr>
          <w:trHeight w:val="552"/>
        </w:trPr>
        <w:tc>
          <w:tcPr>
            <w:tcW w:w="687" w:type="dxa"/>
            <w:shd w:val="clear" w:color="auto" w:fill="D9D9D9" w:themeFill="background1" w:themeFillShade="D9"/>
            <w:vAlign w:val="center"/>
          </w:tcPr>
          <w:p w14:paraId="04822A2A" w14:textId="593A14F5" w:rsidR="00A17B9C" w:rsidRPr="002C7BE0" w:rsidRDefault="00517975" w:rsidP="00CB4698">
            <w:pPr>
              <w:widowControl w:val="0"/>
              <w:jc w:val="center"/>
              <w:rPr>
                <w:rFonts w:ascii="Arial" w:hAnsi="Arial" w:cs="Arial"/>
                <w:sz w:val="16"/>
                <w:szCs w:val="16"/>
              </w:rPr>
            </w:pPr>
            <w:r>
              <w:rPr>
                <w:rFonts w:ascii="Arial" w:hAnsi="Arial" w:cs="Arial"/>
                <w:sz w:val="16"/>
                <w:szCs w:val="16"/>
              </w:rPr>
              <w:t>BER</w:t>
            </w:r>
          </w:p>
        </w:tc>
        <w:tc>
          <w:tcPr>
            <w:tcW w:w="2682" w:type="dxa"/>
            <w:shd w:val="clear" w:color="auto" w:fill="D9D9D9" w:themeFill="background1" w:themeFillShade="D9"/>
            <w:vAlign w:val="center"/>
          </w:tcPr>
          <w:p w14:paraId="109831D3" w14:textId="4B591E40" w:rsidR="00A17B9C" w:rsidRPr="002C7BE0" w:rsidRDefault="00517975" w:rsidP="00CB4698">
            <w:pPr>
              <w:widowControl w:val="0"/>
              <w:jc w:val="center"/>
              <w:rPr>
                <w:rFonts w:ascii="Arial" w:hAnsi="Arial" w:cs="Arial"/>
                <w:sz w:val="16"/>
                <w:szCs w:val="16"/>
              </w:rPr>
            </w:pPr>
            <w:r>
              <w:rPr>
                <w:rFonts w:ascii="Arial" w:hAnsi="Arial" w:cs="Arial"/>
                <w:sz w:val="16"/>
                <w:szCs w:val="16"/>
              </w:rPr>
              <w:t>„Fürst“, Kurfürstendamm 206-209</w:t>
            </w:r>
          </w:p>
        </w:tc>
        <w:tc>
          <w:tcPr>
            <w:tcW w:w="2658" w:type="dxa"/>
            <w:shd w:val="clear" w:color="auto" w:fill="D9D9D9" w:themeFill="background1" w:themeFillShade="D9"/>
            <w:vAlign w:val="center"/>
          </w:tcPr>
          <w:p w14:paraId="39BC37B5" w14:textId="565DACBA" w:rsidR="00A17B9C" w:rsidRPr="002C7BE0" w:rsidRDefault="00517975" w:rsidP="00CB4698">
            <w:pPr>
              <w:widowControl w:val="0"/>
              <w:jc w:val="center"/>
              <w:rPr>
                <w:rFonts w:ascii="Arial" w:hAnsi="Arial" w:cs="Arial"/>
                <w:sz w:val="16"/>
                <w:szCs w:val="16"/>
              </w:rPr>
            </w:pPr>
            <w:r>
              <w:rPr>
                <w:rFonts w:ascii="Arial" w:hAnsi="Arial" w:cs="Arial"/>
                <w:sz w:val="16"/>
                <w:szCs w:val="16"/>
              </w:rPr>
              <w:t>Aggregate Holdings</w:t>
            </w:r>
          </w:p>
        </w:tc>
        <w:tc>
          <w:tcPr>
            <w:tcW w:w="2190" w:type="dxa"/>
            <w:shd w:val="clear" w:color="auto" w:fill="D9D9D9" w:themeFill="background1" w:themeFillShade="D9"/>
            <w:vAlign w:val="center"/>
          </w:tcPr>
          <w:p w14:paraId="04B1DC3F" w14:textId="15CF80B4" w:rsidR="00A17B9C" w:rsidRPr="002C7BE0" w:rsidRDefault="00517975" w:rsidP="00CB4698">
            <w:pPr>
              <w:widowControl w:val="0"/>
              <w:jc w:val="center"/>
              <w:rPr>
                <w:rFonts w:ascii="Arial" w:hAnsi="Arial" w:cs="Arial"/>
                <w:sz w:val="16"/>
                <w:szCs w:val="16"/>
              </w:rPr>
            </w:pPr>
            <w:r>
              <w:rPr>
                <w:rFonts w:ascii="Arial" w:hAnsi="Arial" w:cs="Arial"/>
                <w:sz w:val="16"/>
                <w:szCs w:val="16"/>
              </w:rPr>
              <w:t>Vivion</w:t>
            </w:r>
          </w:p>
        </w:tc>
        <w:tc>
          <w:tcPr>
            <w:tcW w:w="1014" w:type="dxa"/>
            <w:shd w:val="clear" w:color="auto" w:fill="D9D9D9" w:themeFill="background1" w:themeFillShade="D9"/>
            <w:vAlign w:val="center"/>
          </w:tcPr>
          <w:p w14:paraId="365B06EC" w14:textId="193DD664" w:rsidR="00A17B9C" w:rsidRPr="002C7BE0" w:rsidRDefault="00517975" w:rsidP="00CB4698">
            <w:pPr>
              <w:widowControl w:val="0"/>
              <w:jc w:val="center"/>
              <w:rPr>
                <w:rFonts w:ascii="Arial" w:hAnsi="Arial" w:cs="Arial"/>
                <w:sz w:val="16"/>
                <w:szCs w:val="16"/>
              </w:rPr>
            </w:pPr>
            <w:r>
              <w:rPr>
                <w:rFonts w:ascii="Arial" w:hAnsi="Arial" w:cs="Arial"/>
                <w:sz w:val="16"/>
                <w:szCs w:val="16"/>
              </w:rPr>
              <w:t>&gt;1.000</w:t>
            </w:r>
          </w:p>
        </w:tc>
      </w:tr>
      <w:tr w:rsidR="00517975" w:rsidRPr="006F49D0" w14:paraId="0ED9713D" w14:textId="77777777" w:rsidTr="00517975">
        <w:trPr>
          <w:trHeight w:val="552"/>
        </w:trPr>
        <w:tc>
          <w:tcPr>
            <w:tcW w:w="687" w:type="dxa"/>
            <w:shd w:val="clear" w:color="auto" w:fill="D9D9D9" w:themeFill="background1" w:themeFillShade="D9"/>
            <w:vAlign w:val="center"/>
          </w:tcPr>
          <w:p w14:paraId="6B341D0A" w14:textId="5895F3E8" w:rsidR="00517975" w:rsidRDefault="00517975" w:rsidP="00CB4698">
            <w:pPr>
              <w:widowControl w:val="0"/>
              <w:jc w:val="center"/>
              <w:rPr>
                <w:rFonts w:ascii="Arial" w:hAnsi="Arial" w:cs="Arial"/>
                <w:sz w:val="16"/>
                <w:szCs w:val="16"/>
              </w:rPr>
            </w:pPr>
            <w:r>
              <w:rPr>
                <w:rFonts w:ascii="Arial" w:hAnsi="Arial" w:cs="Arial"/>
                <w:sz w:val="16"/>
                <w:szCs w:val="16"/>
              </w:rPr>
              <w:t>MUC</w:t>
            </w:r>
          </w:p>
        </w:tc>
        <w:tc>
          <w:tcPr>
            <w:tcW w:w="2682" w:type="dxa"/>
            <w:shd w:val="clear" w:color="auto" w:fill="D9D9D9" w:themeFill="background1" w:themeFillShade="D9"/>
            <w:vAlign w:val="center"/>
          </w:tcPr>
          <w:p w14:paraId="4E308EF0" w14:textId="77777777" w:rsidR="000863AC" w:rsidRDefault="00517975" w:rsidP="00CB4698">
            <w:pPr>
              <w:widowControl w:val="0"/>
              <w:jc w:val="center"/>
              <w:rPr>
                <w:rFonts w:ascii="Arial" w:hAnsi="Arial" w:cs="Arial"/>
                <w:sz w:val="16"/>
                <w:szCs w:val="16"/>
              </w:rPr>
            </w:pPr>
            <w:r>
              <w:rPr>
                <w:rFonts w:ascii="Arial" w:hAnsi="Arial" w:cs="Arial"/>
                <w:sz w:val="16"/>
                <w:szCs w:val="16"/>
              </w:rPr>
              <w:t xml:space="preserve">„Highlight Towers“, </w:t>
            </w:r>
          </w:p>
          <w:p w14:paraId="494B010B" w14:textId="0E46D39B" w:rsidR="00517975" w:rsidRDefault="00517975" w:rsidP="00CB4698">
            <w:pPr>
              <w:widowControl w:val="0"/>
              <w:jc w:val="center"/>
              <w:rPr>
                <w:rFonts w:ascii="Arial" w:hAnsi="Arial" w:cs="Arial"/>
                <w:sz w:val="16"/>
                <w:szCs w:val="16"/>
              </w:rPr>
            </w:pPr>
            <w:r>
              <w:rPr>
                <w:rFonts w:ascii="Arial" w:hAnsi="Arial" w:cs="Arial"/>
                <w:sz w:val="16"/>
                <w:szCs w:val="16"/>
              </w:rPr>
              <w:t>Mies-van-der-Rohe-Straße 6</w:t>
            </w:r>
          </w:p>
        </w:tc>
        <w:tc>
          <w:tcPr>
            <w:tcW w:w="2658" w:type="dxa"/>
            <w:shd w:val="clear" w:color="auto" w:fill="D9D9D9" w:themeFill="background1" w:themeFillShade="D9"/>
            <w:vAlign w:val="center"/>
          </w:tcPr>
          <w:p w14:paraId="5D73D8F0" w14:textId="156C1C7E" w:rsidR="00517975" w:rsidRDefault="00517975" w:rsidP="00CB4698">
            <w:pPr>
              <w:widowControl w:val="0"/>
              <w:jc w:val="center"/>
              <w:rPr>
                <w:rFonts w:ascii="Arial" w:hAnsi="Arial" w:cs="Arial"/>
                <w:sz w:val="16"/>
                <w:szCs w:val="16"/>
              </w:rPr>
            </w:pPr>
            <w:r>
              <w:rPr>
                <w:rFonts w:ascii="Arial" w:hAnsi="Arial" w:cs="Arial"/>
                <w:sz w:val="16"/>
                <w:szCs w:val="16"/>
              </w:rPr>
              <w:t>Imfarr + SN</w:t>
            </w:r>
          </w:p>
        </w:tc>
        <w:tc>
          <w:tcPr>
            <w:tcW w:w="2190" w:type="dxa"/>
            <w:shd w:val="clear" w:color="auto" w:fill="D9D9D9" w:themeFill="background1" w:themeFillShade="D9"/>
            <w:vAlign w:val="center"/>
          </w:tcPr>
          <w:p w14:paraId="40565624" w14:textId="7FF211A6" w:rsidR="00517975" w:rsidRDefault="00517975" w:rsidP="00CB4698">
            <w:pPr>
              <w:widowControl w:val="0"/>
              <w:jc w:val="center"/>
              <w:rPr>
                <w:rFonts w:ascii="Arial" w:hAnsi="Arial" w:cs="Arial"/>
                <w:sz w:val="16"/>
                <w:szCs w:val="16"/>
              </w:rPr>
            </w:pPr>
            <w:r>
              <w:rPr>
                <w:rFonts w:ascii="Arial" w:hAnsi="Arial" w:cs="Arial"/>
                <w:sz w:val="16"/>
                <w:szCs w:val="16"/>
              </w:rPr>
              <w:t>Commerz Real</w:t>
            </w:r>
          </w:p>
        </w:tc>
        <w:tc>
          <w:tcPr>
            <w:tcW w:w="1014" w:type="dxa"/>
            <w:shd w:val="clear" w:color="auto" w:fill="D9D9D9" w:themeFill="background1" w:themeFillShade="D9"/>
            <w:vAlign w:val="center"/>
          </w:tcPr>
          <w:p w14:paraId="4B336C95" w14:textId="132AB334" w:rsidR="00517975" w:rsidRDefault="00517975" w:rsidP="00CB4698">
            <w:pPr>
              <w:widowControl w:val="0"/>
              <w:jc w:val="center"/>
              <w:rPr>
                <w:rFonts w:ascii="Arial" w:hAnsi="Arial" w:cs="Arial"/>
                <w:sz w:val="16"/>
                <w:szCs w:val="16"/>
              </w:rPr>
            </w:pPr>
            <w:r>
              <w:rPr>
                <w:rFonts w:ascii="Arial" w:hAnsi="Arial" w:cs="Arial"/>
                <w:sz w:val="16"/>
                <w:szCs w:val="16"/>
              </w:rPr>
              <w:t>650</w:t>
            </w:r>
          </w:p>
        </w:tc>
      </w:tr>
      <w:tr w:rsidR="00517975" w:rsidRPr="006F49D0" w14:paraId="5F371FBE" w14:textId="77777777" w:rsidTr="00517975">
        <w:trPr>
          <w:trHeight w:val="552"/>
        </w:trPr>
        <w:tc>
          <w:tcPr>
            <w:tcW w:w="687" w:type="dxa"/>
            <w:shd w:val="clear" w:color="auto" w:fill="D9D9D9" w:themeFill="background1" w:themeFillShade="D9"/>
            <w:vAlign w:val="center"/>
          </w:tcPr>
          <w:p w14:paraId="3D9D4003" w14:textId="4E5A11AA" w:rsidR="00517975" w:rsidRDefault="00517975" w:rsidP="00CB4698">
            <w:pPr>
              <w:widowControl w:val="0"/>
              <w:jc w:val="center"/>
              <w:rPr>
                <w:rFonts w:ascii="Arial" w:hAnsi="Arial" w:cs="Arial"/>
                <w:sz w:val="16"/>
                <w:szCs w:val="16"/>
              </w:rPr>
            </w:pPr>
            <w:r>
              <w:rPr>
                <w:rFonts w:ascii="Arial" w:hAnsi="Arial" w:cs="Arial"/>
                <w:sz w:val="16"/>
                <w:szCs w:val="16"/>
              </w:rPr>
              <w:t>MUC</w:t>
            </w:r>
          </w:p>
        </w:tc>
        <w:tc>
          <w:tcPr>
            <w:tcW w:w="2682" w:type="dxa"/>
            <w:shd w:val="clear" w:color="auto" w:fill="D9D9D9" w:themeFill="background1" w:themeFillShade="D9"/>
            <w:vAlign w:val="center"/>
          </w:tcPr>
          <w:p w14:paraId="741DF718" w14:textId="77777777" w:rsidR="000863AC" w:rsidRDefault="000863AC" w:rsidP="00CB4698">
            <w:pPr>
              <w:widowControl w:val="0"/>
              <w:jc w:val="center"/>
              <w:rPr>
                <w:rFonts w:ascii="Arial" w:hAnsi="Arial" w:cs="Arial"/>
                <w:sz w:val="16"/>
                <w:szCs w:val="16"/>
              </w:rPr>
            </w:pPr>
            <w:r>
              <w:rPr>
                <w:rFonts w:ascii="Arial" w:hAnsi="Arial" w:cs="Arial"/>
                <w:sz w:val="16"/>
                <w:szCs w:val="16"/>
              </w:rPr>
              <w:t xml:space="preserve">„Media Works“, </w:t>
            </w:r>
          </w:p>
          <w:p w14:paraId="54AD9B17" w14:textId="352CEC76" w:rsidR="00517975" w:rsidRDefault="000863AC" w:rsidP="00CB4698">
            <w:pPr>
              <w:widowControl w:val="0"/>
              <w:jc w:val="center"/>
              <w:rPr>
                <w:rFonts w:ascii="Arial" w:hAnsi="Arial" w:cs="Arial"/>
                <w:sz w:val="16"/>
                <w:szCs w:val="16"/>
              </w:rPr>
            </w:pPr>
            <w:r>
              <w:rPr>
                <w:rFonts w:ascii="Arial" w:hAnsi="Arial" w:cs="Arial"/>
                <w:sz w:val="16"/>
                <w:szCs w:val="16"/>
              </w:rPr>
              <w:t>Rosenheimer Straße 145</w:t>
            </w:r>
            <w:r w:rsidR="00C63294">
              <w:rPr>
                <w:rFonts w:ascii="Arial" w:hAnsi="Arial" w:cs="Arial"/>
                <w:sz w:val="16"/>
                <w:szCs w:val="16"/>
              </w:rPr>
              <w:t>a-i / Anzinger Straße 1-17</w:t>
            </w:r>
          </w:p>
        </w:tc>
        <w:tc>
          <w:tcPr>
            <w:tcW w:w="2658" w:type="dxa"/>
            <w:shd w:val="clear" w:color="auto" w:fill="D9D9D9" w:themeFill="background1" w:themeFillShade="D9"/>
            <w:vAlign w:val="center"/>
          </w:tcPr>
          <w:p w14:paraId="23239FB1" w14:textId="67B8601B" w:rsidR="00517975" w:rsidRDefault="000863AC" w:rsidP="00CB4698">
            <w:pPr>
              <w:widowControl w:val="0"/>
              <w:jc w:val="center"/>
              <w:rPr>
                <w:rFonts w:ascii="Arial" w:hAnsi="Arial" w:cs="Arial"/>
                <w:sz w:val="16"/>
                <w:szCs w:val="16"/>
              </w:rPr>
            </w:pPr>
            <w:r>
              <w:rPr>
                <w:rFonts w:ascii="Arial" w:hAnsi="Arial" w:cs="Arial"/>
                <w:sz w:val="16"/>
                <w:szCs w:val="16"/>
              </w:rPr>
              <w:t>Union Investment und Hines</w:t>
            </w:r>
          </w:p>
        </w:tc>
        <w:tc>
          <w:tcPr>
            <w:tcW w:w="2190" w:type="dxa"/>
            <w:shd w:val="clear" w:color="auto" w:fill="D9D9D9" w:themeFill="background1" w:themeFillShade="D9"/>
            <w:vAlign w:val="center"/>
          </w:tcPr>
          <w:p w14:paraId="28B21714" w14:textId="27BD5EAA" w:rsidR="00517975" w:rsidRDefault="000863AC" w:rsidP="00CB4698">
            <w:pPr>
              <w:widowControl w:val="0"/>
              <w:jc w:val="center"/>
              <w:rPr>
                <w:rFonts w:ascii="Arial" w:hAnsi="Arial" w:cs="Arial"/>
                <w:sz w:val="16"/>
                <w:szCs w:val="16"/>
              </w:rPr>
            </w:pPr>
            <w:r>
              <w:rPr>
                <w:rFonts w:ascii="Arial" w:hAnsi="Arial" w:cs="Arial"/>
                <w:sz w:val="16"/>
                <w:szCs w:val="16"/>
              </w:rPr>
              <w:t>Officefirst</w:t>
            </w:r>
          </w:p>
        </w:tc>
        <w:tc>
          <w:tcPr>
            <w:tcW w:w="1014" w:type="dxa"/>
            <w:shd w:val="clear" w:color="auto" w:fill="D9D9D9" w:themeFill="background1" w:themeFillShade="D9"/>
            <w:vAlign w:val="center"/>
          </w:tcPr>
          <w:p w14:paraId="532C2292" w14:textId="347794B4" w:rsidR="00517975" w:rsidRDefault="000863AC" w:rsidP="00CB4698">
            <w:pPr>
              <w:widowControl w:val="0"/>
              <w:jc w:val="center"/>
              <w:rPr>
                <w:rFonts w:ascii="Arial" w:hAnsi="Arial" w:cs="Arial"/>
                <w:sz w:val="16"/>
                <w:szCs w:val="16"/>
              </w:rPr>
            </w:pPr>
            <w:r>
              <w:rPr>
                <w:rFonts w:ascii="Arial" w:hAnsi="Arial" w:cs="Arial"/>
                <w:sz w:val="16"/>
                <w:szCs w:val="16"/>
              </w:rPr>
              <w:t>650</w:t>
            </w:r>
          </w:p>
        </w:tc>
      </w:tr>
      <w:tr w:rsidR="000863AC" w:rsidRPr="006F49D0" w14:paraId="2FE25EB1" w14:textId="77777777" w:rsidTr="00517975">
        <w:trPr>
          <w:trHeight w:val="552"/>
        </w:trPr>
        <w:tc>
          <w:tcPr>
            <w:tcW w:w="687" w:type="dxa"/>
            <w:shd w:val="clear" w:color="auto" w:fill="D9D9D9" w:themeFill="background1" w:themeFillShade="D9"/>
            <w:vAlign w:val="center"/>
          </w:tcPr>
          <w:p w14:paraId="2B5023B8" w14:textId="12C3F163" w:rsidR="000863AC" w:rsidRDefault="000863AC" w:rsidP="00CB4698">
            <w:pPr>
              <w:widowControl w:val="0"/>
              <w:jc w:val="center"/>
              <w:rPr>
                <w:rFonts w:ascii="Arial" w:hAnsi="Arial" w:cs="Arial"/>
                <w:sz w:val="16"/>
                <w:szCs w:val="16"/>
              </w:rPr>
            </w:pPr>
            <w:r>
              <w:rPr>
                <w:rFonts w:ascii="Arial" w:hAnsi="Arial" w:cs="Arial"/>
                <w:sz w:val="16"/>
                <w:szCs w:val="16"/>
              </w:rPr>
              <w:t>MUC</w:t>
            </w:r>
          </w:p>
        </w:tc>
        <w:tc>
          <w:tcPr>
            <w:tcW w:w="2682" w:type="dxa"/>
            <w:shd w:val="clear" w:color="auto" w:fill="D9D9D9" w:themeFill="background1" w:themeFillShade="D9"/>
            <w:vAlign w:val="center"/>
          </w:tcPr>
          <w:p w14:paraId="7A583A4D" w14:textId="77777777" w:rsidR="000863AC" w:rsidRDefault="000863AC" w:rsidP="00CB4698">
            <w:pPr>
              <w:widowControl w:val="0"/>
              <w:jc w:val="center"/>
              <w:rPr>
                <w:rFonts w:ascii="Arial" w:hAnsi="Arial" w:cs="Arial"/>
                <w:sz w:val="16"/>
                <w:szCs w:val="16"/>
              </w:rPr>
            </w:pPr>
            <w:r>
              <w:rPr>
                <w:rFonts w:ascii="Arial" w:hAnsi="Arial" w:cs="Arial"/>
                <w:sz w:val="16"/>
                <w:szCs w:val="16"/>
              </w:rPr>
              <w:t>„O2 Tower“,</w:t>
            </w:r>
          </w:p>
          <w:p w14:paraId="3C771107" w14:textId="4BD724BE" w:rsidR="000863AC" w:rsidRDefault="000863AC" w:rsidP="00CB4698">
            <w:pPr>
              <w:widowControl w:val="0"/>
              <w:jc w:val="center"/>
              <w:rPr>
                <w:rFonts w:ascii="Arial" w:hAnsi="Arial" w:cs="Arial"/>
                <w:sz w:val="16"/>
                <w:szCs w:val="16"/>
              </w:rPr>
            </w:pPr>
            <w:r>
              <w:rPr>
                <w:rFonts w:ascii="Arial" w:hAnsi="Arial" w:cs="Arial"/>
                <w:sz w:val="16"/>
                <w:szCs w:val="16"/>
              </w:rPr>
              <w:t>Georg-Brauchle-Ring</w:t>
            </w:r>
          </w:p>
        </w:tc>
        <w:tc>
          <w:tcPr>
            <w:tcW w:w="2658" w:type="dxa"/>
            <w:shd w:val="clear" w:color="auto" w:fill="D9D9D9" w:themeFill="background1" w:themeFillShade="D9"/>
            <w:vAlign w:val="center"/>
          </w:tcPr>
          <w:p w14:paraId="3ED50273" w14:textId="3CF52FE1" w:rsidR="000863AC" w:rsidRDefault="000863AC" w:rsidP="00CB4698">
            <w:pPr>
              <w:widowControl w:val="0"/>
              <w:jc w:val="center"/>
              <w:rPr>
                <w:rFonts w:ascii="Arial" w:hAnsi="Arial" w:cs="Arial"/>
                <w:sz w:val="16"/>
                <w:szCs w:val="16"/>
              </w:rPr>
            </w:pPr>
            <w:r>
              <w:rPr>
                <w:rFonts w:ascii="Arial" w:hAnsi="Arial" w:cs="Arial"/>
                <w:sz w:val="16"/>
                <w:szCs w:val="16"/>
              </w:rPr>
              <w:t>DIC Asset</w:t>
            </w:r>
          </w:p>
        </w:tc>
        <w:tc>
          <w:tcPr>
            <w:tcW w:w="2190" w:type="dxa"/>
            <w:shd w:val="clear" w:color="auto" w:fill="D9D9D9" w:themeFill="background1" w:themeFillShade="D9"/>
            <w:vAlign w:val="center"/>
          </w:tcPr>
          <w:p w14:paraId="0CCBC581" w14:textId="7C6A7393" w:rsidR="000863AC" w:rsidRDefault="000863AC" w:rsidP="00CB4698">
            <w:pPr>
              <w:widowControl w:val="0"/>
              <w:jc w:val="center"/>
              <w:rPr>
                <w:rFonts w:ascii="Arial" w:hAnsi="Arial" w:cs="Arial"/>
                <w:sz w:val="16"/>
                <w:szCs w:val="16"/>
              </w:rPr>
            </w:pPr>
            <w:r>
              <w:rPr>
                <w:rFonts w:ascii="Arial" w:hAnsi="Arial" w:cs="Arial"/>
                <w:sz w:val="16"/>
                <w:szCs w:val="16"/>
              </w:rPr>
              <w:t>GIC</w:t>
            </w:r>
          </w:p>
        </w:tc>
        <w:tc>
          <w:tcPr>
            <w:tcW w:w="1014" w:type="dxa"/>
            <w:shd w:val="clear" w:color="auto" w:fill="D9D9D9" w:themeFill="background1" w:themeFillShade="D9"/>
            <w:vAlign w:val="center"/>
          </w:tcPr>
          <w:p w14:paraId="0064A389" w14:textId="0A6FBC78" w:rsidR="000863AC" w:rsidRDefault="000863AC" w:rsidP="00CB4698">
            <w:pPr>
              <w:widowControl w:val="0"/>
              <w:jc w:val="center"/>
              <w:rPr>
                <w:rFonts w:ascii="Arial" w:hAnsi="Arial" w:cs="Arial"/>
                <w:sz w:val="16"/>
                <w:szCs w:val="16"/>
              </w:rPr>
            </w:pPr>
            <w:r>
              <w:rPr>
                <w:rFonts w:ascii="Arial" w:hAnsi="Arial" w:cs="Arial"/>
                <w:sz w:val="16"/>
                <w:szCs w:val="16"/>
              </w:rPr>
              <w:t>570</w:t>
            </w:r>
          </w:p>
        </w:tc>
      </w:tr>
      <w:tr w:rsidR="00517975" w:rsidRPr="006F49D0" w14:paraId="3235E6FD" w14:textId="77777777" w:rsidTr="00280AC0">
        <w:trPr>
          <w:trHeight w:val="552"/>
        </w:trPr>
        <w:tc>
          <w:tcPr>
            <w:tcW w:w="687" w:type="dxa"/>
            <w:shd w:val="clear" w:color="auto" w:fill="auto"/>
            <w:vAlign w:val="center"/>
          </w:tcPr>
          <w:p w14:paraId="299E3F27" w14:textId="6420562A" w:rsidR="00517975" w:rsidRPr="002C7BE0" w:rsidRDefault="00A51332" w:rsidP="00517975">
            <w:pPr>
              <w:widowControl w:val="0"/>
              <w:jc w:val="center"/>
              <w:rPr>
                <w:rFonts w:ascii="Arial" w:hAnsi="Arial" w:cs="Arial"/>
                <w:sz w:val="16"/>
                <w:szCs w:val="16"/>
              </w:rPr>
            </w:pPr>
            <w:r>
              <w:rPr>
                <w:rFonts w:ascii="Arial" w:hAnsi="Arial" w:cs="Arial"/>
                <w:sz w:val="16"/>
                <w:szCs w:val="16"/>
              </w:rPr>
              <w:t>FFM</w:t>
            </w:r>
          </w:p>
        </w:tc>
        <w:tc>
          <w:tcPr>
            <w:tcW w:w="2682" w:type="dxa"/>
            <w:shd w:val="clear" w:color="auto" w:fill="auto"/>
            <w:vAlign w:val="center"/>
          </w:tcPr>
          <w:p w14:paraId="36E9837A" w14:textId="30801D14" w:rsidR="00517975" w:rsidRPr="002C7BE0" w:rsidRDefault="00517975" w:rsidP="00517975">
            <w:pPr>
              <w:widowControl w:val="0"/>
              <w:jc w:val="center"/>
              <w:rPr>
                <w:rFonts w:ascii="Arial" w:hAnsi="Arial" w:cs="Arial"/>
                <w:sz w:val="16"/>
                <w:szCs w:val="16"/>
              </w:rPr>
            </w:pPr>
            <w:r w:rsidRPr="002C7BE0">
              <w:rPr>
                <w:rFonts w:ascii="Arial" w:hAnsi="Arial" w:cs="Arial"/>
                <w:sz w:val="16"/>
                <w:szCs w:val="16"/>
              </w:rPr>
              <w:t>Ludwig-Erhard-Straße 7, Eschborn</w:t>
            </w:r>
          </w:p>
        </w:tc>
        <w:tc>
          <w:tcPr>
            <w:tcW w:w="2658" w:type="dxa"/>
            <w:shd w:val="clear" w:color="auto" w:fill="auto"/>
            <w:vAlign w:val="center"/>
          </w:tcPr>
          <w:p w14:paraId="37659DA9" w14:textId="3DE86720" w:rsidR="00517975" w:rsidRPr="002C7BE0" w:rsidRDefault="00517975" w:rsidP="00517975">
            <w:pPr>
              <w:widowControl w:val="0"/>
              <w:jc w:val="center"/>
              <w:rPr>
                <w:rFonts w:ascii="Arial" w:hAnsi="Arial" w:cs="Arial"/>
                <w:sz w:val="16"/>
                <w:szCs w:val="16"/>
              </w:rPr>
            </w:pPr>
            <w:r w:rsidRPr="002C7BE0">
              <w:rPr>
                <w:rFonts w:ascii="Arial" w:hAnsi="Arial" w:cs="Arial"/>
                <w:sz w:val="16"/>
                <w:szCs w:val="16"/>
              </w:rPr>
              <w:t>Deutsche Gesellschaft für Internationale Zusammenarbeit</w:t>
            </w:r>
          </w:p>
        </w:tc>
        <w:tc>
          <w:tcPr>
            <w:tcW w:w="2190" w:type="dxa"/>
            <w:shd w:val="clear" w:color="auto" w:fill="auto"/>
            <w:vAlign w:val="center"/>
          </w:tcPr>
          <w:p w14:paraId="505E3B07" w14:textId="17C90ED2" w:rsidR="00517975" w:rsidRPr="002C7BE0" w:rsidRDefault="00517975" w:rsidP="00517975">
            <w:pPr>
              <w:widowControl w:val="0"/>
              <w:jc w:val="center"/>
              <w:rPr>
                <w:rFonts w:ascii="Arial" w:hAnsi="Arial" w:cs="Arial"/>
                <w:sz w:val="16"/>
                <w:szCs w:val="16"/>
              </w:rPr>
            </w:pPr>
            <w:r w:rsidRPr="002C7BE0">
              <w:rPr>
                <w:rFonts w:ascii="Arial" w:hAnsi="Arial" w:cs="Arial"/>
                <w:sz w:val="16"/>
                <w:szCs w:val="16"/>
              </w:rPr>
              <w:t>PHOENIX Real Estate Development</w:t>
            </w:r>
          </w:p>
        </w:tc>
        <w:tc>
          <w:tcPr>
            <w:tcW w:w="1014" w:type="dxa"/>
            <w:shd w:val="clear" w:color="auto" w:fill="auto"/>
            <w:vAlign w:val="center"/>
          </w:tcPr>
          <w:p w14:paraId="4A0B6531" w14:textId="174A39C0" w:rsidR="00517975" w:rsidRPr="002C7BE0" w:rsidRDefault="00517975" w:rsidP="00517975">
            <w:pPr>
              <w:widowControl w:val="0"/>
              <w:jc w:val="center"/>
              <w:rPr>
                <w:rFonts w:ascii="Arial" w:hAnsi="Arial" w:cs="Arial"/>
                <w:sz w:val="16"/>
                <w:szCs w:val="16"/>
              </w:rPr>
            </w:pPr>
            <w:r w:rsidRPr="002C7BE0">
              <w:rPr>
                <w:rFonts w:ascii="Arial" w:hAnsi="Arial" w:cs="Arial"/>
                <w:sz w:val="16"/>
                <w:szCs w:val="16"/>
              </w:rPr>
              <w:t>220</w:t>
            </w:r>
          </w:p>
        </w:tc>
      </w:tr>
      <w:tr w:rsidR="00F93E6D" w:rsidRPr="006F49D0" w14:paraId="5CB3E894" w14:textId="77777777" w:rsidTr="00F93E6D">
        <w:trPr>
          <w:trHeight w:val="552"/>
        </w:trPr>
        <w:tc>
          <w:tcPr>
            <w:tcW w:w="687" w:type="dxa"/>
            <w:shd w:val="clear" w:color="auto" w:fill="D9D9D9" w:themeFill="background1" w:themeFillShade="D9"/>
            <w:vAlign w:val="center"/>
          </w:tcPr>
          <w:p w14:paraId="7DA7BABD" w14:textId="1AA72656" w:rsidR="00F93E6D" w:rsidRPr="002C7BE0" w:rsidRDefault="00F93E6D" w:rsidP="00F93E6D">
            <w:pPr>
              <w:widowControl w:val="0"/>
              <w:jc w:val="center"/>
              <w:rPr>
                <w:rFonts w:ascii="Arial" w:hAnsi="Arial" w:cs="Arial"/>
                <w:sz w:val="16"/>
                <w:szCs w:val="16"/>
              </w:rPr>
            </w:pPr>
            <w:r>
              <w:rPr>
                <w:rFonts w:ascii="Arial" w:hAnsi="Arial" w:cs="Arial"/>
                <w:sz w:val="16"/>
                <w:szCs w:val="16"/>
              </w:rPr>
              <w:t>BER</w:t>
            </w:r>
          </w:p>
        </w:tc>
        <w:tc>
          <w:tcPr>
            <w:tcW w:w="2682" w:type="dxa"/>
            <w:shd w:val="clear" w:color="auto" w:fill="D9D9D9" w:themeFill="background1" w:themeFillShade="D9"/>
            <w:vAlign w:val="center"/>
          </w:tcPr>
          <w:p w14:paraId="19767D72" w14:textId="77777777" w:rsidR="00F93E6D" w:rsidRDefault="00F93E6D" w:rsidP="00F93E6D">
            <w:pPr>
              <w:widowControl w:val="0"/>
              <w:jc w:val="center"/>
              <w:rPr>
                <w:rFonts w:ascii="Arial" w:hAnsi="Arial" w:cs="Arial"/>
                <w:sz w:val="16"/>
                <w:szCs w:val="16"/>
              </w:rPr>
            </w:pPr>
            <w:r>
              <w:rPr>
                <w:rFonts w:ascii="Arial" w:hAnsi="Arial" w:cs="Arial"/>
                <w:sz w:val="16"/>
                <w:szCs w:val="16"/>
              </w:rPr>
              <w:t>„Quartier 206“,</w:t>
            </w:r>
          </w:p>
          <w:p w14:paraId="26B3D20F" w14:textId="71B74DD6" w:rsidR="00F93E6D" w:rsidRPr="002C7BE0" w:rsidRDefault="00F93E6D" w:rsidP="00F93E6D">
            <w:pPr>
              <w:widowControl w:val="0"/>
              <w:jc w:val="center"/>
              <w:rPr>
                <w:rFonts w:ascii="Arial" w:hAnsi="Arial" w:cs="Arial"/>
                <w:sz w:val="16"/>
                <w:szCs w:val="16"/>
              </w:rPr>
            </w:pPr>
            <w:r>
              <w:rPr>
                <w:rFonts w:ascii="Arial" w:hAnsi="Arial" w:cs="Arial"/>
                <w:sz w:val="16"/>
                <w:szCs w:val="16"/>
              </w:rPr>
              <w:t>Friedrichstraße 71</w:t>
            </w:r>
          </w:p>
        </w:tc>
        <w:tc>
          <w:tcPr>
            <w:tcW w:w="2658" w:type="dxa"/>
            <w:shd w:val="clear" w:color="auto" w:fill="D9D9D9" w:themeFill="background1" w:themeFillShade="D9"/>
            <w:vAlign w:val="center"/>
          </w:tcPr>
          <w:p w14:paraId="5B8E446B" w14:textId="2031F944" w:rsidR="00F93E6D" w:rsidRPr="002C7BE0" w:rsidRDefault="00F93E6D" w:rsidP="00F93E6D">
            <w:pPr>
              <w:widowControl w:val="0"/>
              <w:jc w:val="center"/>
              <w:rPr>
                <w:rFonts w:ascii="Arial" w:hAnsi="Arial" w:cs="Arial"/>
                <w:sz w:val="16"/>
                <w:szCs w:val="16"/>
              </w:rPr>
            </w:pPr>
            <w:r>
              <w:rPr>
                <w:rFonts w:ascii="Arial" w:hAnsi="Arial" w:cs="Arial"/>
                <w:sz w:val="16"/>
                <w:szCs w:val="16"/>
              </w:rPr>
              <w:t>RFR Holding</w:t>
            </w:r>
          </w:p>
        </w:tc>
        <w:tc>
          <w:tcPr>
            <w:tcW w:w="2190" w:type="dxa"/>
            <w:shd w:val="clear" w:color="auto" w:fill="D9D9D9" w:themeFill="background1" w:themeFillShade="D9"/>
            <w:vAlign w:val="center"/>
          </w:tcPr>
          <w:p w14:paraId="7BE394D5" w14:textId="2D72958C" w:rsidR="00F93E6D" w:rsidRPr="002C7BE0" w:rsidRDefault="00F93E6D" w:rsidP="00F93E6D">
            <w:pPr>
              <w:widowControl w:val="0"/>
              <w:jc w:val="center"/>
              <w:rPr>
                <w:rFonts w:ascii="Arial" w:hAnsi="Arial" w:cs="Arial"/>
                <w:sz w:val="16"/>
                <w:szCs w:val="16"/>
              </w:rPr>
            </w:pPr>
            <w:r>
              <w:rPr>
                <w:rFonts w:ascii="Arial" w:hAnsi="Arial" w:cs="Arial"/>
                <w:sz w:val="16"/>
                <w:szCs w:val="16"/>
              </w:rPr>
              <w:t>Bankenkonsortium um Credit Suisse</w:t>
            </w:r>
          </w:p>
        </w:tc>
        <w:tc>
          <w:tcPr>
            <w:tcW w:w="1014" w:type="dxa"/>
            <w:shd w:val="clear" w:color="auto" w:fill="D9D9D9" w:themeFill="background1" w:themeFillShade="D9"/>
            <w:vAlign w:val="center"/>
          </w:tcPr>
          <w:p w14:paraId="64D1B905" w14:textId="2532888C" w:rsidR="00F93E6D" w:rsidRPr="002C7BE0" w:rsidRDefault="00F93E6D" w:rsidP="00F93E6D">
            <w:pPr>
              <w:widowControl w:val="0"/>
              <w:jc w:val="center"/>
              <w:rPr>
                <w:rFonts w:ascii="Arial" w:hAnsi="Arial" w:cs="Arial"/>
                <w:sz w:val="16"/>
                <w:szCs w:val="16"/>
              </w:rPr>
            </w:pPr>
            <w:r>
              <w:rPr>
                <w:rFonts w:ascii="Arial" w:hAnsi="Arial" w:cs="Arial"/>
                <w:sz w:val="16"/>
                <w:szCs w:val="16"/>
              </w:rPr>
              <w:t>220</w:t>
            </w:r>
          </w:p>
        </w:tc>
      </w:tr>
      <w:tr w:rsidR="00C7221E" w:rsidRPr="006F49D0" w14:paraId="5CB77049" w14:textId="77777777" w:rsidTr="00C7221E">
        <w:trPr>
          <w:trHeight w:val="552"/>
        </w:trPr>
        <w:tc>
          <w:tcPr>
            <w:tcW w:w="687" w:type="dxa"/>
            <w:shd w:val="clear" w:color="auto" w:fill="D9D9D9" w:themeFill="background1" w:themeFillShade="D9"/>
            <w:vAlign w:val="center"/>
          </w:tcPr>
          <w:p w14:paraId="50BA0A1A" w14:textId="4B076767" w:rsidR="00C7221E" w:rsidRPr="002C7BE0" w:rsidRDefault="00A51332" w:rsidP="00517975">
            <w:pPr>
              <w:widowControl w:val="0"/>
              <w:jc w:val="center"/>
              <w:rPr>
                <w:rFonts w:ascii="Arial" w:hAnsi="Arial" w:cs="Arial"/>
                <w:sz w:val="16"/>
                <w:szCs w:val="16"/>
              </w:rPr>
            </w:pPr>
            <w:r>
              <w:rPr>
                <w:rFonts w:ascii="Arial" w:hAnsi="Arial" w:cs="Arial"/>
                <w:sz w:val="16"/>
                <w:szCs w:val="16"/>
              </w:rPr>
              <w:t>FFM</w:t>
            </w:r>
          </w:p>
        </w:tc>
        <w:tc>
          <w:tcPr>
            <w:tcW w:w="2682" w:type="dxa"/>
            <w:shd w:val="clear" w:color="auto" w:fill="D9D9D9" w:themeFill="background1" w:themeFillShade="D9"/>
            <w:vAlign w:val="center"/>
          </w:tcPr>
          <w:p w14:paraId="24A64C2B" w14:textId="77777777" w:rsidR="00C7221E" w:rsidRDefault="00C7221E" w:rsidP="00517975">
            <w:pPr>
              <w:widowControl w:val="0"/>
              <w:jc w:val="center"/>
              <w:rPr>
                <w:rFonts w:ascii="Arial" w:hAnsi="Arial" w:cs="Arial"/>
                <w:sz w:val="16"/>
                <w:szCs w:val="16"/>
              </w:rPr>
            </w:pPr>
            <w:r>
              <w:rPr>
                <w:rFonts w:ascii="Arial" w:hAnsi="Arial" w:cs="Arial"/>
                <w:sz w:val="16"/>
                <w:szCs w:val="16"/>
              </w:rPr>
              <w:t>„Westend Carrée“,</w:t>
            </w:r>
          </w:p>
          <w:p w14:paraId="0C226DE0" w14:textId="7AB7C329" w:rsidR="00C7221E" w:rsidRPr="002C7BE0" w:rsidRDefault="00C7221E" w:rsidP="00517975">
            <w:pPr>
              <w:widowControl w:val="0"/>
              <w:jc w:val="center"/>
              <w:rPr>
                <w:rFonts w:ascii="Arial" w:hAnsi="Arial" w:cs="Arial"/>
                <w:sz w:val="16"/>
                <w:szCs w:val="16"/>
              </w:rPr>
            </w:pPr>
            <w:r>
              <w:rPr>
                <w:rFonts w:ascii="Arial" w:hAnsi="Arial" w:cs="Arial"/>
                <w:sz w:val="16"/>
                <w:szCs w:val="16"/>
              </w:rPr>
              <w:t>Grüneburgweg 14-18</w:t>
            </w:r>
          </w:p>
        </w:tc>
        <w:tc>
          <w:tcPr>
            <w:tcW w:w="2658" w:type="dxa"/>
            <w:shd w:val="clear" w:color="auto" w:fill="D9D9D9" w:themeFill="background1" w:themeFillShade="D9"/>
            <w:vAlign w:val="center"/>
          </w:tcPr>
          <w:p w14:paraId="1FDDE978" w14:textId="05D67583" w:rsidR="00C7221E" w:rsidRPr="002C7BE0" w:rsidRDefault="00C7221E" w:rsidP="00517975">
            <w:pPr>
              <w:widowControl w:val="0"/>
              <w:jc w:val="center"/>
              <w:rPr>
                <w:rFonts w:ascii="Arial" w:hAnsi="Arial" w:cs="Arial"/>
                <w:sz w:val="16"/>
                <w:szCs w:val="16"/>
              </w:rPr>
            </w:pPr>
            <w:r>
              <w:rPr>
                <w:rFonts w:ascii="Arial" w:hAnsi="Arial" w:cs="Arial"/>
                <w:sz w:val="16"/>
                <w:szCs w:val="16"/>
              </w:rPr>
              <w:t>Ardian Real Estate</w:t>
            </w:r>
          </w:p>
        </w:tc>
        <w:tc>
          <w:tcPr>
            <w:tcW w:w="2190" w:type="dxa"/>
            <w:shd w:val="clear" w:color="auto" w:fill="D9D9D9" w:themeFill="background1" w:themeFillShade="D9"/>
            <w:vAlign w:val="center"/>
          </w:tcPr>
          <w:p w14:paraId="1F5251D3" w14:textId="24B5954D" w:rsidR="00C7221E" w:rsidRPr="002C7BE0" w:rsidRDefault="00C7221E" w:rsidP="00517975">
            <w:pPr>
              <w:widowControl w:val="0"/>
              <w:jc w:val="center"/>
              <w:rPr>
                <w:rFonts w:ascii="Arial" w:hAnsi="Arial" w:cs="Arial"/>
                <w:sz w:val="16"/>
                <w:szCs w:val="16"/>
              </w:rPr>
            </w:pPr>
            <w:r>
              <w:rPr>
                <w:rFonts w:ascii="Arial" w:hAnsi="Arial" w:cs="Arial"/>
                <w:sz w:val="16"/>
                <w:szCs w:val="16"/>
              </w:rPr>
              <w:t>publity</w:t>
            </w:r>
          </w:p>
        </w:tc>
        <w:tc>
          <w:tcPr>
            <w:tcW w:w="1014" w:type="dxa"/>
            <w:shd w:val="clear" w:color="auto" w:fill="D9D9D9" w:themeFill="background1" w:themeFillShade="D9"/>
            <w:vAlign w:val="center"/>
          </w:tcPr>
          <w:p w14:paraId="3419CC17" w14:textId="7670F8AB" w:rsidR="00C7221E" w:rsidRPr="002C7BE0" w:rsidRDefault="00C7221E" w:rsidP="00517975">
            <w:pPr>
              <w:widowControl w:val="0"/>
              <w:jc w:val="center"/>
              <w:rPr>
                <w:rFonts w:ascii="Arial" w:hAnsi="Arial" w:cs="Arial"/>
                <w:sz w:val="16"/>
                <w:szCs w:val="16"/>
              </w:rPr>
            </w:pPr>
            <w:r>
              <w:rPr>
                <w:rFonts w:ascii="Arial" w:hAnsi="Arial" w:cs="Arial"/>
                <w:sz w:val="16"/>
                <w:szCs w:val="16"/>
              </w:rPr>
              <w:t>&gt;200</w:t>
            </w:r>
          </w:p>
        </w:tc>
      </w:tr>
      <w:tr w:rsidR="00C7221E" w:rsidRPr="006F49D0" w14:paraId="11154FE1" w14:textId="77777777" w:rsidTr="00C7221E">
        <w:trPr>
          <w:trHeight w:val="552"/>
        </w:trPr>
        <w:tc>
          <w:tcPr>
            <w:tcW w:w="687" w:type="dxa"/>
            <w:shd w:val="clear" w:color="auto" w:fill="D9D9D9" w:themeFill="background1" w:themeFillShade="D9"/>
            <w:vAlign w:val="center"/>
          </w:tcPr>
          <w:p w14:paraId="37BD190B" w14:textId="4985910A" w:rsidR="00C7221E" w:rsidRDefault="00C7221E" w:rsidP="00517975">
            <w:pPr>
              <w:widowControl w:val="0"/>
              <w:jc w:val="center"/>
              <w:rPr>
                <w:rFonts w:ascii="Arial" w:hAnsi="Arial" w:cs="Arial"/>
                <w:sz w:val="16"/>
                <w:szCs w:val="16"/>
              </w:rPr>
            </w:pPr>
            <w:r>
              <w:rPr>
                <w:rFonts w:ascii="Arial" w:hAnsi="Arial" w:cs="Arial"/>
                <w:sz w:val="16"/>
                <w:szCs w:val="16"/>
              </w:rPr>
              <w:t>BER</w:t>
            </w:r>
          </w:p>
        </w:tc>
        <w:tc>
          <w:tcPr>
            <w:tcW w:w="2682" w:type="dxa"/>
            <w:shd w:val="clear" w:color="auto" w:fill="D9D9D9" w:themeFill="background1" w:themeFillShade="D9"/>
            <w:vAlign w:val="center"/>
          </w:tcPr>
          <w:p w14:paraId="6C767F67" w14:textId="2D57AA5A" w:rsidR="00C7221E" w:rsidRDefault="00C7221E" w:rsidP="00517975">
            <w:pPr>
              <w:widowControl w:val="0"/>
              <w:jc w:val="center"/>
              <w:rPr>
                <w:rFonts w:ascii="Arial" w:hAnsi="Arial" w:cs="Arial"/>
                <w:sz w:val="16"/>
                <w:szCs w:val="16"/>
              </w:rPr>
            </w:pPr>
            <w:r>
              <w:rPr>
                <w:rFonts w:ascii="Arial" w:hAnsi="Arial" w:cs="Arial"/>
                <w:sz w:val="16"/>
                <w:szCs w:val="16"/>
              </w:rPr>
              <w:t>Landsberger Allee 52</w:t>
            </w:r>
          </w:p>
        </w:tc>
        <w:tc>
          <w:tcPr>
            <w:tcW w:w="2658" w:type="dxa"/>
            <w:shd w:val="clear" w:color="auto" w:fill="D9D9D9" w:themeFill="background1" w:themeFillShade="D9"/>
            <w:vAlign w:val="center"/>
          </w:tcPr>
          <w:p w14:paraId="19028C67" w14:textId="71B45481" w:rsidR="00C7221E" w:rsidRDefault="00C7221E" w:rsidP="00517975">
            <w:pPr>
              <w:widowControl w:val="0"/>
              <w:jc w:val="center"/>
              <w:rPr>
                <w:rFonts w:ascii="Arial" w:hAnsi="Arial" w:cs="Arial"/>
                <w:sz w:val="16"/>
                <w:szCs w:val="16"/>
              </w:rPr>
            </w:pPr>
            <w:r>
              <w:rPr>
                <w:rFonts w:ascii="Arial" w:hAnsi="Arial" w:cs="Arial"/>
                <w:sz w:val="16"/>
                <w:szCs w:val="16"/>
              </w:rPr>
              <w:t>Values</w:t>
            </w:r>
          </w:p>
        </w:tc>
        <w:tc>
          <w:tcPr>
            <w:tcW w:w="2190" w:type="dxa"/>
            <w:shd w:val="clear" w:color="auto" w:fill="D9D9D9" w:themeFill="background1" w:themeFillShade="D9"/>
            <w:vAlign w:val="center"/>
          </w:tcPr>
          <w:p w14:paraId="11D11A2C" w14:textId="6E8743D1" w:rsidR="00C7221E" w:rsidRDefault="00C7221E" w:rsidP="00517975">
            <w:pPr>
              <w:widowControl w:val="0"/>
              <w:jc w:val="center"/>
              <w:rPr>
                <w:rFonts w:ascii="Arial" w:hAnsi="Arial" w:cs="Arial"/>
                <w:sz w:val="16"/>
                <w:szCs w:val="16"/>
              </w:rPr>
            </w:pPr>
            <w:r>
              <w:rPr>
                <w:rFonts w:ascii="Arial" w:hAnsi="Arial" w:cs="Arial"/>
                <w:sz w:val="16"/>
                <w:szCs w:val="16"/>
              </w:rPr>
              <w:t>Centrum Grundstücksgesellschaft</w:t>
            </w:r>
          </w:p>
        </w:tc>
        <w:tc>
          <w:tcPr>
            <w:tcW w:w="1014" w:type="dxa"/>
            <w:shd w:val="clear" w:color="auto" w:fill="D9D9D9" w:themeFill="background1" w:themeFillShade="D9"/>
            <w:vAlign w:val="center"/>
          </w:tcPr>
          <w:p w14:paraId="1DE5B9CB" w14:textId="3734CC26" w:rsidR="00C7221E" w:rsidRDefault="00C7221E" w:rsidP="00517975">
            <w:pPr>
              <w:widowControl w:val="0"/>
              <w:jc w:val="center"/>
              <w:rPr>
                <w:rFonts w:ascii="Arial" w:hAnsi="Arial" w:cs="Arial"/>
                <w:sz w:val="16"/>
                <w:szCs w:val="16"/>
              </w:rPr>
            </w:pPr>
            <w:r>
              <w:rPr>
                <w:rFonts w:ascii="Arial" w:hAnsi="Arial" w:cs="Arial"/>
                <w:sz w:val="16"/>
                <w:szCs w:val="16"/>
              </w:rPr>
              <w:t>200</w:t>
            </w:r>
          </w:p>
        </w:tc>
      </w:tr>
      <w:tr w:rsidR="003878D6" w:rsidRPr="006F49D0" w14:paraId="03D2E0F0" w14:textId="77777777" w:rsidTr="00BA68A3">
        <w:trPr>
          <w:trHeight w:val="552"/>
        </w:trPr>
        <w:tc>
          <w:tcPr>
            <w:tcW w:w="687" w:type="dxa"/>
            <w:tcBorders>
              <w:bottom w:val="single" w:sz="4" w:space="0" w:color="auto"/>
            </w:tcBorders>
            <w:shd w:val="clear" w:color="auto" w:fill="D9D9D9" w:themeFill="background1" w:themeFillShade="D9"/>
            <w:vAlign w:val="center"/>
          </w:tcPr>
          <w:p w14:paraId="1896A61F" w14:textId="27F21FA1" w:rsidR="003878D6" w:rsidRDefault="003878D6" w:rsidP="00517975">
            <w:pPr>
              <w:widowControl w:val="0"/>
              <w:jc w:val="center"/>
              <w:rPr>
                <w:rFonts w:ascii="Arial" w:hAnsi="Arial" w:cs="Arial"/>
                <w:sz w:val="16"/>
                <w:szCs w:val="16"/>
              </w:rPr>
            </w:pPr>
            <w:r>
              <w:rPr>
                <w:rFonts w:ascii="Arial" w:hAnsi="Arial" w:cs="Arial"/>
                <w:sz w:val="16"/>
                <w:szCs w:val="16"/>
              </w:rPr>
              <w:t>DUS</w:t>
            </w:r>
          </w:p>
        </w:tc>
        <w:tc>
          <w:tcPr>
            <w:tcW w:w="2682" w:type="dxa"/>
            <w:tcBorders>
              <w:bottom w:val="single" w:sz="4" w:space="0" w:color="auto"/>
            </w:tcBorders>
            <w:shd w:val="clear" w:color="auto" w:fill="D9D9D9" w:themeFill="background1" w:themeFillShade="D9"/>
            <w:vAlign w:val="center"/>
          </w:tcPr>
          <w:p w14:paraId="47F384C8" w14:textId="77777777" w:rsidR="003878D6" w:rsidRDefault="0003603A" w:rsidP="0003603A">
            <w:pPr>
              <w:widowControl w:val="0"/>
              <w:jc w:val="center"/>
              <w:rPr>
                <w:rFonts w:ascii="Arial" w:hAnsi="Arial" w:cs="Arial"/>
                <w:sz w:val="16"/>
                <w:szCs w:val="16"/>
              </w:rPr>
            </w:pPr>
            <w:r>
              <w:rPr>
                <w:rFonts w:ascii="Arial" w:hAnsi="Arial" w:cs="Arial"/>
                <w:sz w:val="16"/>
                <w:szCs w:val="16"/>
              </w:rPr>
              <w:t>„</w:t>
            </w:r>
            <w:r w:rsidR="003878D6">
              <w:rPr>
                <w:rFonts w:ascii="Arial" w:hAnsi="Arial" w:cs="Arial"/>
                <w:sz w:val="16"/>
                <w:szCs w:val="16"/>
              </w:rPr>
              <w:t>Trinkhaus Galerie</w:t>
            </w:r>
            <w:r>
              <w:rPr>
                <w:rFonts w:ascii="Arial" w:hAnsi="Arial" w:cs="Arial"/>
                <w:sz w:val="16"/>
                <w:szCs w:val="16"/>
              </w:rPr>
              <w:t>“</w:t>
            </w:r>
            <w:r w:rsidR="003878D6">
              <w:rPr>
                <w:rFonts w:ascii="Arial" w:hAnsi="Arial" w:cs="Arial"/>
                <w:sz w:val="16"/>
                <w:szCs w:val="16"/>
              </w:rPr>
              <w:t xml:space="preserve">, </w:t>
            </w:r>
          </w:p>
          <w:p w14:paraId="666FC083" w14:textId="3BF7E054" w:rsidR="0003603A" w:rsidRPr="0003603A" w:rsidRDefault="0003603A" w:rsidP="0003603A">
            <w:pPr>
              <w:widowControl w:val="0"/>
              <w:jc w:val="center"/>
              <w:rPr>
                <w:rFonts w:ascii="Arial" w:hAnsi="Arial" w:cs="Arial"/>
                <w:sz w:val="16"/>
                <w:szCs w:val="16"/>
              </w:rPr>
            </w:pPr>
            <w:r>
              <w:rPr>
                <w:rFonts w:ascii="Arial" w:hAnsi="Arial" w:cs="Arial"/>
                <w:sz w:val="16"/>
                <w:szCs w:val="16"/>
              </w:rPr>
              <w:t>Königsallee 21-23</w:t>
            </w:r>
          </w:p>
        </w:tc>
        <w:tc>
          <w:tcPr>
            <w:tcW w:w="2658" w:type="dxa"/>
            <w:tcBorders>
              <w:bottom w:val="single" w:sz="4" w:space="0" w:color="auto"/>
            </w:tcBorders>
            <w:shd w:val="clear" w:color="auto" w:fill="D9D9D9" w:themeFill="background1" w:themeFillShade="D9"/>
            <w:vAlign w:val="center"/>
          </w:tcPr>
          <w:p w14:paraId="683945D7" w14:textId="3C575B9C" w:rsidR="003878D6" w:rsidRDefault="003878D6" w:rsidP="00517975">
            <w:pPr>
              <w:widowControl w:val="0"/>
              <w:jc w:val="center"/>
              <w:rPr>
                <w:rFonts w:ascii="Arial" w:hAnsi="Arial" w:cs="Arial"/>
                <w:sz w:val="16"/>
                <w:szCs w:val="16"/>
              </w:rPr>
            </w:pPr>
            <w:r w:rsidRPr="003878D6">
              <w:rPr>
                <w:rFonts w:ascii="Arial" w:hAnsi="Arial" w:cs="Arial"/>
                <w:sz w:val="16"/>
                <w:szCs w:val="16"/>
              </w:rPr>
              <w:t>Momeni, Wirtgen Invest und Black Horse Investments</w:t>
            </w:r>
          </w:p>
        </w:tc>
        <w:tc>
          <w:tcPr>
            <w:tcW w:w="2190" w:type="dxa"/>
            <w:tcBorders>
              <w:bottom w:val="single" w:sz="4" w:space="0" w:color="auto"/>
            </w:tcBorders>
            <w:shd w:val="clear" w:color="auto" w:fill="D9D9D9" w:themeFill="background1" w:themeFillShade="D9"/>
            <w:vAlign w:val="center"/>
          </w:tcPr>
          <w:p w14:paraId="78394AA7" w14:textId="1DA5C867" w:rsidR="003878D6" w:rsidRDefault="003878D6" w:rsidP="00517975">
            <w:pPr>
              <w:widowControl w:val="0"/>
              <w:jc w:val="center"/>
              <w:rPr>
                <w:rFonts w:ascii="Arial" w:hAnsi="Arial" w:cs="Arial"/>
                <w:sz w:val="16"/>
                <w:szCs w:val="16"/>
              </w:rPr>
            </w:pPr>
            <w:r w:rsidRPr="003878D6">
              <w:rPr>
                <w:rFonts w:ascii="Arial" w:hAnsi="Arial" w:cs="Arial"/>
                <w:sz w:val="16"/>
                <w:szCs w:val="16"/>
              </w:rPr>
              <w:t>HSBC</w:t>
            </w:r>
          </w:p>
        </w:tc>
        <w:tc>
          <w:tcPr>
            <w:tcW w:w="1014" w:type="dxa"/>
            <w:tcBorders>
              <w:bottom w:val="single" w:sz="4" w:space="0" w:color="auto"/>
            </w:tcBorders>
            <w:shd w:val="clear" w:color="auto" w:fill="D9D9D9" w:themeFill="background1" w:themeFillShade="D9"/>
            <w:vAlign w:val="center"/>
          </w:tcPr>
          <w:p w14:paraId="48F1EB0B" w14:textId="08045E2C" w:rsidR="003878D6" w:rsidRDefault="0003603A" w:rsidP="00517975">
            <w:pPr>
              <w:widowControl w:val="0"/>
              <w:jc w:val="center"/>
              <w:rPr>
                <w:rFonts w:ascii="Arial" w:hAnsi="Arial" w:cs="Arial"/>
                <w:sz w:val="16"/>
                <w:szCs w:val="16"/>
              </w:rPr>
            </w:pPr>
            <w:r>
              <w:rPr>
                <w:rFonts w:ascii="Arial" w:hAnsi="Arial" w:cs="Arial"/>
                <w:sz w:val="16"/>
                <w:szCs w:val="16"/>
              </w:rPr>
              <w:t>&gt;15</w:t>
            </w:r>
            <w:r w:rsidR="003878D6">
              <w:rPr>
                <w:rFonts w:ascii="Arial" w:hAnsi="Arial" w:cs="Arial"/>
                <w:sz w:val="16"/>
                <w:szCs w:val="16"/>
              </w:rPr>
              <w:t>5</w:t>
            </w:r>
          </w:p>
        </w:tc>
      </w:tr>
      <w:tr w:rsidR="000F0C1F" w:rsidRPr="006F49D0" w14:paraId="70E24990" w14:textId="77777777" w:rsidTr="00BA68A3">
        <w:trPr>
          <w:trHeight w:val="70"/>
        </w:trPr>
        <w:tc>
          <w:tcPr>
            <w:tcW w:w="68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5B72B09" w14:textId="77777777" w:rsidR="000F0C1F" w:rsidRDefault="000F0C1F" w:rsidP="00517975">
            <w:pPr>
              <w:widowControl w:val="0"/>
              <w:jc w:val="center"/>
              <w:rPr>
                <w:rFonts w:ascii="Arial" w:hAnsi="Arial"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EFAE1FE" w14:textId="77777777" w:rsidR="000F0C1F" w:rsidRDefault="000F0C1F" w:rsidP="0003603A">
            <w:pPr>
              <w:widowControl w:val="0"/>
              <w:jc w:val="center"/>
              <w:rPr>
                <w:rFonts w:ascii="Arial" w:hAnsi="Arial" w:cs="Arial"/>
                <w:sz w:val="16"/>
                <w:szCs w:val="16"/>
              </w:rPr>
            </w:pPr>
          </w:p>
        </w:tc>
        <w:tc>
          <w:tcPr>
            <w:tcW w:w="265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29BCB26E" w14:textId="77777777" w:rsidR="000F0C1F" w:rsidRPr="003878D6" w:rsidRDefault="000F0C1F" w:rsidP="00517975">
            <w:pPr>
              <w:widowControl w:val="0"/>
              <w:jc w:val="center"/>
              <w:rPr>
                <w:rFonts w:ascii="Arial" w:hAnsi="Arial" w:cs="Arial"/>
                <w:sz w:val="16"/>
                <w:szCs w:val="16"/>
              </w:rPr>
            </w:pPr>
          </w:p>
        </w:tc>
        <w:tc>
          <w:tcPr>
            <w:tcW w:w="219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715E1D4" w14:textId="77777777" w:rsidR="000F0C1F" w:rsidRPr="003878D6" w:rsidRDefault="000F0C1F" w:rsidP="00517975">
            <w:pPr>
              <w:widowControl w:val="0"/>
              <w:jc w:val="center"/>
              <w:rPr>
                <w:rFonts w:ascii="Arial" w:hAnsi="Arial" w:cs="Arial"/>
                <w:sz w:val="16"/>
                <w:szCs w:val="16"/>
              </w:rPr>
            </w:pPr>
          </w:p>
        </w:tc>
        <w:tc>
          <w:tcPr>
            <w:tcW w:w="101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2D8560E0" w14:textId="77777777" w:rsidR="000F0C1F" w:rsidRDefault="000F0C1F" w:rsidP="00517975">
            <w:pPr>
              <w:widowControl w:val="0"/>
              <w:jc w:val="center"/>
              <w:rPr>
                <w:rFonts w:ascii="Arial" w:hAnsi="Arial" w:cs="Arial"/>
                <w:sz w:val="16"/>
                <w:szCs w:val="16"/>
              </w:rPr>
            </w:pPr>
          </w:p>
        </w:tc>
      </w:tr>
      <w:tr w:rsidR="00BA68A3" w:rsidRPr="006F49D0" w14:paraId="1708BADE" w14:textId="77777777" w:rsidTr="00BA68A3">
        <w:trPr>
          <w:trHeight w:val="610"/>
        </w:trPr>
        <w:tc>
          <w:tcPr>
            <w:tcW w:w="687" w:type="dxa"/>
            <w:tcBorders>
              <w:top w:val="single" w:sz="4" w:space="0" w:color="auto"/>
            </w:tcBorders>
            <w:shd w:val="clear" w:color="auto" w:fill="D9D9D9" w:themeFill="background1" w:themeFillShade="D9"/>
            <w:vAlign w:val="center"/>
          </w:tcPr>
          <w:p w14:paraId="539EC4CB" w14:textId="67F6FE71" w:rsidR="00BA68A3" w:rsidRDefault="00A51332" w:rsidP="00BA68A3">
            <w:pPr>
              <w:widowControl w:val="0"/>
              <w:jc w:val="center"/>
              <w:rPr>
                <w:rFonts w:ascii="Arial" w:hAnsi="Arial" w:cs="Arial"/>
                <w:sz w:val="16"/>
                <w:szCs w:val="16"/>
              </w:rPr>
            </w:pPr>
            <w:r>
              <w:rPr>
                <w:rFonts w:ascii="Arial" w:hAnsi="Arial" w:cs="Arial"/>
                <w:sz w:val="16"/>
                <w:szCs w:val="16"/>
              </w:rPr>
              <w:t>FFM</w:t>
            </w:r>
          </w:p>
        </w:tc>
        <w:tc>
          <w:tcPr>
            <w:tcW w:w="2682" w:type="dxa"/>
            <w:tcBorders>
              <w:top w:val="single" w:sz="4" w:space="0" w:color="auto"/>
            </w:tcBorders>
            <w:shd w:val="clear" w:color="auto" w:fill="D9D9D9" w:themeFill="background1" w:themeFillShade="D9"/>
            <w:vAlign w:val="center"/>
          </w:tcPr>
          <w:p w14:paraId="7119DB44" w14:textId="77777777" w:rsidR="00BA68A3" w:rsidRDefault="00BA68A3" w:rsidP="00BA68A3">
            <w:pPr>
              <w:widowControl w:val="0"/>
              <w:jc w:val="center"/>
              <w:rPr>
                <w:rFonts w:ascii="Arial" w:hAnsi="Arial" w:cs="Arial"/>
                <w:sz w:val="16"/>
                <w:szCs w:val="16"/>
              </w:rPr>
            </w:pPr>
            <w:r>
              <w:rPr>
                <w:rFonts w:ascii="Arial" w:hAnsi="Arial" w:cs="Arial"/>
                <w:sz w:val="16"/>
                <w:szCs w:val="16"/>
              </w:rPr>
              <w:t>„Sparda-Bank Tower“,</w:t>
            </w:r>
          </w:p>
          <w:p w14:paraId="0CF089C6" w14:textId="07FDB45F" w:rsidR="00BA68A3" w:rsidRDefault="00BA68A3" w:rsidP="00BA68A3">
            <w:pPr>
              <w:widowControl w:val="0"/>
              <w:jc w:val="center"/>
              <w:rPr>
                <w:rFonts w:ascii="Arial" w:hAnsi="Arial" w:cs="Arial"/>
                <w:sz w:val="16"/>
                <w:szCs w:val="16"/>
              </w:rPr>
            </w:pPr>
            <w:r>
              <w:rPr>
                <w:rFonts w:ascii="Arial" w:hAnsi="Arial" w:cs="Arial"/>
                <w:sz w:val="16"/>
                <w:szCs w:val="16"/>
              </w:rPr>
              <w:t>Europa-Allee 68</w:t>
            </w:r>
          </w:p>
        </w:tc>
        <w:tc>
          <w:tcPr>
            <w:tcW w:w="2658" w:type="dxa"/>
            <w:tcBorders>
              <w:top w:val="single" w:sz="4" w:space="0" w:color="auto"/>
            </w:tcBorders>
            <w:shd w:val="clear" w:color="auto" w:fill="D9D9D9" w:themeFill="background1" w:themeFillShade="D9"/>
            <w:vAlign w:val="center"/>
          </w:tcPr>
          <w:p w14:paraId="02E2253C" w14:textId="2AFD4CF2" w:rsidR="00BA68A3" w:rsidRPr="003878D6" w:rsidRDefault="00BA68A3" w:rsidP="00BA68A3">
            <w:pPr>
              <w:widowControl w:val="0"/>
              <w:jc w:val="center"/>
              <w:rPr>
                <w:rFonts w:ascii="Arial" w:hAnsi="Arial" w:cs="Arial"/>
                <w:sz w:val="16"/>
                <w:szCs w:val="16"/>
              </w:rPr>
            </w:pPr>
            <w:r>
              <w:rPr>
                <w:rFonts w:ascii="Arial" w:hAnsi="Arial" w:cs="Arial"/>
                <w:sz w:val="16"/>
                <w:szCs w:val="16"/>
              </w:rPr>
              <w:t>Sparda-Bank Hessen</w:t>
            </w:r>
          </w:p>
        </w:tc>
        <w:tc>
          <w:tcPr>
            <w:tcW w:w="2190" w:type="dxa"/>
            <w:tcBorders>
              <w:top w:val="single" w:sz="4" w:space="0" w:color="auto"/>
            </w:tcBorders>
            <w:shd w:val="clear" w:color="auto" w:fill="D9D9D9" w:themeFill="background1" w:themeFillShade="D9"/>
            <w:vAlign w:val="center"/>
          </w:tcPr>
          <w:p w14:paraId="38BB1A08" w14:textId="527DAEBD" w:rsidR="00BA68A3" w:rsidRPr="003878D6" w:rsidRDefault="00BA68A3" w:rsidP="00BA68A3">
            <w:pPr>
              <w:widowControl w:val="0"/>
              <w:jc w:val="center"/>
              <w:rPr>
                <w:rFonts w:ascii="Arial" w:hAnsi="Arial" w:cs="Arial"/>
                <w:sz w:val="16"/>
                <w:szCs w:val="16"/>
              </w:rPr>
            </w:pPr>
            <w:r>
              <w:rPr>
                <w:rFonts w:ascii="Arial" w:hAnsi="Arial" w:cs="Arial"/>
                <w:sz w:val="16"/>
                <w:szCs w:val="16"/>
              </w:rPr>
              <w:t>Gustav Zech Stiftung</w:t>
            </w:r>
          </w:p>
        </w:tc>
        <w:tc>
          <w:tcPr>
            <w:tcW w:w="1014" w:type="dxa"/>
            <w:tcBorders>
              <w:top w:val="single" w:sz="4" w:space="0" w:color="auto"/>
            </w:tcBorders>
            <w:shd w:val="clear" w:color="auto" w:fill="D9D9D9" w:themeFill="background1" w:themeFillShade="D9"/>
            <w:vAlign w:val="center"/>
          </w:tcPr>
          <w:p w14:paraId="7CE27754" w14:textId="00370CD6" w:rsidR="00BA68A3" w:rsidRDefault="00BA68A3" w:rsidP="00BA68A3">
            <w:pPr>
              <w:widowControl w:val="0"/>
              <w:jc w:val="center"/>
              <w:rPr>
                <w:rFonts w:ascii="Arial" w:hAnsi="Arial" w:cs="Arial"/>
                <w:sz w:val="16"/>
                <w:szCs w:val="16"/>
              </w:rPr>
            </w:pPr>
            <w:r>
              <w:rPr>
                <w:rFonts w:ascii="Arial" w:hAnsi="Arial" w:cs="Arial"/>
                <w:sz w:val="16"/>
                <w:szCs w:val="16"/>
              </w:rPr>
              <w:t>Vertraulich</w:t>
            </w:r>
          </w:p>
        </w:tc>
      </w:tr>
    </w:tbl>
    <w:p w14:paraId="522DDABE" w14:textId="11639887" w:rsidR="006A0566" w:rsidRPr="00124162" w:rsidRDefault="00D02362" w:rsidP="006A0566">
      <w:pPr>
        <w:widowControl w:val="0"/>
        <w:spacing w:after="0"/>
        <w:rPr>
          <w:rFonts w:ascii="Arial" w:hAnsi="Arial" w:cs="Arial"/>
          <w:sz w:val="16"/>
          <w:szCs w:val="16"/>
          <w:lang w:val="en-GB"/>
        </w:rPr>
      </w:pPr>
      <w:r>
        <w:rPr>
          <w:rFonts w:ascii="Arial" w:hAnsi="Arial" w:cs="Arial"/>
          <w:sz w:val="16"/>
          <w:szCs w:val="16"/>
        </w:rPr>
        <w:t xml:space="preserve">Deals aus diesem Berichtsquartal sind grau hinterlegt. </w:t>
      </w:r>
      <w:r w:rsidR="006A0566" w:rsidRPr="00124162">
        <w:rPr>
          <w:rFonts w:ascii="Arial" w:hAnsi="Arial" w:cs="Arial"/>
          <w:sz w:val="16"/>
          <w:szCs w:val="16"/>
          <w:lang w:val="en-GB"/>
        </w:rPr>
        <w:t>Quelle: German Property Partners (GPP)</w:t>
      </w:r>
    </w:p>
    <w:p w14:paraId="66A10177" w14:textId="3F8FBC0A" w:rsidR="00A4078F" w:rsidRDefault="00A4078F" w:rsidP="00DD4941">
      <w:pPr>
        <w:widowControl w:val="0"/>
        <w:spacing w:after="0"/>
        <w:rPr>
          <w:rFonts w:ascii="Arial" w:hAnsi="Arial" w:cs="Arial"/>
          <w:sz w:val="16"/>
          <w:szCs w:val="16"/>
          <w:lang w:val="en-GB"/>
        </w:rPr>
      </w:pPr>
    </w:p>
    <w:p w14:paraId="082D94B1" w14:textId="77777777" w:rsidR="00A30AB0" w:rsidRPr="00124162" w:rsidRDefault="00A30AB0" w:rsidP="00DD4941">
      <w:pPr>
        <w:widowControl w:val="0"/>
        <w:spacing w:after="0"/>
        <w:rPr>
          <w:rFonts w:ascii="Arial" w:hAnsi="Arial" w:cs="Arial"/>
          <w:sz w:val="16"/>
          <w:szCs w:val="16"/>
          <w:lang w:val="en-GB"/>
        </w:rPr>
      </w:pPr>
    </w:p>
    <w:p w14:paraId="26EA443F" w14:textId="09FA0F21" w:rsidR="006A0566" w:rsidRDefault="006A0566" w:rsidP="006A0566">
      <w:pPr>
        <w:widowControl w:val="0"/>
        <w:spacing w:after="0"/>
        <w:jc w:val="both"/>
        <w:rPr>
          <w:rFonts w:ascii="Arial" w:hAnsi="Arial" w:cs="Arial"/>
          <w:b/>
          <w:sz w:val="20"/>
          <w:szCs w:val="20"/>
        </w:rPr>
      </w:pPr>
      <w:r w:rsidRPr="00124162">
        <w:rPr>
          <w:rFonts w:ascii="Arial" w:hAnsi="Arial" w:cs="Arial"/>
          <w:b/>
          <w:sz w:val="20"/>
          <w:szCs w:val="20"/>
          <w:lang w:val="en-GB"/>
        </w:rPr>
        <w:t xml:space="preserve">Top-7-Standorte | </w:t>
      </w:r>
      <w:r w:rsidR="00B40217">
        <w:rPr>
          <w:rFonts w:ascii="Arial" w:hAnsi="Arial" w:cs="Arial"/>
          <w:b/>
          <w:sz w:val="20"/>
          <w:szCs w:val="20"/>
          <w:lang w:val="en-GB"/>
        </w:rPr>
        <w:t>1</w:t>
      </w:r>
      <w:r w:rsidRPr="00124162">
        <w:rPr>
          <w:rFonts w:ascii="Arial" w:hAnsi="Arial" w:cs="Arial"/>
          <w:b/>
          <w:sz w:val="20"/>
          <w:szCs w:val="20"/>
          <w:lang w:val="en-GB"/>
        </w:rPr>
        <w:t>.</w:t>
      </w:r>
      <w:r w:rsidR="00CC752F">
        <w:rPr>
          <w:rFonts w:ascii="Arial" w:hAnsi="Arial" w:cs="Arial"/>
          <w:b/>
          <w:sz w:val="20"/>
          <w:szCs w:val="20"/>
          <w:lang w:val="en-GB"/>
        </w:rPr>
        <w:t>-2.</w:t>
      </w:r>
      <w:r w:rsidRPr="00124162">
        <w:rPr>
          <w:rFonts w:ascii="Arial" w:hAnsi="Arial" w:cs="Arial"/>
          <w:b/>
          <w:sz w:val="20"/>
          <w:szCs w:val="20"/>
          <w:lang w:val="en-GB"/>
        </w:rPr>
        <w:t xml:space="preserve"> </w:t>
      </w:r>
      <w:r w:rsidRPr="00487ECE">
        <w:rPr>
          <w:rFonts w:ascii="Arial" w:hAnsi="Arial" w:cs="Arial"/>
          <w:b/>
          <w:sz w:val="20"/>
          <w:szCs w:val="20"/>
        </w:rPr>
        <w:t>Quartal 20</w:t>
      </w:r>
      <w:r w:rsidR="00B40217">
        <w:rPr>
          <w:rFonts w:ascii="Arial" w:hAnsi="Arial" w:cs="Arial"/>
          <w:b/>
          <w:sz w:val="20"/>
          <w:szCs w:val="20"/>
        </w:rPr>
        <w:t>21</w:t>
      </w:r>
    </w:p>
    <w:tbl>
      <w:tblPr>
        <w:tblStyle w:val="TableGrid2"/>
        <w:tblW w:w="0" w:type="auto"/>
        <w:tblLook w:val="04A0" w:firstRow="1" w:lastRow="0" w:firstColumn="1" w:lastColumn="0" w:noHBand="0" w:noVBand="1"/>
      </w:tblPr>
      <w:tblGrid>
        <w:gridCol w:w="1939"/>
        <w:gridCol w:w="817"/>
        <w:gridCol w:w="816"/>
        <w:gridCol w:w="933"/>
        <w:gridCol w:w="937"/>
        <w:gridCol w:w="937"/>
        <w:gridCol w:w="932"/>
        <w:gridCol w:w="936"/>
        <w:gridCol w:w="800"/>
      </w:tblGrid>
      <w:tr w:rsidR="006A0566" w:rsidRPr="006F49D0" w14:paraId="200FACDE" w14:textId="77777777" w:rsidTr="00CB4698">
        <w:tc>
          <w:tcPr>
            <w:tcW w:w="1939" w:type="dxa"/>
          </w:tcPr>
          <w:p w14:paraId="0448DC90" w14:textId="77777777" w:rsidR="006A0566" w:rsidRPr="006F49D0" w:rsidRDefault="006A0566" w:rsidP="00CB4698">
            <w:pPr>
              <w:widowControl w:val="0"/>
              <w:jc w:val="both"/>
              <w:rPr>
                <w:rFonts w:ascii="Arial" w:hAnsi="Arial" w:cs="Arial"/>
                <w:b/>
                <w:sz w:val="16"/>
                <w:szCs w:val="16"/>
              </w:rPr>
            </w:pPr>
          </w:p>
        </w:tc>
        <w:tc>
          <w:tcPr>
            <w:tcW w:w="817" w:type="dxa"/>
          </w:tcPr>
          <w:p w14:paraId="7A423236"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HAM</w:t>
            </w:r>
          </w:p>
        </w:tc>
        <w:tc>
          <w:tcPr>
            <w:tcW w:w="816" w:type="dxa"/>
          </w:tcPr>
          <w:p w14:paraId="588D40C5"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BER</w:t>
            </w:r>
          </w:p>
        </w:tc>
        <w:tc>
          <w:tcPr>
            <w:tcW w:w="933" w:type="dxa"/>
          </w:tcPr>
          <w:p w14:paraId="3DFAA8D9"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DUS</w:t>
            </w:r>
          </w:p>
        </w:tc>
        <w:tc>
          <w:tcPr>
            <w:tcW w:w="937" w:type="dxa"/>
          </w:tcPr>
          <w:p w14:paraId="542C5A28" w14:textId="77777777" w:rsidR="006A0566" w:rsidRPr="00496E95" w:rsidRDefault="006A0566" w:rsidP="00CB4698">
            <w:pPr>
              <w:widowControl w:val="0"/>
              <w:jc w:val="center"/>
              <w:rPr>
                <w:rFonts w:ascii="Arial" w:hAnsi="Arial" w:cs="Arial"/>
                <w:b/>
                <w:sz w:val="16"/>
                <w:szCs w:val="16"/>
              </w:rPr>
            </w:pPr>
            <w:r w:rsidRPr="00496E95">
              <w:rPr>
                <w:rFonts w:ascii="Arial" w:hAnsi="Arial" w:cs="Arial"/>
                <w:b/>
                <w:sz w:val="16"/>
                <w:szCs w:val="16"/>
              </w:rPr>
              <w:t>CGN</w:t>
            </w:r>
          </w:p>
        </w:tc>
        <w:tc>
          <w:tcPr>
            <w:tcW w:w="937" w:type="dxa"/>
          </w:tcPr>
          <w:p w14:paraId="448B9BC1" w14:textId="77777777" w:rsidR="006A0566" w:rsidRPr="00496E95" w:rsidRDefault="006A0566" w:rsidP="00CB4698">
            <w:pPr>
              <w:widowControl w:val="0"/>
              <w:jc w:val="center"/>
              <w:rPr>
                <w:rFonts w:ascii="Arial" w:hAnsi="Arial" w:cs="Arial"/>
                <w:b/>
                <w:sz w:val="16"/>
                <w:szCs w:val="16"/>
              </w:rPr>
            </w:pPr>
            <w:r w:rsidRPr="00496E95">
              <w:rPr>
                <w:rFonts w:ascii="Arial" w:hAnsi="Arial" w:cs="Arial"/>
                <w:b/>
                <w:sz w:val="16"/>
                <w:szCs w:val="16"/>
              </w:rPr>
              <w:t>FFM</w:t>
            </w:r>
          </w:p>
        </w:tc>
        <w:tc>
          <w:tcPr>
            <w:tcW w:w="932" w:type="dxa"/>
          </w:tcPr>
          <w:p w14:paraId="3AE3122E"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STU</w:t>
            </w:r>
          </w:p>
        </w:tc>
        <w:tc>
          <w:tcPr>
            <w:tcW w:w="936" w:type="dxa"/>
          </w:tcPr>
          <w:p w14:paraId="343D4B19"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MUC</w:t>
            </w:r>
          </w:p>
        </w:tc>
        <w:tc>
          <w:tcPr>
            <w:tcW w:w="800" w:type="dxa"/>
          </w:tcPr>
          <w:p w14:paraId="2E76D680" w14:textId="77777777" w:rsidR="006A0566" w:rsidRPr="006F49D0" w:rsidRDefault="006A0566" w:rsidP="00CB4698">
            <w:pPr>
              <w:widowControl w:val="0"/>
              <w:jc w:val="center"/>
              <w:rPr>
                <w:rFonts w:ascii="Arial" w:hAnsi="Arial" w:cs="Arial"/>
                <w:b/>
                <w:sz w:val="16"/>
                <w:szCs w:val="16"/>
              </w:rPr>
            </w:pPr>
            <w:r>
              <w:rPr>
                <w:rFonts w:ascii="Arial" w:hAnsi="Arial" w:cs="Arial"/>
                <w:b/>
                <w:sz w:val="16"/>
                <w:szCs w:val="16"/>
              </w:rPr>
              <w:t>TOP</w:t>
            </w:r>
            <w:r w:rsidRPr="006F49D0">
              <w:rPr>
                <w:rFonts w:ascii="Arial" w:hAnsi="Arial" w:cs="Arial"/>
                <w:b/>
                <w:sz w:val="16"/>
                <w:szCs w:val="16"/>
              </w:rPr>
              <w:t>-7</w:t>
            </w:r>
          </w:p>
        </w:tc>
      </w:tr>
      <w:tr w:rsidR="006A0566" w:rsidRPr="006F49D0" w14:paraId="50C9861D" w14:textId="77777777" w:rsidTr="006C17CE">
        <w:tc>
          <w:tcPr>
            <w:tcW w:w="1939" w:type="dxa"/>
          </w:tcPr>
          <w:p w14:paraId="14677540" w14:textId="77777777" w:rsidR="006A0566" w:rsidRPr="006F49D0" w:rsidRDefault="006A0566" w:rsidP="00CB4698">
            <w:pPr>
              <w:widowControl w:val="0"/>
              <w:jc w:val="both"/>
              <w:rPr>
                <w:rFonts w:ascii="Arial" w:hAnsi="Arial" w:cs="Arial"/>
                <w:b/>
                <w:sz w:val="16"/>
                <w:szCs w:val="16"/>
              </w:rPr>
            </w:pPr>
            <w:r w:rsidRPr="006F49D0">
              <w:rPr>
                <w:rFonts w:ascii="Arial" w:hAnsi="Arial" w:cs="Arial"/>
                <w:b/>
                <w:sz w:val="16"/>
                <w:szCs w:val="16"/>
              </w:rPr>
              <w:t>TAV</w:t>
            </w:r>
          </w:p>
          <w:p w14:paraId="6009DF5B" w14:textId="77777777" w:rsidR="006A0566" w:rsidRPr="006F49D0" w:rsidRDefault="006A0566" w:rsidP="00CB4698">
            <w:pPr>
              <w:widowControl w:val="0"/>
              <w:jc w:val="both"/>
              <w:rPr>
                <w:rFonts w:ascii="Arial" w:hAnsi="Arial" w:cs="Arial"/>
                <w:b/>
                <w:sz w:val="16"/>
                <w:szCs w:val="16"/>
              </w:rPr>
            </w:pPr>
            <w:r w:rsidRPr="006F49D0">
              <w:rPr>
                <w:rFonts w:ascii="Arial" w:hAnsi="Arial" w:cs="Arial"/>
                <w:sz w:val="16"/>
                <w:szCs w:val="16"/>
              </w:rPr>
              <w:t>in Mio. €</w:t>
            </w:r>
          </w:p>
        </w:tc>
        <w:tc>
          <w:tcPr>
            <w:tcW w:w="817" w:type="dxa"/>
            <w:vAlign w:val="center"/>
          </w:tcPr>
          <w:p w14:paraId="75CA8E5B" w14:textId="3D53CB75" w:rsidR="006A0566" w:rsidRPr="00424A11" w:rsidRDefault="00CC752F" w:rsidP="00AA7124">
            <w:pPr>
              <w:widowControl w:val="0"/>
              <w:jc w:val="center"/>
              <w:rPr>
                <w:rFonts w:ascii="Arial" w:hAnsi="Arial" w:cs="Arial"/>
                <w:sz w:val="16"/>
                <w:szCs w:val="16"/>
              </w:rPr>
            </w:pPr>
            <w:r>
              <w:rPr>
                <w:rFonts w:ascii="Arial" w:hAnsi="Arial" w:cs="Arial"/>
                <w:sz w:val="16"/>
                <w:szCs w:val="16"/>
              </w:rPr>
              <w:t>1.</w:t>
            </w:r>
            <w:r w:rsidR="004815B7" w:rsidRPr="00424A11">
              <w:rPr>
                <w:rFonts w:ascii="Arial" w:hAnsi="Arial" w:cs="Arial"/>
                <w:sz w:val="16"/>
                <w:szCs w:val="16"/>
              </w:rPr>
              <w:t>0</w:t>
            </w:r>
            <w:r>
              <w:rPr>
                <w:rFonts w:ascii="Arial" w:hAnsi="Arial" w:cs="Arial"/>
                <w:sz w:val="16"/>
                <w:szCs w:val="16"/>
              </w:rPr>
              <w:t>9</w:t>
            </w:r>
            <w:r w:rsidR="004815B7" w:rsidRPr="00424A11">
              <w:rPr>
                <w:rFonts w:ascii="Arial" w:hAnsi="Arial" w:cs="Arial"/>
                <w:sz w:val="16"/>
                <w:szCs w:val="16"/>
              </w:rPr>
              <w:t>0</w:t>
            </w:r>
          </w:p>
        </w:tc>
        <w:tc>
          <w:tcPr>
            <w:tcW w:w="816" w:type="dxa"/>
            <w:vAlign w:val="center"/>
          </w:tcPr>
          <w:p w14:paraId="76C43343" w14:textId="67016C93" w:rsidR="006A0566" w:rsidRPr="003A29FA" w:rsidRDefault="00CC752F" w:rsidP="00CB4698">
            <w:pPr>
              <w:widowControl w:val="0"/>
              <w:jc w:val="center"/>
              <w:rPr>
                <w:rFonts w:ascii="Arial" w:hAnsi="Arial" w:cs="Arial"/>
                <w:sz w:val="16"/>
                <w:szCs w:val="16"/>
                <w:highlight w:val="yellow"/>
                <w:u w:val="single"/>
              </w:rPr>
            </w:pPr>
            <w:r>
              <w:rPr>
                <w:rFonts w:ascii="Arial" w:hAnsi="Arial" w:cs="Arial"/>
                <w:sz w:val="16"/>
                <w:szCs w:val="16"/>
                <w:u w:val="single"/>
              </w:rPr>
              <w:t>4.300</w:t>
            </w:r>
          </w:p>
        </w:tc>
        <w:tc>
          <w:tcPr>
            <w:tcW w:w="933" w:type="dxa"/>
            <w:vAlign w:val="center"/>
          </w:tcPr>
          <w:p w14:paraId="5FEF9B6E" w14:textId="216130B0" w:rsidR="006A0566" w:rsidRPr="00424A11" w:rsidRDefault="00CC752F" w:rsidP="00CB4698">
            <w:pPr>
              <w:widowControl w:val="0"/>
              <w:jc w:val="center"/>
              <w:rPr>
                <w:rFonts w:ascii="Arial" w:hAnsi="Arial" w:cs="Arial"/>
                <w:sz w:val="16"/>
                <w:szCs w:val="16"/>
                <w:highlight w:val="yellow"/>
              </w:rPr>
            </w:pPr>
            <w:r>
              <w:rPr>
                <w:rFonts w:ascii="Arial" w:hAnsi="Arial" w:cs="Arial"/>
                <w:sz w:val="16"/>
                <w:szCs w:val="16"/>
              </w:rPr>
              <w:t>920</w:t>
            </w:r>
          </w:p>
        </w:tc>
        <w:tc>
          <w:tcPr>
            <w:tcW w:w="937" w:type="dxa"/>
            <w:vAlign w:val="center"/>
          </w:tcPr>
          <w:p w14:paraId="062AC22D" w14:textId="37CEA36B" w:rsidR="006A0566" w:rsidRPr="00424A11" w:rsidRDefault="00C240EF" w:rsidP="00CB4698">
            <w:pPr>
              <w:widowControl w:val="0"/>
              <w:jc w:val="center"/>
              <w:rPr>
                <w:rFonts w:ascii="Arial" w:hAnsi="Arial" w:cs="Arial"/>
                <w:sz w:val="16"/>
                <w:szCs w:val="16"/>
              </w:rPr>
            </w:pPr>
            <w:r>
              <w:rPr>
                <w:rFonts w:ascii="Arial" w:hAnsi="Arial" w:cs="Arial"/>
                <w:sz w:val="16"/>
                <w:szCs w:val="16"/>
              </w:rPr>
              <w:t>800</w:t>
            </w:r>
          </w:p>
        </w:tc>
        <w:tc>
          <w:tcPr>
            <w:tcW w:w="937" w:type="dxa"/>
            <w:vAlign w:val="center"/>
          </w:tcPr>
          <w:p w14:paraId="3167EB73" w14:textId="50F325E8" w:rsidR="006A0566" w:rsidRPr="002C7BE0" w:rsidRDefault="00A761F2" w:rsidP="00CB4698">
            <w:pPr>
              <w:widowControl w:val="0"/>
              <w:jc w:val="center"/>
              <w:rPr>
                <w:rFonts w:ascii="Arial" w:hAnsi="Arial" w:cs="Arial"/>
                <w:sz w:val="16"/>
                <w:szCs w:val="16"/>
              </w:rPr>
            </w:pPr>
            <w:r>
              <w:rPr>
                <w:rFonts w:ascii="Arial" w:hAnsi="Arial" w:cs="Arial"/>
                <w:sz w:val="16"/>
                <w:szCs w:val="16"/>
              </w:rPr>
              <w:t>1.85</w:t>
            </w:r>
            <w:r w:rsidR="00CC752F">
              <w:rPr>
                <w:rFonts w:ascii="Arial" w:hAnsi="Arial" w:cs="Arial"/>
                <w:sz w:val="16"/>
                <w:szCs w:val="16"/>
              </w:rPr>
              <w:t>5</w:t>
            </w:r>
          </w:p>
        </w:tc>
        <w:tc>
          <w:tcPr>
            <w:tcW w:w="932" w:type="dxa"/>
            <w:vAlign w:val="center"/>
          </w:tcPr>
          <w:p w14:paraId="7AC06FF8" w14:textId="3049AE8F" w:rsidR="006A0566" w:rsidRPr="002C7BE0" w:rsidRDefault="00CC752F" w:rsidP="00CB4698">
            <w:pPr>
              <w:widowControl w:val="0"/>
              <w:jc w:val="center"/>
              <w:rPr>
                <w:rFonts w:ascii="Arial" w:hAnsi="Arial" w:cs="Arial"/>
                <w:sz w:val="16"/>
                <w:szCs w:val="16"/>
              </w:rPr>
            </w:pPr>
            <w:r>
              <w:rPr>
                <w:rFonts w:ascii="Arial" w:hAnsi="Arial" w:cs="Arial"/>
                <w:sz w:val="16"/>
                <w:szCs w:val="16"/>
              </w:rPr>
              <w:t>449</w:t>
            </w:r>
          </w:p>
        </w:tc>
        <w:tc>
          <w:tcPr>
            <w:tcW w:w="936" w:type="dxa"/>
            <w:shd w:val="clear" w:color="auto" w:fill="auto"/>
            <w:vAlign w:val="center"/>
          </w:tcPr>
          <w:p w14:paraId="43946B17" w14:textId="71951DF1" w:rsidR="006A0566" w:rsidRPr="002C7BE0" w:rsidRDefault="00CC752F" w:rsidP="00CB4698">
            <w:pPr>
              <w:widowControl w:val="0"/>
              <w:jc w:val="center"/>
              <w:rPr>
                <w:rFonts w:ascii="Arial" w:hAnsi="Arial" w:cs="Arial"/>
                <w:sz w:val="16"/>
                <w:szCs w:val="16"/>
              </w:rPr>
            </w:pPr>
            <w:r>
              <w:rPr>
                <w:rFonts w:ascii="Arial" w:hAnsi="Arial" w:cs="Arial"/>
                <w:sz w:val="16"/>
                <w:szCs w:val="16"/>
              </w:rPr>
              <w:t>3.044</w:t>
            </w:r>
          </w:p>
        </w:tc>
        <w:tc>
          <w:tcPr>
            <w:tcW w:w="800" w:type="dxa"/>
            <w:vAlign w:val="center"/>
          </w:tcPr>
          <w:p w14:paraId="2FDD1DB5" w14:textId="37B0C997" w:rsidR="006A0566" w:rsidRPr="00C240EF" w:rsidRDefault="00CC752F" w:rsidP="00CC752F">
            <w:pPr>
              <w:widowControl w:val="0"/>
              <w:jc w:val="center"/>
              <w:rPr>
                <w:rFonts w:ascii="Arial" w:hAnsi="Arial" w:cs="Arial"/>
                <w:b/>
                <w:color w:val="FF0000"/>
                <w:sz w:val="16"/>
                <w:szCs w:val="16"/>
              </w:rPr>
            </w:pPr>
            <w:r w:rsidRPr="00DC082E">
              <w:rPr>
                <w:rFonts w:ascii="Arial" w:hAnsi="Arial" w:cs="Arial"/>
                <w:b/>
                <w:sz w:val="16"/>
                <w:szCs w:val="16"/>
              </w:rPr>
              <w:t>12</w:t>
            </w:r>
            <w:r w:rsidR="000F2F0E" w:rsidRPr="00DC082E">
              <w:rPr>
                <w:rFonts w:ascii="Arial" w:hAnsi="Arial" w:cs="Arial"/>
                <w:b/>
                <w:sz w:val="16"/>
                <w:szCs w:val="16"/>
              </w:rPr>
              <w:t>.</w:t>
            </w:r>
            <w:r w:rsidR="00A761F2">
              <w:rPr>
                <w:rFonts w:ascii="Arial" w:hAnsi="Arial" w:cs="Arial"/>
                <w:b/>
                <w:sz w:val="16"/>
                <w:szCs w:val="16"/>
              </w:rPr>
              <w:t>45</w:t>
            </w:r>
            <w:r w:rsidR="00DC082E" w:rsidRPr="00DC082E">
              <w:rPr>
                <w:rFonts w:ascii="Arial" w:hAnsi="Arial" w:cs="Arial"/>
                <w:b/>
                <w:sz w:val="16"/>
                <w:szCs w:val="16"/>
              </w:rPr>
              <w:t>8</w:t>
            </w:r>
          </w:p>
        </w:tc>
      </w:tr>
      <w:tr w:rsidR="006A0566" w:rsidRPr="006F49D0" w14:paraId="7380293A" w14:textId="77777777" w:rsidTr="006C17CE">
        <w:tc>
          <w:tcPr>
            <w:tcW w:w="1939" w:type="dxa"/>
          </w:tcPr>
          <w:p w14:paraId="5E2AECD0" w14:textId="77777777" w:rsidR="006A0566" w:rsidRPr="006F49D0" w:rsidRDefault="006A0566" w:rsidP="00CB4698">
            <w:pPr>
              <w:widowControl w:val="0"/>
              <w:jc w:val="both"/>
              <w:rPr>
                <w:rFonts w:ascii="Arial" w:hAnsi="Arial" w:cs="Arial"/>
                <w:b/>
                <w:sz w:val="16"/>
                <w:szCs w:val="16"/>
              </w:rPr>
            </w:pPr>
            <w:r w:rsidRPr="006F49D0">
              <w:rPr>
                <w:rFonts w:ascii="Arial" w:hAnsi="Arial" w:cs="Arial"/>
                <w:b/>
                <w:sz w:val="16"/>
                <w:szCs w:val="16"/>
              </w:rPr>
              <w:t>Veränderung</w:t>
            </w:r>
          </w:p>
          <w:p w14:paraId="2FCBBF14" w14:textId="77777777" w:rsidR="006A0566" w:rsidRPr="006F49D0" w:rsidRDefault="006A0566" w:rsidP="00CB4698">
            <w:pPr>
              <w:widowControl w:val="0"/>
              <w:jc w:val="both"/>
              <w:rPr>
                <w:rFonts w:ascii="Arial" w:hAnsi="Arial" w:cs="Arial"/>
                <w:b/>
                <w:sz w:val="16"/>
                <w:szCs w:val="16"/>
              </w:rPr>
            </w:pPr>
            <w:r w:rsidRPr="00184A11">
              <w:rPr>
                <w:rFonts w:ascii="Arial" w:hAnsi="Arial" w:cs="Arial"/>
                <w:sz w:val="16"/>
                <w:szCs w:val="16"/>
              </w:rPr>
              <w:t>ggü. Vorjahr</w:t>
            </w:r>
            <w:r w:rsidRPr="006F49D0">
              <w:rPr>
                <w:rFonts w:ascii="Arial" w:hAnsi="Arial" w:cs="Arial"/>
                <w:b/>
                <w:sz w:val="16"/>
                <w:szCs w:val="16"/>
              </w:rPr>
              <w:t xml:space="preserve"> </w:t>
            </w:r>
            <w:r w:rsidRPr="006F49D0">
              <w:rPr>
                <w:rFonts w:ascii="Arial" w:hAnsi="Arial" w:cs="Arial"/>
                <w:sz w:val="16"/>
                <w:szCs w:val="16"/>
              </w:rPr>
              <w:t>in %</w:t>
            </w:r>
          </w:p>
        </w:tc>
        <w:tc>
          <w:tcPr>
            <w:tcW w:w="817" w:type="dxa"/>
            <w:vAlign w:val="center"/>
          </w:tcPr>
          <w:p w14:paraId="366E421A" w14:textId="139CDE8B" w:rsidR="006A0566" w:rsidRPr="00CC752F" w:rsidRDefault="00CC752F" w:rsidP="00CB4698">
            <w:pPr>
              <w:widowControl w:val="0"/>
              <w:jc w:val="center"/>
              <w:rPr>
                <w:rFonts w:ascii="Arial" w:hAnsi="Arial" w:cs="Arial"/>
                <w:sz w:val="16"/>
                <w:szCs w:val="16"/>
                <w:u w:val="single"/>
              </w:rPr>
            </w:pPr>
            <w:r w:rsidRPr="00CC752F">
              <w:rPr>
                <w:rFonts w:ascii="Arial" w:hAnsi="Arial" w:cs="Arial"/>
                <w:sz w:val="16"/>
                <w:szCs w:val="16"/>
                <w:u w:val="single"/>
              </w:rPr>
              <w:t>-46</w:t>
            </w:r>
          </w:p>
        </w:tc>
        <w:tc>
          <w:tcPr>
            <w:tcW w:w="816" w:type="dxa"/>
            <w:vAlign w:val="center"/>
          </w:tcPr>
          <w:p w14:paraId="3EEA9F22" w14:textId="5CCAD07D" w:rsidR="006A0566" w:rsidRPr="00424A11" w:rsidRDefault="00CC752F" w:rsidP="00CB4698">
            <w:pPr>
              <w:widowControl w:val="0"/>
              <w:jc w:val="center"/>
              <w:rPr>
                <w:rFonts w:ascii="Arial" w:hAnsi="Arial" w:cs="Arial"/>
                <w:sz w:val="16"/>
                <w:szCs w:val="16"/>
                <w:highlight w:val="yellow"/>
              </w:rPr>
            </w:pPr>
            <w:r>
              <w:rPr>
                <w:rFonts w:ascii="Arial" w:hAnsi="Arial" w:cs="Arial"/>
                <w:sz w:val="16"/>
                <w:szCs w:val="16"/>
              </w:rPr>
              <w:t>+24</w:t>
            </w:r>
          </w:p>
        </w:tc>
        <w:tc>
          <w:tcPr>
            <w:tcW w:w="933" w:type="dxa"/>
            <w:vAlign w:val="center"/>
          </w:tcPr>
          <w:p w14:paraId="49E7C453" w14:textId="77C568A0" w:rsidR="006A0566" w:rsidRPr="00CC752F" w:rsidRDefault="00CC752F" w:rsidP="00CB4698">
            <w:pPr>
              <w:widowControl w:val="0"/>
              <w:jc w:val="center"/>
              <w:rPr>
                <w:rFonts w:ascii="Arial" w:hAnsi="Arial" w:cs="Arial"/>
                <w:sz w:val="16"/>
                <w:szCs w:val="16"/>
                <w:highlight w:val="yellow"/>
              </w:rPr>
            </w:pPr>
            <w:r w:rsidRPr="00CC752F">
              <w:rPr>
                <w:rFonts w:ascii="Arial" w:hAnsi="Arial" w:cs="Arial"/>
                <w:sz w:val="16"/>
                <w:szCs w:val="16"/>
              </w:rPr>
              <w:t>-42</w:t>
            </w:r>
          </w:p>
        </w:tc>
        <w:tc>
          <w:tcPr>
            <w:tcW w:w="937" w:type="dxa"/>
            <w:vAlign w:val="center"/>
          </w:tcPr>
          <w:p w14:paraId="5B639059" w14:textId="6A7072B6" w:rsidR="006A0566" w:rsidRPr="00424A11" w:rsidRDefault="00C240EF" w:rsidP="00CB4698">
            <w:pPr>
              <w:widowControl w:val="0"/>
              <w:jc w:val="center"/>
              <w:rPr>
                <w:rFonts w:ascii="Arial" w:hAnsi="Arial" w:cs="Arial"/>
                <w:sz w:val="16"/>
                <w:szCs w:val="16"/>
              </w:rPr>
            </w:pPr>
            <w:r>
              <w:rPr>
                <w:rFonts w:ascii="Arial" w:hAnsi="Arial" w:cs="Arial"/>
                <w:sz w:val="16"/>
                <w:szCs w:val="16"/>
              </w:rPr>
              <w:t>+33</w:t>
            </w:r>
          </w:p>
        </w:tc>
        <w:tc>
          <w:tcPr>
            <w:tcW w:w="937" w:type="dxa"/>
            <w:vAlign w:val="center"/>
          </w:tcPr>
          <w:p w14:paraId="15A58B43" w14:textId="1E3F048A" w:rsidR="006A0566" w:rsidRPr="002C7BE0" w:rsidRDefault="00A761F2" w:rsidP="00CB4698">
            <w:pPr>
              <w:widowControl w:val="0"/>
              <w:jc w:val="center"/>
              <w:rPr>
                <w:rFonts w:ascii="Arial" w:hAnsi="Arial" w:cs="Arial"/>
                <w:sz w:val="16"/>
                <w:szCs w:val="16"/>
              </w:rPr>
            </w:pPr>
            <w:r>
              <w:rPr>
                <w:rFonts w:ascii="Arial" w:hAnsi="Arial" w:cs="Arial"/>
                <w:sz w:val="16"/>
                <w:szCs w:val="16"/>
              </w:rPr>
              <w:t>-34</w:t>
            </w:r>
          </w:p>
        </w:tc>
        <w:tc>
          <w:tcPr>
            <w:tcW w:w="932" w:type="dxa"/>
            <w:vAlign w:val="center"/>
          </w:tcPr>
          <w:p w14:paraId="0ADC5685" w14:textId="5DF0D4F7" w:rsidR="006A0566" w:rsidRPr="002C7BE0" w:rsidRDefault="00CC752F" w:rsidP="00CB4698">
            <w:pPr>
              <w:widowControl w:val="0"/>
              <w:jc w:val="center"/>
              <w:rPr>
                <w:rFonts w:ascii="Arial" w:hAnsi="Arial" w:cs="Arial"/>
                <w:sz w:val="16"/>
                <w:szCs w:val="16"/>
              </w:rPr>
            </w:pPr>
            <w:r>
              <w:rPr>
                <w:rFonts w:ascii="Arial" w:hAnsi="Arial" w:cs="Arial"/>
                <w:sz w:val="16"/>
                <w:szCs w:val="16"/>
              </w:rPr>
              <w:t>-29</w:t>
            </w:r>
          </w:p>
        </w:tc>
        <w:tc>
          <w:tcPr>
            <w:tcW w:w="936" w:type="dxa"/>
            <w:shd w:val="clear" w:color="auto" w:fill="auto"/>
            <w:vAlign w:val="center"/>
          </w:tcPr>
          <w:p w14:paraId="41EFE33D" w14:textId="106140B0" w:rsidR="006A0566" w:rsidRPr="002C7BE0" w:rsidRDefault="00CC752F" w:rsidP="00CB4698">
            <w:pPr>
              <w:widowControl w:val="0"/>
              <w:jc w:val="center"/>
              <w:rPr>
                <w:rFonts w:ascii="Arial" w:hAnsi="Arial" w:cs="Arial"/>
                <w:sz w:val="16"/>
                <w:szCs w:val="16"/>
              </w:rPr>
            </w:pPr>
            <w:r>
              <w:rPr>
                <w:rFonts w:ascii="Arial" w:hAnsi="Arial" w:cs="Arial"/>
                <w:sz w:val="16"/>
                <w:szCs w:val="16"/>
              </w:rPr>
              <w:t>+97</w:t>
            </w:r>
          </w:p>
        </w:tc>
        <w:tc>
          <w:tcPr>
            <w:tcW w:w="800" w:type="dxa"/>
            <w:vAlign w:val="center"/>
          </w:tcPr>
          <w:p w14:paraId="2AED7A78" w14:textId="06DBFDD7" w:rsidR="006A0566" w:rsidRPr="00C240EF" w:rsidRDefault="00A761F2" w:rsidP="000A0966">
            <w:pPr>
              <w:widowControl w:val="0"/>
              <w:jc w:val="center"/>
              <w:rPr>
                <w:rFonts w:ascii="Arial" w:hAnsi="Arial" w:cs="Arial"/>
                <w:b/>
                <w:color w:val="FF0000"/>
                <w:sz w:val="16"/>
                <w:szCs w:val="16"/>
              </w:rPr>
            </w:pPr>
            <w:r>
              <w:rPr>
                <w:rFonts w:ascii="Arial" w:hAnsi="Arial" w:cs="Arial"/>
                <w:b/>
                <w:sz w:val="16"/>
                <w:szCs w:val="16"/>
              </w:rPr>
              <w:t>-1</w:t>
            </w:r>
          </w:p>
        </w:tc>
      </w:tr>
      <w:tr w:rsidR="006A0566" w:rsidRPr="006F49D0" w14:paraId="416875DA" w14:textId="77777777" w:rsidTr="006C17CE">
        <w:tc>
          <w:tcPr>
            <w:tcW w:w="1939" w:type="dxa"/>
          </w:tcPr>
          <w:p w14:paraId="16BA9BE5" w14:textId="77777777" w:rsidR="006A0566" w:rsidRDefault="006A0566" w:rsidP="00CB4698">
            <w:pPr>
              <w:widowControl w:val="0"/>
              <w:jc w:val="both"/>
              <w:rPr>
                <w:rFonts w:ascii="Arial" w:hAnsi="Arial" w:cs="Arial"/>
                <w:b/>
                <w:sz w:val="16"/>
                <w:szCs w:val="16"/>
              </w:rPr>
            </w:pPr>
            <w:r w:rsidRPr="006F49D0">
              <w:rPr>
                <w:rFonts w:ascii="Arial" w:hAnsi="Arial" w:cs="Arial"/>
                <w:b/>
                <w:sz w:val="16"/>
                <w:szCs w:val="16"/>
              </w:rPr>
              <w:t>Spitzenrendite* Büro</w:t>
            </w:r>
          </w:p>
          <w:p w14:paraId="0FFB638E" w14:textId="77777777" w:rsidR="006A0566" w:rsidRPr="006F49D0" w:rsidRDefault="006A0566" w:rsidP="00CB4698">
            <w:pPr>
              <w:widowControl w:val="0"/>
              <w:jc w:val="both"/>
              <w:rPr>
                <w:rFonts w:ascii="Arial" w:hAnsi="Arial" w:cs="Arial"/>
                <w:b/>
                <w:sz w:val="16"/>
                <w:szCs w:val="16"/>
              </w:rPr>
            </w:pPr>
            <w:r w:rsidRPr="006F49D0">
              <w:rPr>
                <w:rFonts w:ascii="Arial" w:hAnsi="Arial" w:cs="Arial"/>
                <w:sz w:val="16"/>
                <w:szCs w:val="16"/>
              </w:rPr>
              <w:t>in %</w:t>
            </w:r>
          </w:p>
        </w:tc>
        <w:tc>
          <w:tcPr>
            <w:tcW w:w="817" w:type="dxa"/>
            <w:vAlign w:val="center"/>
          </w:tcPr>
          <w:p w14:paraId="3A26FD60" w14:textId="797E50EF" w:rsidR="006A0566" w:rsidRPr="003A29FA" w:rsidRDefault="00486B6F" w:rsidP="00CB4698">
            <w:pPr>
              <w:widowControl w:val="0"/>
              <w:jc w:val="center"/>
              <w:rPr>
                <w:rFonts w:ascii="Arial" w:hAnsi="Arial" w:cs="Arial"/>
                <w:sz w:val="16"/>
                <w:szCs w:val="16"/>
                <w:u w:val="single"/>
              </w:rPr>
            </w:pPr>
            <w:r>
              <w:rPr>
                <w:rFonts w:ascii="Arial" w:hAnsi="Arial" w:cs="Arial"/>
                <w:sz w:val="16"/>
                <w:szCs w:val="16"/>
                <w:u w:val="single"/>
              </w:rPr>
              <w:t>2,6</w:t>
            </w:r>
            <w:r w:rsidR="006A0566" w:rsidRPr="003A29FA">
              <w:rPr>
                <w:rFonts w:ascii="Arial" w:hAnsi="Arial" w:cs="Arial"/>
                <w:sz w:val="16"/>
                <w:szCs w:val="16"/>
                <w:u w:val="single"/>
              </w:rPr>
              <w:t>0</w:t>
            </w:r>
          </w:p>
        </w:tc>
        <w:tc>
          <w:tcPr>
            <w:tcW w:w="816" w:type="dxa"/>
            <w:vAlign w:val="center"/>
          </w:tcPr>
          <w:p w14:paraId="04D32DF6" w14:textId="4AF4AFC4" w:rsidR="006A0566" w:rsidRPr="00486B6F" w:rsidRDefault="00486B6F" w:rsidP="00CB4698">
            <w:pPr>
              <w:widowControl w:val="0"/>
              <w:jc w:val="center"/>
              <w:rPr>
                <w:rFonts w:ascii="Arial" w:hAnsi="Arial" w:cs="Arial"/>
                <w:sz w:val="16"/>
                <w:szCs w:val="16"/>
              </w:rPr>
            </w:pPr>
            <w:r w:rsidRPr="00486B6F">
              <w:rPr>
                <w:rFonts w:ascii="Arial" w:hAnsi="Arial" w:cs="Arial"/>
                <w:sz w:val="16"/>
                <w:szCs w:val="16"/>
              </w:rPr>
              <w:t>2,65</w:t>
            </w:r>
          </w:p>
        </w:tc>
        <w:tc>
          <w:tcPr>
            <w:tcW w:w="933" w:type="dxa"/>
            <w:vAlign w:val="center"/>
          </w:tcPr>
          <w:p w14:paraId="3496E0ED" w14:textId="63342228" w:rsidR="006A0566" w:rsidRPr="00424A11" w:rsidRDefault="00615151" w:rsidP="00CB4698">
            <w:pPr>
              <w:widowControl w:val="0"/>
              <w:jc w:val="center"/>
              <w:rPr>
                <w:rFonts w:ascii="Arial" w:hAnsi="Arial" w:cs="Arial"/>
                <w:sz w:val="16"/>
                <w:szCs w:val="16"/>
              </w:rPr>
            </w:pPr>
            <w:r w:rsidRPr="00424A11">
              <w:rPr>
                <w:rFonts w:ascii="Arial" w:hAnsi="Arial" w:cs="Arial"/>
                <w:sz w:val="16"/>
                <w:szCs w:val="16"/>
              </w:rPr>
              <w:t>2,90</w:t>
            </w:r>
          </w:p>
        </w:tc>
        <w:tc>
          <w:tcPr>
            <w:tcW w:w="937" w:type="dxa"/>
            <w:vAlign w:val="center"/>
          </w:tcPr>
          <w:p w14:paraId="1B3FC488" w14:textId="77777777" w:rsidR="006A0566" w:rsidRPr="00424A11" w:rsidRDefault="006A0566" w:rsidP="00CB4698">
            <w:pPr>
              <w:widowControl w:val="0"/>
              <w:jc w:val="center"/>
              <w:rPr>
                <w:rFonts w:ascii="Arial" w:hAnsi="Arial" w:cs="Arial"/>
                <w:sz w:val="16"/>
                <w:szCs w:val="16"/>
              </w:rPr>
            </w:pPr>
            <w:r w:rsidRPr="00424A11">
              <w:rPr>
                <w:rFonts w:ascii="Arial" w:hAnsi="Arial" w:cs="Arial"/>
                <w:sz w:val="16"/>
                <w:szCs w:val="16"/>
              </w:rPr>
              <w:t>3,00</w:t>
            </w:r>
          </w:p>
        </w:tc>
        <w:tc>
          <w:tcPr>
            <w:tcW w:w="937" w:type="dxa"/>
            <w:vAlign w:val="center"/>
          </w:tcPr>
          <w:p w14:paraId="7863667A" w14:textId="28EB0B18" w:rsidR="006A0566" w:rsidRPr="00424A11" w:rsidRDefault="00367F82" w:rsidP="00CB4698">
            <w:pPr>
              <w:widowControl w:val="0"/>
              <w:jc w:val="center"/>
              <w:rPr>
                <w:rFonts w:ascii="Arial" w:hAnsi="Arial" w:cs="Arial"/>
                <w:sz w:val="16"/>
                <w:szCs w:val="16"/>
              </w:rPr>
            </w:pPr>
            <w:r w:rsidRPr="00424A11">
              <w:rPr>
                <w:rFonts w:ascii="Arial" w:hAnsi="Arial" w:cs="Arial"/>
                <w:sz w:val="16"/>
                <w:szCs w:val="16"/>
              </w:rPr>
              <w:t>2,90</w:t>
            </w:r>
          </w:p>
        </w:tc>
        <w:tc>
          <w:tcPr>
            <w:tcW w:w="932" w:type="dxa"/>
            <w:vAlign w:val="center"/>
          </w:tcPr>
          <w:p w14:paraId="185F44B1" w14:textId="7273303B" w:rsidR="006A0566" w:rsidRPr="00424A11" w:rsidRDefault="00486B6F" w:rsidP="00CB4698">
            <w:pPr>
              <w:widowControl w:val="0"/>
              <w:jc w:val="center"/>
              <w:rPr>
                <w:rFonts w:ascii="Arial" w:hAnsi="Arial" w:cs="Arial"/>
                <w:sz w:val="16"/>
                <w:szCs w:val="16"/>
              </w:rPr>
            </w:pPr>
            <w:r>
              <w:rPr>
                <w:rFonts w:ascii="Arial" w:hAnsi="Arial" w:cs="Arial"/>
                <w:sz w:val="16"/>
                <w:szCs w:val="16"/>
              </w:rPr>
              <w:t>3,10</w:t>
            </w:r>
          </w:p>
        </w:tc>
        <w:tc>
          <w:tcPr>
            <w:tcW w:w="936" w:type="dxa"/>
            <w:shd w:val="clear" w:color="auto" w:fill="auto"/>
            <w:vAlign w:val="center"/>
          </w:tcPr>
          <w:p w14:paraId="19DB0335" w14:textId="21A7C409" w:rsidR="006A0566" w:rsidRPr="00424A11" w:rsidRDefault="00486B6F" w:rsidP="00CB4698">
            <w:pPr>
              <w:widowControl w:val="0"/>
              <w:jc w:val="center"/>
              <w:rPr>
                <w:rFonts w:ascii="Arial" w:hAnsi="Arial" w:cs="Arial"/>
                <w:sz w:val="16"/>
                <w:szCs w:val="16"/>
              </w:rPr>
            </w:pPr>
            <w:r>
              <w:rPr>
                <w:rFonts w:ascii="Arial" w:hAnsi="Arial" w:cs="Arial"/>
                <w:sz w:val="16"/>
                <w:szCs w:val="16"/>
              </w:rPr>
              <w:t>3,00</w:t>
            </w:r>
          </w:p>
        </w:tc>
        <w:tc>
          <w:tcPr>
            <w:tcW w:w="800" w:type="dxa"/>
            <w:vAlign w:val="center"/>
          </w:tcPr>
          <w:p w14:paraId="0216D7FB" w14:textId="712E60B7" w:rsidR="006A0566" w:rsidRPr="00424A11" w:rsidRDefault="00486B6F" w:rsidP="00F374EE">
            <w:pPr>
              <w:widowControl w:val="0"/>
              <w:jc w:val="center"/>
              <w:rPr>
                <w:rFonts w:ascii="Arial" w:hAnsi="Arial" w:cs="Arial"/>
                <w:b/>
                <w:sz w:val="16"/>
                <w:szCs w:val="16"/>
              </w:rPr>
            </w:pPr>
            <w:r>
              <w:rPr>
                <w:rFonts w:ascii="Arial" w:hAnsi="Arial" w:cs="Arial"/>
                <w:b/>
                <w:sz w:val="16"/>
                <w:szCs w:val="16"/>
              </w:rPr>
              <w:t>2,88</w:t>
            </w:r>
          </w:p>
        </w:tc>
      </w:tr>
      <w:tr w:rsidR="006A0566" w:rsidRPr="006F49D0" w14:paraId="1D0629D1" w14:textId="77777777" w:rsidTr="006C17CE">
        <w:tc>
          <w:tcPr>
            <w:tcW w:w="1939" w:type="dxa"/>
          </w:tcPr>
          <w:p w14:paraId="5F7DF27B" w14:textId="77777777" w:rsidR="006A0566" w:rsidRPr="006F49D0" w:rsidRDefault="006A0566" w:rsidP="00CB4698">
            <w:pPr>
              <w:widowControl w:val="0"/>
              <w:jc w:val="both"/>
              <w:rPr>
                <w:rFonts w:ascii="Arial" w:hAnsi="Arial" w:cs="Arial"/>
                <w:b/>
                <w:sz w:val="16"/>
                <w:szCs w:val="16"/>
              </w:rPr>
            </w:pPr>
            <w:r>
              <w:rPr>
                <w:rFonts w:ascii="Arial" w:hAnsi="Arial" w:cs="Arial"/>
                <w:b/>
                <w:sz w:val="16"/>
                <w:szCs w:val="16"/>
              </w:rPr>
              <w:t xml:space="preserve">ggü. Vorjahr </w:t>
            </w:r>
            <w:r w:rsidRPr="003A2101">
              <w:rPr>
                <w:rFonts w:ascii="Arial" w:hAnsi="Arial" w:cs="Arial"/>
                <w:sz w:val="16"/>
                <w:szCs w:val="16"/>
              </w:rPr>
              <w:t>in %-Pkt.</w:t>
            </w:r>
          </w:p>
        </w:tc>
        <w:tc>
          <w:tcPr>
            <w:tcW w:w="817" w:type="dxa"/>
            <w:vAlign w:val="center"/>
          </w:tcPr>
          <w:p w14:paraId="7DCC31B2" w14:textId="02DE3934" w:rsidR="006A0566" w:rsidRPr="00424A11" w:rsidRDefault="002C7BE0" w:rsidP="00CB4698">
            <w:pPr>
              <w:widowControl w:val="0"/>
              <w:jc w:val="center"/>
              <w:rPr>
                <w:rFonts w:ascii="Arial" w:hAnsi="Arial" w:cs="Arial"/>
                <w:sz w:val="16"/>
                <w:szCs w:val="16"/>
              </w:rPr>
            </w:pPr>
            <w:r>
              <w:rPr>
                <w:rFonts w:ascii="Arial" w:hAnsi="Arial" w:cs="Arial"/>
                <w:sz w:val="16"/>
                <w:szCs w:val="16"/>
              </w:rPr>
              <w:t>-</w:t>
            </w:r>
            <w:r w:rsidR="00486B6F">
              <w:rPr>
                <w:rFonts w:ascii="Arial" w:hAnsi="Arial" w:cs="Arial"/>
                <w:sz w:val="16"/>
                <w:szCs w:val="16"/>
              </w:rPr>
              <w:t>0,2</w:t>
            </w:r>
            <w:r w:rsidR="006A0566" w:rsidRPr="00424A11">
              <w:rPr>
                <w:rFonts w:ascii="Arial" w:hAnsi="Arial" w:cs="Arial"/>
                <w:sz w:val="16"/>
                <w:szCs w:val="16"/>
              </w:rPr>
              <w:t>0</w:t>
            </w:r>
          </w:p>
        </w:tc>
        <w:tc>
          <w:tcPr>
            <w:tcW w:w="816" w:type="dxa"/>
            <w:vAlign w:val="center"/>
          </w:tcPr>
          <w:p w14:paraId="1D9B71C7" w14:textId="4586D36E" w:rsidR="006A0566" w:rsidRPr="00424A11" w:rsidRDefault="00486B6F" w:rsidP="00CB4698">
            <w:pPr>
              <w:widowControl w:val="0"/>
              <w:jc w:val="center"/>
              <w:rPr>
                <w:rFonts w:ascii="Arial" w:hAnsi="Arial" w:cs="Arial"/>
                <w:sz w:val="16"/>
                <w:szCs w:val="16"/>
              </w:rPr>
            </w:pPr>
            <w:r>
              <w:rPr>
                <w:rFonts w:ascii="Arial" w:hAnsi="Arial" w:cs="Arial"/>
                <w:sz w:val="16"/>
                <w:szCs w:val="16"/>
              </w:rPr>
              <w:t>-</w:t>
            </w:r>
            <w:r w:rsidR="00FF5B2E" w:rsidRPr="00424A11">
              <w:rPr>
                <w:rFonts w:ascii="Arial" w:hAnsi="Arial" w:cs="Arial"/>
                <w:sz w:val="16"/>
                <w:szCs w:val="16"/>
              </w:rPr>
              <w:t>0,0</w:t>
            </w:r>
            <w:r>
              <w:rPr>
                <w:rFonts w:ascii="Arial" w:hAnsi="Arial" w:cs="Arial"/>
                <w:sz w:val="16"/>
                <w:szCs w:val="16"/>
              </w:rPr>
              <w:t>5</w:t>
            </w:r>
          </w:p>
        </w:tc>
        <w:tc>
          <w:tcPr>
            <w:tcW w:w="933" w:type="dxa"/>
            <w:vAlign w:val="center"/>
          </w:tcPr>
          <w:p w14:paraId="6F68995C" w14:textId="372B4C78" w:rsidR="006A0566" w:rsidRPr="00424A11" w:rsidRDefault="00486B6F" w:rsidP="00CB4698">
            <w:pPr>
              <w:widowControl w:val="0"/>
              <w:jc w:val="center"/>
              <w:rPr>
                <w:rFonts w:ascii="Arial" w:hAnsi="Arial" w:cs="Arial"/>
                <w:sz w:val="16"/>
                <w:szCs w:val="16"/>
              </w:rPr>
            </w:pPr>
            <w:r>
              <w:rPr>
                <w:rFonts w:ascii="Arial" w:hAnsi="Arial" w:cs="Arial"/>
                <w:sz w:val="16"/>
                <w:szCs w:val="16"/>
              </w:rPr>
              <w:t>-0,05</w:t>
            </w:r>
          </w:p>
        </w:tc>
        <w:tc>
          <w:tcPr>
            <w:tcW w:w="937" w:type="dxa"/>
            <w:vAlign w:val="center"/>
          </w:tcPr>
          <w:p w14:paraId="1AD055DC" w14:textId="68EDF5BA" w:rsidR="006A0566" w:rsidRPr="00424A11" w:rsidRDefault="004815B7" w:rsidP="00CB4698">
            <w:pPr>
              <w:widowControl w:val="0"/>
              <w:jc w:val="center"/>
              <w:rPr>
                <w:rFonts w:ascii="Arial" w:hAnsi="Arial" w:cs="Arial"/>
                <w:sz w:val="16"/>
                <w:szCs w:val="16"/>
              </w:rPr>
            </w:pPr>
            <w:r w:rsidRPr="00424A11">
              <w:rPr>
                <w:rFonts w:ascii="Arial" w:hAnsi="Arial" w:cs="Arial"/>
                <w:sz w:val="16"/>
                <w:szCs w:val="16"/>
              </w:rPr>
              <w:t>0,0</w:t>
            </w:r>
            <w:r w:rsidR="006A0566" w:rsidRPr="00424A11">
              <w:rPr>
                <w:rFonts w:ascii="Arial" w:hAnsi="Arial" w:cs="Arial"/>
                <w:sz w:val="16"/>
                <w:szCs w:val="16"/>
              </w:rPr>
              <w:t>0</w:t>
            </w:r>
          </w:p>
        </w:tc>
        <w:tc>
          <w:tcPr>
            <w:tcW w:w="937" w:type="dxa"/>
            <w:vAlign w:val="center"/>
          </w:tcPr>
          <w:p w14:paraId="457AA114" w14:textId="0585A466" w:rsidR="006A0566" w:rsidRPr="00424A11" w:rsidRDefault="00367F82" w:rsidP="00CB4698">
            <w:pPr>
              <w:widowControl w:val="0"/>
              <w:jc w:val="center"/>
              <w:rPr>
                <w:rFonts w:ascii="Arial" w:hAnsi="Arial" w:cs="Arial"/>
                <w:sz w:val="16"/>
                <w:szCs w:val="16"/>
              </w:rPr>
            </w:pPr>
            <w:r w:rsidRPr="00424A11">
              <w:rPr>
                <w:rFonts w:ascii="Arial" w:hAnsi="Arial" w:cs="Arial"/>
                <w:sz w:val="16"/>
                <w:szCs w:val="16"/>
              </w:rPr>
              <w:t>-0,05</w:t>
            </w:r>
          </w:p>
        </w:tc>
        <w:tc>
          <w:tcPr>
            <w:tcW w:w="932" w:type="dxa"/>
            <w:vAlign w:val="center"/>
          </w:tcPr>
          <w:p w14:paraId="0C825309" w14:textId="28B6A0B5" w:rsidR="006A0566" w:rsidRPr="00403699" w:rsidRDefault="006A0566" w:rsidP="00F374EE">
            <w:pPr>
              <w:widowControl w:val="0"/>
              <w:jc w:val="center"/>
              <w:rPr>
                <w:rFonts w:ascii="Arial" w:hAnsi="Arial" w:cs="Arial"/>
                <w:sz w:val="16"/>
                <w:szCs w:val="16"/>
                <w:u w:val="single"/>
              </w:rPr>
            </w:pPr>
            <w:r w:rsidRPr="00403699">
              <w:rPr>
                <w:rFonts w:ascii="Arial" w:hAnsi="Arial" w:cs="Arial"/>
                <w:sz w:val="16"/>
                <w:szCs w:val="16"/>
                <w:u w:val="single"/>
              </w:rPr>
              <w:t>0,</w:t>
            </w:r>
            <w:r w:rsidR="00486B6F">
              <w:rPr>
                <w:rFonts w:ascii="Arial" w:hAnsi="Arial" w:cs="Arial"/>
                <w:sz w:val="16"/>
                <w:szCs w:val="16"/>
                <w:u w:val="single"/>
              </w:rPr>
              <w:t>00</w:t>
            </w:r>
          </w:p>
        </w:tc>
        <w:tc>
          <w:tcPr>
            <w:tcW w:w="936" w:type="dxa"/>
            <w:shd w:val="clear" w:color="auto" w:fill="auto"/>
            <w:vAlign w:val="center"/>
          </w:tcPr>
          <w:p w14:paraId="7EB840C7" w14:textId="3B0D395B" w:rsidR="006A0566" w:rsidRPr="00403699" w:rsidRDefault="00486B6F" w:rsidP="00CB4698">
            <w:pPr>
              <w:widowControl w:val="0"/>
              <w:jc w:val="center"/>
              <w:rPr>
                <w:rFonts w:ascii="Arial" w:hAnsi="Arial" w:cs="Arial"/>
                <w:sz w:val="16"/>
                <w:szCs w:val="16"/>
                <w:u w:val="single"/>
              </w:rPr>
            </w:pPr>
            <w:r>
              <w:rPr>
                <w:rFonts w:ascii="Arial" w:hAnsi="Arial" w:cs="Arial"/>
                <w:sz w:val="16"/>
                <w:szCs w:val="16"/>
                <w:u w:val="single"/>
              </w:rPr>
              <w:t>0,00</w:t>
            </w:r>
          </w:p>
        </w:tc>
        <w:tc>
          <w:tcPr>
            <w:tcW w:w="800" w:type="dxa"/>
            <w:vAlign w:val="center"/>
          </w:tcPr>
          <w:p w14:paraId="7D9A218D" w14:textId="00B89BCF" w:rsidR="006A0566" w:rsidRPr="00424A11" w:rsidRDefault="006A0566" w:rsidP="00CB4698">
            <w:pPr>
              <w:widowControl w:val="0"/>
              <w:jc w:val="center"/>
              <w:rPr>
                <w:rFonts w:ascii="Arial" w:hAnsi="Arial" w:cs="Arial"/>
                <w:b/>
                <w:sz w:val="16"/>
                <w:szCs w:val="16"/>
              </w:rPr>
            </w:pPr>
            <w:r w:rsidRPr="00424A11">
              <w:rPr>
                <w:rFonts w:ascii="Arial" w:hAnsi="Arial" w:cs="Arial"/>
                <w:b/>
                <w:sz w:val="16"/>
                <w:szCs w:val="16"/>
              </w:rPr>
              <w:t>-0,</w:t>
            </w:r>
            <w:r w:rsidR="00486B6F">
              <w:rPr>
                <w:rFonts w:ascii="Arial" w:hAnsi="Arial" w:cs="Arial"/>
                <w:b/>
                <w:sz w:val="16"/>
                <w:szCs w:val="16"/>
              </w:rPr>
              <w:t>05</w:t>
            </w:r>
          </w:p>
        </w:tc>
      </w:tr>
      <w:tr w:rsidR="006A0566" w:rsidRPr="006F49D0" w14:paraId="50B975E3" w14:textId="77777777" w:rsidTr="006C17CE">
        <w:tc>
          <w:tcPr>
            <w:tcW w:w="1939" w:type="dxa"/>
          </w:tcPr>
          <w:p w14:paraId="107EF9B1" w14:textId="77777777" w:rsidR="006A0566" w:rsidRPr="006F49D0" w:rsidRDefault="006A0566" w:rsidP="00CB4698">
            <w:pPr>
              <w:widowControl w:val="0"/>
              <w:jc w:val="both"/>
              <w:rPr>
                <w:rFonts w:ascii="Arial" w:hAnsi="Arial" w:cs="Arial"/>
                <w:b/>
                <w:sz w:val="16"/>
                <w:szCs w:val="16"/>
              </w:rPr>
            </w:pPr>
            <w:r w:rsidRPr="006F49D0">
              <w:rPr>
                <w:rFonts w:ascii="Arial" w:hAnsi="Arial" w:cs="Arial"/>
                <w:b/>
                <w:sz w:val="16"/>
                <w:szCs w:val="16"/>
              </w:rPr>
              <w:t xml:space="preserve">Spitzenrendite* Logistik </w:t>
            </w:r>
            <w:r w:rsidRPr="006F49D0">
              <w:rPr>
                <w:rFonts w:ascii="Arial" w:hAnsi="Arial" w:cs="Arial"/>
                <w:sz w:val="16"/>
                <w:szCs w:val="16"/>
              </w:rPr>
              <w:t>in %</w:t>
            </w:r>
          </w:p>
        </w:tc>
        <w:tc>
          <w:tcPr>
            <w:tcW w:w="817" w:type="dxa"/>
            <w:vAlign w:val="center"/>
          </w:tcPr>
          <w:p w14:paraId="723DA8B4" w14:textId="1F43FAFD" w:rsidR="006A0566" w:rsidRPr="00424A11" w:rsidRDefault="00486B6F" w:rsidP="00CB4698">
            <w:pPr>
              <w:widowControl w:val="0"/>
              <w:jc w:val="center"/>
              <w:rPr>
                <w:rFonts w:ascii="Arial" w:hAnsi="Arial" w:cs="Arial"/>
                <w:sz w:val="16"/>
                <w:szCs w:val="16"/>
              </w:rPr>
            </w:pPr>
            <w:r>
              <w:rPr>
                <w:rFonts w:ascii="Arial" w:hAnsi="Arial" w:cs="Arial"/>
                <w:sz w:val="16"/>
                <w:szCs w:val="16"/>
              </w:rPr>
              <w:t>3,8</w:t>
            </w:r>
            <w:r w:rsidR="006A0566" w:rsidRPr="00424A11">
              <w:rPr>
                <w:rFonts w:ascii="Arial" w:hAnsi="Arial" w:cs="Arial"/>
                <w:sz w:val="16"/>
                <w:szCs w:val="16"/>
              </w:rPr>
              <w:t>0</w:t>
            </w:r>
          </w:p>
        </w:tc>
        <w:tc>
          <w:tcPr>
            <w:tcW w:w="816" w:type="dxa"/>
            <w:vAlign w:val="center"/>
          </w:tcPr>
          <w:p w14:paraId="427E0471" w14:textId="2C381165" w:rsidR="006A0566" w:rsidRPr="00486B6F" w:rsidRDefault="00486B6F" w:rsidP="00CB4698">
            <w:pPr>
              <w:widowControl w:val="0"/>
              <w:jc w:val="center"/>
              <w:rPr>
                <w:rFonts w:ascii="Arial" w:hAnsi="Arial" w:cs="Arial"/>
                <w:sz w:val="16"/>
                <w:szCs w:val="16"/>
                <w:u w:val="single"/>
              </w:rPr>
            </w:pPr>
            <w:r w:rsidRPr="00486B6F">
              <w:rPr>
                <w:rFonts w:ascii="Arial" w:hAnsi="Arial" w:cs="Arial"/>
                <w:sz w:val="16"/>
                <w:szCs w:val="16"/>
                <w:u w:val="single"/>
              </w:rPr>
              <w:t>3,</w:t>
            </w:r>
            <w:r w:rsidR="0031302C" w:rsidRPr="00486B6F">
              <w:rPr>
                <w:rFonts w:ascii="Arial" w:hAnsi="Arial" w:cs="Arial"/>
                <w:sz w:val="16"/>
                <w:szCs w:val="16"/>
                <w:u w:val="single"/>
              </w:rPr>
              <w:t>5</w:t>
            </w:r>
            <w:r w:rsidRPr="00486B6F">
              <w:rPr>
                <w:rFonts w:ascii="Arial" w:hAnsi="Arial" w:cs="Arial"/>
                <w:sz w:val="16"/>
                <w:szCs w:val="16"/>
                <w:u w:val="single"/>
              </w:rPr>
              <w:t>0</w:t>
            </w:r>
          </w:p>
        </w:tc>
        <w:tc>
          <w:tcPr>
            <w:tcW w:w="933" w:type="dxa"/>
            <w:vAlign w:val="center"/>
          </w:tcPr>
          <w:p w14:paraId="777D310C" w14:textId="58927657" w:rsidR="006A0566" w:rsidRPr="00424A11" w:rsidRDefault="00615151" w:rsidP="00CB4698">
            <w:pPr>
              <w:widowControl w:val="0"/>
              <w:jc w:val="center"/>
              <w:rPr>
                <w:rFonts w:ascii="Arial" w:hAnsi="Arial" w:cs="Arial"/>
                <w:sz w:val="16"/>
                <w:szCs w:val="16"/>
              </w:rPr>
            </w:pPr>
            <w:r w:rsidRPr="00424A11">
              <w:rPr>
                <w:rFonts w:ascii="Arial" w:hAnsi="Arial" w:cs="Arial"/>
                <w:sz w:val="16"/>
                <w:szCs w:val="16"/>
              </w:rPr>
              <w:t>3,75</w:t>
            </w:r>
          </w:p>
        </w:tc>
        <w:tc>
          <w:tcPr>
            <w:tcW w:w="937" w:type="dxa"/>
            <w:vAlign w:val="center"/>
          </w:tcPr>
          <w:p w14:paraId="18CF9CF0" w14:textId="496ABA2A" w:rsidR="006A0566" w:rsidRPr="00424A11" w:rsidRDefault="00AD0891" w:rsidP="00AD0891">
            <w:pPr>
              <w:widowControl w:val="0"/>
              <w:jc w:val="center"/>
              <w:rPr>
                <w:rFonts w:ascii="Arial" w:hAnsi="Arial" w:cs="Arial"/>
                <w:sz w:val="16"/>
                <w:szCs w:val="16"/>
              </w:rPr>
            </w:pPr>
            <w:r w:rsidRPr="00424A11">
              <w:rPr>
                <w:rFonts w:ascii="Arial" w:hAnsi="Arial" w:cs="Arial"/>
                <w:sz w:val="16"/>
                <w:szCs w:val="16"/>
              </w:rPr>
              <w:t>3</w:t>
            </w:r>
            <w:r w:rsidR="006A0566" w:rsidRPr="00424A11">
              <w:rPr>
                <w:rFonts w:ascii="Arial" w:hAnsi="Arial" w:cs="Arial"/>
                <w:sz w:val="16"/>
                <w:szCs w:val="16"/>
              </w:rPr>
              <w:t>,</w:t>
            </w:r>
            <w:r w:rsidR="0031302C" w:rsidRPr="00424A11">
              <w:rPr>
                <w:rFonts w:ascii="Arial" w:hAnsi="Arial" w:cs="Arial"/>
                <w:sz w:val="16"/>
                <w:szCs w:val="16"/>
              </w:rPr>
              <w:t>6</w:t>
            </w:r>
            <w:r w:rsidR="006A0566" w:rsidRPr="00424A11">
              <w:rPr>
                <w:rFonts w:ascii="Arial" w:hAnsi="Arial" w:cs="Arial"/>
                <w:sz w:val="16"/>
                <w:szCs w:val="16"/>
              </w:rPr>
              <w:t>0</w:t>
            </w:r>
          </w:p>
        </w:tc>
        <w:tc>
          <w:tcPr>
            <w:tcW w:w="937" w:type="dxa"/>
            <w:vAlign w:val="center"/>
          </w:tcPr>
          <w:p w14:paraId="6FC45529" w14:textId="6044D4A8" w:rsidR="006A0566" w:rsidRPr="00424A11" w:rsidRDefault="006A0566" w:rsidP="006C17CE">
            <w:pPr>
              <w:widowControl w:val="0"/>
              <w:jc w:val="center"/>
              <w:rPr>
                <w:rFonts w:ascii="Arial" w:hAnsi="Arial" w:cs="Arial"/>
                <w:sz w:val="16"/>
                <w:szCs w:val="16"/>
              </w:rPr>
            </w:pPr>
            <w:r w:rsidRPr="00424A11">
              <w:rPr>
                <w:rFonts w:ascii="Arial" w:hAnsi="Arial" w:cs="Arial"/>
                <w:sz w:val="16"/>
                <w:szCs w:val="16"/>
              </w:rPr>
              <w:t>3,</w:t>
            </w:r>
            <w:r w:rsidR="00486B6F">
              <w:rPr>
                <w:rFonts w:ascii="Arial" w:hAnsi="Arial" w:cs="Arial"/>
                <w:sz w:val="16"/>
                <w:szCs w:val="16"/>
              </w:rPr>
              <w:t>6</w:t>
            </w:r>
            <w:r w:rsidRPr="00424A11">
              <w:rPr>
                <w:rFonts w:ascii="Arial" w:hAnsi="Arial" w:cs="Arial"/>
                <w:sz w:val="16"/>
                <w:szCs w:val="16"/>
              </w:rPr>
              <w:t>0</w:t>
            </w:r>
          </w:p>
        </w:tc>
        <w:tc>
          <w:tcPr>
            <w:tcW w:w="932" w:type="dxa"/>
            <w:vAlign w:val="center"/>
          </w:tcPr>
          <w:p w14:paraId="5A040C04" w14:textId="63760B58" w:rsidR="006A0566" w:rsidRPr="00424A11" w:rsidRDefault="006A0566" w:rsidP="00DE33B5">
            <w:pPr>
              <w:widowControl w:val="0"/>
              <w:jc w:val="center"/>
              <w:rPr>
                <w:rFonts w:ascii="Arial" w:hAnsi="Arial" w:cs="Arial"/>
                <w:sz w:val="16"/>
                <w:szCs w:val="16"/>
              </w:rPr>
            </w:pPr>
            <w:r w:rsidRPr="00424A11">
              <w:rPr>
                <w:rFonts w:ascii="Arial" w:hAnsi="Arial" w:cs="Arial"/>
                <w:sz w:val="16"/>
                <w:szCs w:val="16"/>
              </w:rPr>
              <w:t>4,</w:t>
            </w:r>
            <w:r w:rsidR="00486B6F">
              <w:rPr>
                <w:rFonts w:ascii="Arial" w:hAnsi="Arial" w:cs="Arial"/>
                <w:sz w:val="16"/>
                <w:szCs w:val="16"/>
              </w:rPr>
              <w:t>0</w:t>
            </w:r>
            <w:r w:rsidRPr="00424A11">
              <w:rPr>
                <w:rFonts w:ascii="Arial" w:hAnsi="Arial" w:cs="Arial"/>
                <w:sz w:val="16"/>
                <w:szCs w:val="16"/>
              </w:rPr>
              <w:t>0</w:t>
            </w:r>
          </w:p>
        </w:tc>
        <w:tc>
          <w:tcPr>
            <w:tcW w:w="936" w:type="dxa"/>
            <w:shd w:val="clear" w:color="auto" w:fill="auto"/>
            <w:vAlign w:val="center"/>
          </w:tcPr>
          <w:p w14:paraId="684DD4AF" w14:textId="59F06FD0" w:rsidR="006A0566" w:rsidRPr="00486B6F" w:rsidRDefault="00486B6F" w:rsidP="00CB4698">
            <w:pPr>
              <w:widowControl w:val="0"/>
              <w:jc w:val="center"/>
              <w:rPr>
                <w:rFonts w:ascii="Arial" w:hAnsi="Arial" w:cs="Arial"/>
                <w:sz w:val="16"/>
                <w:szCs w:val="16"/>
              </w:rPr>
            </w:pPr>
            <w:r w:rsidRPr="00486B6F">
              <w:rPr>
                <w:rFonts w:ascii="Arial" w:hAnsi="Arial" w:cs="Arial"/>
                <w:sz w:val="16"/>
                <w:szCs w:val="16"/>
              </w:rPr>
              <w:t>4,0</w:t>
            </w:r>
            <w:r w:rsidR="006A0566" w:rsidRPr="00486B6F">
              <w:rPr>
                <w:rFonts w:ascii="Arial" w:hAnsi="Arial" w:cs="Arial"/>
                <w:sz w:val="16"/>
                <w:szCs w:val="16"/>
              </w:rPr>
              <w:t>0</w:t>
            </w:r>
          </w:p>
        </w:tc>
        <w:tc>
          <w:tcPr>
            <w:tcW w:w="800" w:type="dxa"/>
            <w:vAlign w:val="center"/>
          </w:tcPr>
          <w:p w14:paraId="0CE5389C" w14:textId="62DB7970" w:rsidR="006A0566" w:rsidRPr="00424A11" w:rsidRDefault="00486B6F" w:rsidP="00CB4698">
            <w:pPr>
              <w:widowControl w:val="0"/>
              <w:jc w:val="center"/>
              <w:rPr>
                <w:rFonts w:ascii="Arial" w:hAnsi="Arial" w:cs="Arial"/>
                <w:b/>
                <w:sz w:val="16"/>
                <w:szCs w:val="16"/>
              </w:rPr>
            </w:pPr>
            <w:r>
              <w:rPr>
                <w:rFonts w:ascii="Arial" w:hAnsi="Arial" w:cs="Arial"/>
                <w:b/>
                <w:sz w:val="16"/>
                <w:szCs w:val="16"/>
              </w:rPr>
              <w:t>3,75</w:t>
            </w:r>
          </w:p>
        </w:tc>
      </w:tr>
      <w:tr w:rsidR="006A0566" w:rsidRPr="006F49D0" w14:paraId="0E1157E4" w14:textId="77777777" w:rsidTr="006C17CE">
        <w:tc>
          <w:tcPr>
            <w:tcW w:w="1939" w:type="dxa"/>
          </w:tcPr>
          <w:p w14:paraId="75EC6EA9" w14:textId="77777777" w:rsidR="006A0566" w:rsidRPr="006F49D0" w:rsidRDefault="006A0566" w:rsidP="00CB4698">
            <w:pPr>
              <w:widowControl w:val="0"/>
              <w:jc w:val="both"/>
              <w:rPr>
                <w:rFonts w:ascii="Arial" w:hAnsi="Arial" w:cs="Arial"/>
                <w:b/>
                <w:sz w:val="16"/>
                <w:szCs w:val="16"/>
              </w:rPr>
            </w:pPr>
            <w:r>
              <w:rPr>
                <w:rFonts w:ascii="Arial" w:hAnsi="Arial" w:cs="Arial"/>
                <w:b/>
                <w:sz w:val="16"/>
                <w:szCs w:val="16"/>
              </w:rPr>
              <w:t xml:space="preserve">ggü. Vorjahr </w:t>
            </w:r>
            <w:r w:rsidRPr="003A2101">
              <w:rPr>
                <w:rFonts w:ascii="Arial" w:hAnsi="Arial" w:cs="Arial"/>
                <w:sz w:val="16"/>
                <w:szCs w:val="16"/>
              </w:rPr>
              <w:t>in %-Pkt.</w:t>
            </w:r>
          </w:p>
        </w:tc>
        <w:tc>
          <w:tcPr>
            <w:tcW w:w="817" w:type="dxa"/>
            <w:vAlign w:val="center"/>
          </w:tcPr>
          <w:p w14:paraId="0A5E4A80" w14:textId="1263F9E2" w:rsidR="006A0566" w:rsidRPr="00424A11" w:rsidRDefault="00486B6F" w:rsidP="00CB4698">
            <w:pPr>
              <w:widowControl w:val="0"/>
              <w:jc w:val="center"/>
              <w:rPr>
                <w:rFonts w:ascii="Arial" w:hAnsi="Arial" w:cs="Arial"/>
                <w:sz w:val="16"/>
                <w:szCs w:val="16"/>
              </w:rPr>
            </w:pPr>
            <w:r>
              <w:rPr>
                <w:rFonts w:ascii="Arial" w:hAnsi="Arial" w:cs="Arial"/>
                <w:sz w:val="16"/>
                <w:szCs w:val="16"/>
              </w:rPr>
              <w:t>-0,4</w:t>
            </w:r>
            <w:r w:rsidR="0031302C" w:rsidRPr="00424A11">
              <w:rPr>
                <w:rFonts w:ascii="Arial" w:hAnsi="Arial" w:cs="Arial"/>
                <w:sz w:val="16"/>
                <w:szCs w:val="16"/>
              </w:rPr>
              <w:t>0</w:t>
            </w:r>
          </w:p>
        </w:tc>
        <w:tc>
          <w:tcPr>
            <w:tcW w:w="816" w:type="dxa"/>
            <w:vAlign w:val="center"/>
          </w:tcPr>
          <w:p w14:paraId="5E5CC2C6" w14:textId="337A4E27" w:rsidR="006A0566" w:rsidRPr="00424A11" w:rsidRDefault="00486B6F" w:rsidP="00CB4698">
            <w:pPr>
              <w:widowControl w:val="0"/>
              <w:jc w:val="center"/>
              <w:rPr>
                <w:rFonts w:ascii="Arial" w:hAnsi="Arial" w:cs="Arial"/>
                <w:sz w:val="16"/>
                <w:szCs w:val="16"/>
              </w:rPr>
            </w:pPr>
            <w:r>
              <w:rPr>
                <w:rFonts w:ascii="Arial" w:hAnsi="Arial" w:cs="Arial"/>
                <w:sz w:val="16"/>
                <w:szCs w:val="16"/>
              </w:rPr>
              <w:t>-0,30</w:t>
            </w:r>
          </w:p>
        </w:tc>
        <w:tc>
          <w:tcPr>
            <w:tcW w:w="933" w:type="dxa"/>
            <w:vAlign w:val="center"/>
          </w:tcPr>
          <w:p w14:paraId="27A92190" w14:textId="1AF51264" w:rsidR="006A0566" w:rsidRPr="00424A11" w:rsidRDefault="00615151" w:rsidP="00CB4698">
            <w:pPr>
              <w:widowControl w:val="0"/>
              <w:jc w:val="center"/>
              <w:rPr>
                <w:rFonts w:ascii="Arial" w:hAnsi="Arial" w:cs="Arial"/>
                <w:sz w:val="16"/>
                <w:szCs w:val="16"/>
              </w:rPr>
            </w:pPr>
            <w:r w:rsidRPr="00424A11">
              <w:rPr>
                <w:rFonts w:ascii="Arial" w:hAnsi="Arial" w:cs="Arial"/>
                <w:sz w:val="16"/>
                <w:szCs w:val="16"/>
              </w:rPr>
              <w:t>-0,2</w:t>
            </w:r>
            <w:r w:rsidR="006A0566" w:rsidRPr="00424A11">
              <w:rPr>
                <w:rFonts w:ascii="Arial" w:hAnsi="Arial" w:cs="Arial"/>
                <w:sz w:val="16"/>
                <w:szCs w:val="16"/>
              </w:rPr>
              <w:t>5</w:t>
            </w:r>
          </w:p>
        </w:tc>
        <w:tc>
          <w:tcPr>
            <w:tcW w:w="937" w:type="dxa"/>
            <w:vAlign w:val="center"/>
          </w:tcPr>
          <w:p w14:paraId="1E795FEA" w14:textId="6F188F74" w:rsidR="006A0566" w:rsidRPr="003A29FA" w:rsidRDefault="006A0566" w:rsidP="00AD0891">
            <w:pPr>
              <w:widowControl w:val="0"/>
              <w:jc w:val="center"/>
              <w:rPr>
                <w:rFonts w:ascii="Arial" w:hAnsi="Arial" w:cs="Arial"/>
                <w:sz w:val="16"/>
                <w:szCs w:val="16"/>
                <w:u w:val="single"/>
              </w:rPr>
            </w:pPr>
            <w:r w:rsidRPr="003A29FA">
              <w:rPr>
                <w:rFonts w:ascii="Arial" w:hAnsi="Arial" w:cs="Arial"/>
                <w:sz w:val="16"/>
                <w:szCs w:val="16"/>
                <w:u w:val="single"/>
              </w:rPr>
              <w:t>-0,</w:t>
            </w:r>
            <w:r w:rsidR="0031302C" w:rsidRPr="003A29FA">
              <w:rPr>
                <w:rFonts w:ascii="Arial" w:hAnsi="Arial" w:cs="Arial"/>
                <w:sz w:val="16"/>
                <w:szCs w:val="16"/>
                <w:u w:val="single"/>
              </w:rPr>
              <w:t>5</w:t>
            </w:r>
            <w:r w:rsidR="00AD0891" w:rsidRPr="003A29FA">
              <w:rPr>
                <w:rFonts w:ascii="Arial" w:hAnsi="Arial" w:cs="Arial"/>
                <w:sz w:val="16"/>
                <w:szCs w:val="16"/>
                <w:u w:val="single"/>
              </w:rPr>
              <w:t>0</w:t>
            </w:r>
          </w:p>
        </w:tc>
        <w:tc>
          <w:tcPr>
            <w:tcW w:w="937" w:type="dxa"/>
            <w:vAlign w:val="center"/>
          </w:tcPr>
          <w:p w14:paraId="31615C3D" w14:textId="4D2DCB75" w:rsidR="006A0566" w:rsidRPr="00424A11" w:rsidRDefault="006A0566" w:rsidP="006C17CE">
            <w:pPr>
              <w:widowControl w:val="0"/>
              <w:jc w:val="center"/>
              <w:rPr>
                <w:rFonts w:ascii="Arial" w:hAnsi="Arial" w:cs="Arial"/>
                <w:sz w:val="16"/>
                <w:szCs w:val="16"/>
              </w:rPr>
            </w:pPr>
            <w:r w:rsidRPr="00424A11">
              <w:rPr>
                <w:rFonts w:ascii="Arial" w:hAnsi="Arial" w:cs="Arial"/>
                <w:sz w:val="16"/>
                <w:szCs w:val="16"/>
              </w:rPr>
              <w:t>-0,</w:t>
            </w:r>
            <w:r w:rsidR="00486B6F">
              <w:rPr>
                <w:rFonts w:ascii="Arial" w:hAnsi="Arial" w:cs="Arial"/>
                <w:sz w:val="16"/>
                <w:szCs w:val="16"/>
              </w:rPr>
              <w:t>2</w:t>
            </w:r>
            <w:r w:rsidRPr="00424A11">
              <w:rPr>
                <w:rFonts w:ascii="Arial" w:hAnsi="Arial" w:cs="Arial"/>
                <w:sz w:val="16"/>
                <w:szCs w:val="16"/>
              </w:rPr>
              <w:t>0</w:t>
            </w:r>
          </w:p>
        </w:tc>
        <w:tc>
          <w:tcPr>
            <w:tcW w:w="932" w:type="dxa"/>
            <w:vAlign w:val="center"/>
          </w:tcPr>
          <w:p w14:paraId="7F1C6DE4" w14:textId="4408C5D6" w:rsidR="006A0566" w:rsidRPr="00486B6F" w:rsidRDefault="00A30AB0" w:rsidP="00DE33B5">
            <w:pPr>
              <w:widowControl w:val="0"/>
              <w:jc w:val="center"/>
              <w:rPr>
                <w:rFonts w:ascii="Arial" w:hAnsi="Arial" w:cs="Arial"/>
                <w:sz w:val="16"/>
                <w:szCs w:val="16"/>
                <w:u w:val="single"/>
              </w:rPr>
            </w:pPr>
            <w:r w:rsidRPr="00486B6F">
              <w:rPr>
                <w:rFonts w:ascii="Arial" w:hAnsi="Arial" w:cs="Arial"/>
                <w:sz w:val="16"/>
                <w:szCs w:val="16"/>
                <w:u w:val="single"/>
              </w:rPr>
              <w:t>-</w:t>
            </w:r>
            <w:r w:rsidR="006A0566" w:rsidRPr="00486B6F">
              <w:rPr>
                <w:rFonts w:ascii="Arial" w:hAnsi="Arial" w:cs="Arial"/>
                <w:sz w:val="16"/>
                <w:szCs w:val="16"/>
                <w:u w:val="single"/>
              </w:rPr>
              <w:t>0,</w:t>
            </w:r>
            <w:r w:rsidR="00486B6F" w:rsidRPr="00486B6F">
              <w:rPr>
                <w:rFonts w:ascii="Arial" w:hAnsi="Arial" w:cs="Arial"/>
                <w:sz w:val="16"/>
                <w:szCs w:val="16"/>
                <w:u w:val="single"/>
              </w:rPr>
              <w:t>5</w:t>
            </w:r>
            <w:r w:rsidR="006A0566" w:rsidRPr="00486B6F">
              <w:rPr>
                <w:rFonts w:ascii="Arial" w:hAnsi="Arial" w:cs="Arial"/>
                <w:sz w:val="16"/>
                <w:szCs w:val="16"/>
                <w:u w:val="single"/>
              </w:rPr>
              <w:t>0</w:t>
            </w:r>
          </w:p>
        </w:tc>
        <w:tc>
          <w:tcPr>
            <w:tcW w:w="936" w:type="dxa"/>
            <w:shd w:val="clear" w:color="auto" w:fill="auto"/>
            <w:vAlign w:val="center"/>
          </w:tcPr>
          <w:p w14:paraId="00B0CCF3" w14:textId="4EB677A4" w:rsidR="006A0566" w:rsidRPr="00424A11" w:rsidRDefault="00486B6F" w:rsidP="00CB4698">
            <w:pPr>
              <w:widowControl w:val="0"/>
              <w:jc w:val="center"/>
              <w:rPr>
                <w:rFonts w:ascii="Arial" w:hAnsi="Arial" w:cs="Arial"/>
                <w:sz w:val="16"/>
                <w:szCs w:val="16"/>
              </w:rPr>
            </w:pPr>
            <w:r>
              <w:rPr>
                <w:rFonts w:ascii="Arial" w:hAnsi="Arial" w:cs="Arial"/>
                <w:sz w:val="16"/>
                <w:szCs w:val="16"/>
              </w:rPr>
              <w:t>0,0</w:t>
            </w:r>
            <w:r w:rsidR="006A0566" w:rsidRPr="00424A11">
              <w:rPr>
                <w:rFonts w:ascii="Arial" w:hAnsi="Arial" w:cs="Arial"/>
                <w:sz w:val="16"/>
                <w:szCs w:val="16"/>
              </w:rPr>
              <w:t>0</w:t>
            </w:r>
          </w:p>
        </w:tc>
        <w:tc>
          <w:tcPr>
            <w:tcW w:w="800" w:type="dxa"/>
            <w:vAlign w:val="center"/>
          </w:tcPr>
          <w:p w14:paraId="19B34957" w14:textId="75046011" w:rsidR="006A0566" w:rsidRPr="00424A11" w:rsidRDefault="00486B6F" w:rsidP="00CB4698">
            <w:pPr>
              <w:widowControl w:val="0"/>
              <w:jc w:val="center"/>
              <w:rPr>
                <w:rFonts w:ascii="Arial" w:hAnsi="Arial" w:cs="Arial"/>
                <w:b/>
                <w:sz w:val="16"/>
                <w:szCs w:val="16"/>
              </w:rPr>
            </w:pPr>
            <w:r>
              <w:rPr>
                <w:rFonts w:ascii="Arial" w:hAnsi="Arial" w:cs="Arial"/>
                <w:b/>
                <w:sz w:val="16"/>
                <w:szCs w:val="16"/>
              </w:rPr>
              <w:t>-0,31</w:t>
            </w:r>
          </w:p>
        </w:tc>
      </w:tr>
      <w:tr w:rsidR="006A0566" w:rsidRPr="006F49D0" w14:paraId="11513A42" w14:textId="77777777" w:rsidTr="006C17CE">
        <w:tc>
          <w:tcPr>
            <w:tcW w:w="1939" w:type="dxa"/>
          </w:tcPr>
          <w:p w14:paraId="4A65772B" w14:textId="77777777" w:rsidR="006A0566" w:rsidRPr="006F49D0" w:rsidRDefault="006A0566" w:rsidP="00CB4698">
            <w:pPr>
              <w:widowControl w:val="0"/>
              <w:jc w:val="both"/>
              <w:rPr>
                <w:rFonts w:ascii="Arial" w:hAnsi="Arial" w:cs="Arial"/>
                <w:b/>
                <w:sz w:val="16"/>
                <w:szCs w:val="16"/>
              </w:rPr>
            </w:pPr>
            <w:r w:rsidRPr="006F49D0">
              <w:rPr>
                <w:rFonts w:ascii="Arial" w:hAnsi="Arial" w:cs="Arial"/>
                <w:b/>
                <w:sz w:val="16"/>
                <w:szCs w:val="16"/>
              </w:rPr>
              <w:t>Stärkste</w:t>
            </w:r>
          </w:p>
          <w:p w14:paraId="31998AB2" w14:textId="77777777" w:rsidR="006A0566" w:rsidRPr="006F49D0" w:rsidRDefault="006A0566" w:rsidP="00CB4698">
            <w:pPr>
              <w:widowControl w:val="0"/>
              <w:jc w:val="both"/>
              <w:rPr>
                <w:rFonts w:ascii="Arial" w:hAnsi="Arial" w:cs="Arial"/>
                <w:b/>
                <w:sz w:val="16"/>
                <w:szCs w:val="16"/>
              </w:rPr>
            </w:pPr>
            <w:r w:rsidRPr="006F49D0">
              <w:rPr>
                <w:rFonts w:ascii="Arial" w:hAnsi="Arial" w:cs="Arial"/>
                <w:b/>
                <w:sz w:val="16"/>
                <w:szCs w:val="16"/>
              </w:rPr>
              <w:t>Assetklasse</w:t>
            </w:r>
          </w:p>
        </w:tc>
        <w:tc>
          <w:tcPr>
            <w:tcW w:w="817" w:type="dxa"/>
            <w:vAlign w:val="center"/>
          </w:tcPr>
          <w:p w14:paraId="6A6A9731" w14:textId="77777777" w:rsidR="006A0566" w:rsidRPr="00424A11" w:rsidRDefault="006A0566" w:rsidP="00CB4698">
            <w:pPr>
              <w:widowControl w:val="0"/>
              <w:jc w:val="center"/>
              <w:rPr>
                <w:rFonts w:ascii="Arial" w:hAnsi="Arial" w:cs="Arial"/>
                <w:sz w:val="16"/>
                <w:szCs w:val="16"/>
              </w:rPr>
            </w:pPr>
            <w:r w:rsidRPr="00424A11">
              <w:rPr>
                <w:rFonts w:ascii="Arial" w:hAnsi="Arial" w:cs="Arial"/>
                <w:sz w:val="16"/>
                <w:szCs w:val="16"/>
              </w:rPr>
              <w:t>Büro</w:t>
            </w:r>
          </w:p>
        </w:tc>
        <w:tc>
          <w:tcPr>
            <w:tcW w:w="816" w:type="dxa"/>
            <w:vAlign w:val="center"/>
          </w:tcPr>
          <w:p w14:paraId="16372C6A" w14:textId="026625A3" w:rsidR="006A0566" w:rsidRPr="00424A11" w:rsidRDefault="00486B6F" w:rsidP="00CB4698">
            <w:pPr>
              <w:widowControl w:val="0"/>
              <w:jc w:val="center"/>
              <w:rPr>
                <w:rFonts w:ascii="Arial" w:hAnsi="Arial" w:cs="Arial"/>
                <w:sz w:val="16"/>
                <w:szCs w:val="16"/>
              </w:rPr>
            </w:pPr>
            <w:r>
              <w:rPr>
                <w:rFonts w:ascii="Arial" w:hAnsi="Arial" w:cs="Arial"/>
                <w:sz w:val="16"/>
                <w:szCs w:val="16"/>
              </w:rPr>
              <w:t>Mixed-Use</w:t>
            </w:r>
          </w:p>
        </w:tc>
        <w:tc>
          <w:tcPr>
            <w:tcW w:w="933" w:type="dxa"/>
            <w:vAlign w:val="center"/>
          </w:tcPr>
          <w:p w14:paraId="5DAF8A6A" w14:textId="77777777" w:rsidR="006A0566" w:rsidRPr="00424A11" w:rsidRDefault="006A0566" w:rsidP="00CB4698">
            <w:pPr>
              <w:widowControl w:val="0"/>
              <w:jc w:val="center"/>
              <w:rPr>
                <w:rFonts w:ascii="Arial" w:hAnsi="Arial" w:cs="Arial"/>
                <w:sz w:val="16"/>
                <w:szCs w:val="16"/>
              </w:rPr>
            </w:pPr>
            <w:r w:rsidRPr="00424A11">
              <w:rPr>
                <w:rFonts w:ascii="Arial" w:hAnsi="Arial" w:cs="Arial"/>
                <w:sz w:val="16"/>
                <w:szCs w:val="16"/>
              </w:rPr>
              <w:t>Büro</w:t>
            </w:r>
          </w:p>
        </w:tc>
        <w:tc>
          <w:tcPr>
            <w:tcW w:w="937" w:type="dxa"/>
            <w:vAlign w:val="center"/>
          </w:tcPr>
          <w:p w14:paraId="325DEF48" w14:textId="29623C1A" w:rsidR="006A0566" w:rsidRPr="00424A11" w:rsidRDefault="00486B6F" w:rsidP="00CB4698">
            <w:pPr>
              <w:widowControl w:val="0"/>
              <w:jc w:val="center"/>
              <w:rPr>
                <w:rFonts w:ascii="Arial" w:hAnsi="Arial" w:cs="Arial"/>
                <w:sz w:val="16"/>
                <w:szCs w:val="16"/>
              </w:rPr>
            </w:pPr>
            <w:r>
              <w:rPr>
                <w:rFonts w:ascii="Arial" w:hAnsi="Arial" w:cs="Arial"/>
                <w:sz w:val="16"/>
                <w:szCs w:val="16"/>
              </w:rPr>
              <w:t>Büro</w:t>
            </w:r>
          </w:p>
        </w:tc>
        <w:tc>
          <w:tcPr>
            <w:tcW w:w="937" w:type="dxa"/>
            <w:vAlign w:val="center"/>
          </w:tcPr>
          <w:p w14:paraId="58B170C6" w14:textId="77777777" w:rsidR="006A0566" w:rsidRPr="00424A11" w:rsidRDefault="006A0566" w:rsidP="00CB4698">
            <w:pPr>
              <w:widowControl w:val="0"/>
              <w:jc w:val="center"/>
              <w:rPr>
                <w:rFonts w:ascii="Arial" w:hAnsi="Arial" w:cs="Arial"/>
                <w:sz w:val="16"/>
                <w:szCs w:val="16"/>
              </w:rPr>
            </w:pPr>
            <w:r w:rsidRPr="00424A11">
              <w:rPr>
                <w:rFonts w:ascii="Arial" w:hAnsi="Arial" w:cs="Arial"/>
                <w:sz w:val="16"/>
                <w:szCs w:val="16"/>
              </w:rPr>
              <w:t>Büro</w:t>
            </w:r>
          </w:p>
        </w:tc>
        <w:tc>
          <w:tcPr>
            <w:tcW w:w="932" w:type="dxa"/>
            <w:vAlign w:val="center"/>
          </w:tcPr>
          <w:p w14:paraId="2A40510B" w14:textId="77777777" w:rsidR="006A0566" w:rsidRPr="00424A11" w:rsidRDefault="006A0566" w:rsidP="00CB4698">
            <w:pPr>
              <w:widowControl w:val="0"/>
              <w:jc w:val="center"/>
              <w:rPr>
                <w:rFonts w:ascii="Arial" w:hAnsi="Arial" w:cs="Arial"/>
                <w:sz w:val="16"/>
                <w:szCs w:val="16"/>
              </w:rPr>
            </w:pPr>
            <w:r w:rsidRPr="00424A11">
              <w:rPr>
                <w:rFonts w:ascii="Arial" w:hAnsi="Arial" w:cs="Arial"/>
                <w:sz w:val="16"/>
                <w:szCs w:val="16"/>
              </w:rPr>
              <w:t>Büro</w:t>
            </w:r>
          </w:p>
        </w:tc>
        <w:tc>
          <w:tcPr>
            <w:tcW w:w="936" w:type="dxa"/>
            <w:shd w:val="clear" w:color="auto" w:fill="auto"/>
            <w:vAlign w:val="center"/>
          </w:tcPr>
          <w:p w14:paraId="0071E92B" w14:textId="77777777" w:rsidR="006A0566" w:rsidRPr="00424A11" w:rsidRDefault="006A0566" w:rsidP="00CB4698">
            <w:pPr>
              <w:widowControl w:val="0"/>
              <w:jc w:val="center"/>
              <w:rPr>
                <w:rFonts w:ascii="Arial" w:hAnsi="Arial" w:cs="Arial"/>
                <w:sz w:val="16"/>
                <w:szCs w:val="16"/>
              </w:rPr>
            </w:pPr>
            <w:r w:rsidRPr="00424A11">
              <w:rPr>
                <w:rFonts w:ascii="Arial" w:hAnsi="Arial" w:cs="Arial"/>
                <w:sz w:val="16"/>
                <w:szCs w:val="16"/>
              </w:rPr>
              <w:t>Büro</w:t>
            </w:r>
          </w:p>
        </w:tc>
        <w:tc>
          <w:tcPr>
            <w:tcW w:w="800" w:type="dxa"/>
            <w:vAlign w:val="center"/>
          </w:tcPr>
          <w:p w14:paraId="2D0AC5C1" w14:textId="77777777" w:rsidR="006A0566" w:rsidRPr="00424A11" w:rsidRDefault="006A0566" w:rsidP="00CB4698">
            <w:pPr>
              <w:widowControl w:val="0"/>
              <w:jc w:val="center"/>
              <w:rPr>
                <w:rFonts w:ascii="Arial" w:hAnsi="Arial" w:cs="Arial"/>
                <w:b/>
                <w:sz w:val="16"/>
                <w:szCs w:val="16"/>
              </w:rPr>
            </w:pPr>
            <w:r w:rsidRPr="00424A11">
              <w:rPr>
                <w:rFonts w:ascii="Arial" w:hAnsi="Arial" w:cs="Arial"/>
                <w:b/>
                <w:sz w:val="16"/>
                <w:szCs w:val="16"/>
              </w:rPr>
              <w:t>-</w:t>
            </w:r>
          </w:p>
        </w:tc>
      </w:tr>
      <w:tr w:rsidR="006A0566" w:rsidRPr="006F49D0" w14:paraId="1C71FD3A" w14:textId="77777777" w:rsidTr="006C17CE">
        <w:tc>
          <w:tcPr>
            <w:tcW w:w="1939" w:type="dxa"/>
          </w:tcPr>
          <w:p w14:paraId="7434BD58" w14:textId="77777777" w:rsidR="006A0566" w:rsidRPr="006F49D0" w:rsidRDefault="006A0566" w:rsidP="00CB4698">
            <w:pPr>
              <w:widowControl w:val="0"/>
              <w:jc w:val="both"/>
              <w:rPr>
                <w:rFonts w:ascii="Arial" w:hAnsi="Arial" w:cs="Arial"/>
                <w:b/>
                <w:sz w:val="16"/>
                <w:szCs w:val="16"/>
              </w:rPr>
            </w:pPr>
            <w:r w:rsidRPr="006F49D0">
              <w:rPr>
                <w:rFonts w:ascii="Arial" w:hAnsi="Arial" w:cs="Arial"/>
                <w:b/>
                <w:sz w:val="16"/>
                <w:szCs w:val="16"/>
              </w:rPr>
              <w:t>Stärkste</w:t>
            </w:r>
          </w:p>
          <w:p w14:paraId="2650C67A" w14:textId="77777777" w:rsidR="006A0566" w:rsidRPr="006F49D0" w:rsidRDefault="006A0566" w:rsidP="00CB4698">
            <w:pPr>
              <w:widowControl w:val="0"/>
              <w:jc w:val="both"/>
              <w:rPr>
                <w:rFonts w:ascii="Arial" w:hAnsi="Arial" w:cs="Arial"/>
                <w:b/>
                <w:sz w:val="16"/>
                <w:szCs w:val="16"/>
              </w:rPr>
            </w:pPr>
            <w:r w:rsidRPr="006F49D0">
              <w:rPr>
                <w:rFonts w:ascii="Arial" w:hAnsi="Arial" w:cs="Arial"/>
                <w:b/>
                <w:sz w:val="16"/>
                <w:szCs w:val="16"/>
              </w:rPr>
              <w:t xml:space="preserve">Assetklasse </w:t>
            </w:r>
            <w:r w:rsidRPr="006F49D0">
              <w:rPr>
                <w:rFonts w:ascii="Arial" w:hAnsi="Arial" w:cs="Arial"/>
                <w:sz w:val="16"/>
                <w:szCs w:val="16"/>
              </w:rPr>
              <w:t>in %</w:t>
            </w:r>
          </w:p>
        </w:tc>
        <w:tc>
          <w:tcPr>
            <w:tcW w:w="817" w:type="dxa"/>
            <w:vAlign w:val="center"/>
          </w:tcPr>
          <w:p w14:paraId="03DB0EF7" w14:textId="0E024A7D" w:rsidR="006A0566" w:rsidRPr="00424A11" w:rsidRDefault="00486B6F" w:rsidP="00CB4698">
            <w:pPr>
              <w:widowControl w:val="0"/>
              <w:jc w:val="center"/>
              <w:rPr>
                <w:rFonts w:ascii="Arial" w:hAnsi="Arial" w:cs="Arial"/>
                <w:sz w:val="16"/>
                <w:szCs w:val="16"/>
              </w:rPr>
            </w:pPr>
            <w:r>
              <w:rPr>
                <w:rFonts w:ascii="Arial" w:hAnsi="Arial" w:cs="Arial"/>
                <w:sz w:val="16"/>
                <w:szCs w:val="16"/>
              </w:rPr>
              <w:t>51</w:t>
            </w:r>
          </w:p>
        </w:tc>
        <w:tc>
          <w:tcPr>
            <w:tcW w:w="816" w:type="dxa"/>
            <w:vAlign w:val="center"/>
          </w:tcPr>
          <w:p w14:paraId="05D9C8A4" w14:textId="4F6B9F69" w:rsidR="006A0566" w:rsidRPr="00424A11" w:rsidRDefault="00486B6F" w:rsidP="00CB4698">
            <w:pPr>
              <w:widowControl w:val="0"/>
              <w:jc w:val="center"/>
              <w:rPr>
                <w:rFonts w:ascii="Arial" w:hAnsi="Arial" w:cs="Arial"/>
                <w:sz w:val="16"/>
                <w:szCs w:val="16"/>
              </w:rPr>
            </w:pPr>
            <w:r>
              <w:rPr>
                <w:rFonts w:ascii="Arial" w:hAnsi="Arial" w:cs="Arial"/>
                <w:sz w:val="16"/>
                <w:szCs w:val="16"/>
              </w:rPr>
              <w:t>51</w:t>
            </w:r>
          </w:p>
        </w:tc>
        <w:tc>
          <w:tcPr>
            <w:tcW w:w="933" w:type="dxa"/>
            <w:vAlign w:val="center"/>
          </w:tcPr>
          <w:p w14:paraId="0EF2E3D1" w14:textId="6B1733C8" w:rsidR="006A0566" w:rsidRPr="00424A11" w:rsidRDefault="00486B6F" w:rsidP="00CB4698">
            <w:pPr>
              <w:widowControl w:val="0"/>
              <w:jc w:val="center"/>
              <w:rPr>
                <w:rFonts w:ascii="Arial" w:hAnsi="Arial" w:cs="Arial"/>
                <w:sz w:val="16"/>
                <w:szCs w:val="16"/>
              </w:rPr>
            </w:pPr>
            <w:r>
              <w:rPr>
                <w:rFonts w:ascii="Arial" w:hAnsi="Arial" w:cs="Arial"/>
                <w:sz w:val="16"/>
                <w:szCs w:val="16"/>
              </w:rPr>
              <w:t>65</w:t>
            </w:r>
          </w:p>
        </w:tc>
        <w:tc>
          <w:tcPr>
            <w:tcW w:w="937" w:type="dxa"/>
            <w:vAlign w:val="center"/>
          </w:tcPr>
          <w:p w14:paraId="171A9129" w14:textId="060D9FB5" w:rsidR="006A0566" w:rsidRPr="00424A11" w:rsidRDefault="00C240EF" w:rsidP="00CB4698">
            <w:pPr>
              <w:widowControl w:val="0"/>
              <w:jc w:val="center"/>
              <w:rPr>
                <w:rFonts w:ascii="Arial" w:hAnsi="Arial" w:cs="Arial"/>
                <w:sz w:val="16"/>
                <w:szCs w:val="16"/>
              </w:rPr>
            </w:pPr>
            <w:r>
              <w:rPr>
                <w:rFonts w:ascii="Arial" w:hAnsi="Arial" w:cs="Arial"/>
                <w:sz w:val="16"/>
                <w:szCs w:val="16"/>
              </w:rPr>
              <w:t>41</w:t>
            </w:r>
          </w:p>
        </w:tc>
        <w:tc>
          <w:tcPr>
            <w:tcW w:w="937" w:type="dxa"/>
            <w:vAlign w:val="center"/>
          </w:tcPr>
          <w:p w14:paraId="713F8944" w14:textId="09876E49" w:rsidR="006A0566" w:rsidRPr="00486B6F" w:rsidRDefault="00A761F2" w:rsidP="00CB4698">
            <w:pPr>
              <w:widowControl w:val="0"/>
              <w:jc w:val="center"/>
              <w:rPr>
                <w:rFonts w:ascii="Arial" w:hAnsi="Arial" w:cs="Arial"/>
                <w:sz w:val="16"/>
                <w:szCs w:val="16"/>
              </w:rPr>
            </w:pPr>
            <w:r>
              <w:rPr>
                <w:rFonts w:ascii="Arial" w:hAnsi="Arial" w:cs="Arial"/>
                <w:sz w:val="16"/>
                <w:szCs w:val="16"/>
              </w:rPr>
              <w:t>68</w:t>
            </w:r>
          </w:p>
        </w:tc>
        <w:tc>
          <w:tcPr>
            <w:tcW w:w="932" w:type="dxa"/>
            <w:vAlign w:val="center"/>
          </w:tcPr>
          <w:p w14:paraId="2D81D876" w14:textId="41B32959" w:rsidR="006A0566" w:rsidRPr="00424A11" w:rsidRDefault="00486B6F" w:rsidP="00CB4698">
            <w:pPr>
              <w:widowControl w:val="0"/>
              <w:jc w:val="center"/>
              <w:rPr>
                <w:rFonts w:ascii="Arial" w:hAnsi="Arial" w:cs="Arial"/>
                <w:sz w:val="16"/>
                <w:szCs w:val="16"/>
              </w:rPr>
            </w:pPr>
            <w:r>
              <w:rPr>
                <w:rFonts w:ascii="Arial" w:hAnsi="Arial" w:cs="Arial"/>
                <w:sz w:val="16"/>
                <w:szCs w:val="16"/>
              </w:rPr>
              <w:t>36</w:t>
            </w:r>
          </w:p>
        </w:tc>
        <w:tc>
          <w:tcPr>
            <w:tcW w:w="936" w:type="dxa"/>
            <w:shd w:val="clear" w:color="auto" w:fill="auto"/>
            <w:vAlign w:val="center"/>
          </w:tcPr>
          <w:p w14:paraId="6959E9ED" w14:textId="5C555ADE" w:rsidR="006A0566" w:rsidRPr="00486B6F" w:rsidRDefault="00486B6F" w:rsidP="00CB4698">
            <w:pPr>
              <w:widowControl w:val="0"/>
              <w:jc w:val="center"/>
              <w:rPr>
                <w:rFonts w:ascii="Arial" w:hAnsi="Arial" w:cs="Arial"/>
                <w:sz w:val="16"/>
                <w:szCs w:val="16"/>
                <w:u w:val="single"/>
              </w:rPr>
            </w:pPr>
            <w:r w:rsidRPr="00486B6F">
              <w:rPr>
                <w:rFonts w:ascii="Arial" w:hAnsi="Arial" w:cs="Arial"/>
                <w:sz w:val="16"/>
                <w:szCs w:val="16"/>
                <w:u w:val="single"/>
              </w:rPr>
              <w:t>83</w:t>
            </w:r>
          </w:p>
        </w:tc>
        <w:tc>
          <w:tcPr>
            <w:tcW w:w="800" w:type="dxa"/>
            <w:vAlign w:val="center"/>
          </w:tcPr>
          <w:p w14:paraId="397018BE" w14:textId="77777777" w:rsidR="006A0566" w:rsidRPr="00424A11" w:rsidRDefault="006A0566" w:rsidP="00CB4698">
            <w:pPr>
              <w:widowControl w:val="0"/>
              <w:jc w:val="center"/>
              <w:rPr>
                <w:rFonts w:ascii="Arial" w:hAnsi="Arial" w:cs="Arial"/>
                <w:b/>
                <w:sz w:val="16"/>
                <w:szCs w:val="16"/>
              </w:rPr>
            </w:pPr>
            <w:r w:rsidRPr="00424A11">
              <w:rPr>
                <w:rFonts w:ascii="Arial" w:hAnsi="Arial" w:cs="Arial"/>
                <w:b/>
                <w:sz w:val="16"/>
                <w:szCs w:val="16"/>
              </w:rPr>
              <w:t>-</w:t>
            </w:r>
          </w:p>
        </w:tc>
      </w:tr>
    </w:tbl>
    <w:p w14:paraId="5C0C697E" w14:textId="53729E33" w:rsidR="006A0566" w:rsidRDefault="006A0566" w:rsidP="006A0566">
      <w:pPr>
        <w:widowControl w:val="0"/>
        <w:spacing w:after="0"/>
        <w:rPr>
          <w:rFonts w:ascii="Arial" w:hAnsi="Arial" w:cs="Arial"/>
          <w:sz w:val="16"/>
          <w:szCs w:val="16"/>
        </w:rPr>
      </w:pPr>
      <w:r w:rsidRPr="00F6792B">
        <w:rPr>
          <w:rFonts w:ascii="Arial" w:hAnsi="Arial" w:cs="Arial"/>
          <w:sz w:val="16"/>
          <w:szCs w:val="16"/>
        </w:rPr>
        <w:t>* Nettoanfangsrendite</w:t>
      </w:r>
      <w:r>
        <w:rPr>
          <w:rFonts w:ascii="Arial" w:hAnsi="Arial" w:cs="Arial"/>
          <w:sz w:val="16"/>
          <w:szCs w:val="16"/>
        </w:rPr>
        <w:t xml:space="preserve">; </w:t>
      </w:r>
      <w:r w:rsidRPr="00F952F7">
        <w:rPr>
          <w:rFonts w:ascii="Arial" w:hAnsi="Arial" w:cs="Arial"/>
          <w:sz w:val="16"/>
          <w:szCs w:val="16"/>
        </w:rPr>
        <w:t>Quelle</w:t>
      </w:r>
      <w:r>
        <w:rPr>
          <w:rFonts w:ascii="Arial" w:hAnsi="Arial" w:cs="Arial"/>
          <w:sz w:val="16"/>
          <w:szCs w:val="16"/>
        </w:rPr>
        <w:t>: German Property Partners (GPP)</w:t>
      </w:r>
    </w:p>
    <w:bookmarkEnd w:id="2"/>
    <w:p w14:paraId="0C6DDF68" w14:textId="4019C1D6" w:rsidR="00A30AB0" w:rsidRDefault="00A30AB0">
      <w:pPr>
        <w:rPr>
          <w:rFonts w:ascii="Arial" w:eastAsia="Arial" w:hAnsi="Arial" w:cs="Arial"/>
          <w:b/>
          <w:iCs/>
          <w:caps/>
          <w:sz w:val="16"/>
          <w:szCs w:val="16"/>
          <w:lang w:val="de"/>
        </w:rPr>
      </w:pPr>
      <w:r>
        <w:rPr>
          <w:rFonts w:ascii="Arial" w:eastAsia="Arial" w:hAnsi="Arial" w:cs="Arial"/>
          <w:b/>
          <w:iCs/>
          <w:caps/>
          <w:sz w:val="16"/>
          <w:szCs w:val="16"/>
          <w:lang w:val="de"/>
        </w:rPr>
        <w:br w:type="page"/>
      </w:r>
    </w:p>
    <w:p w14:paraId="4AAB2CD2" w14:textId="7480CE0E" w:rsidR="32E3C701" w:rsidRPr="00487ECE" w:rsidRDefault="32E3C701" w:rsidP="0071679E">
      <w:pPr>
        <w:spacing w:after="0"/>
        <w:rPr>
          <w:b/>
          <w:iCs/>
          <w:sz w:val="16"/>
          <w:szCs w:val="16"/>
        </w:rPr>
      </w:pPr>
      <w:r w:rsidRPr="00487ECE">
        <w:rPr>
          <w:rFonts w:ascii="Arial" w:eastAsia="Arial" w:hAnsi="Arial" w:cs="Arial"/>
          <w:b/>
          <w:iCs/>
          <w:caps/>
          <w:sz w:val="16"/>
          <w:szCs w:val="16"/>
          <w:lang w:val="de"/>
        </w:rPr>
        <w:lastRenderedPageBreak/>
        <w:t>ÜBER GERMAN PROPERTY PARTNERS</w:t>
      </w:r>
      <w:r w:rsidR="0071679E">
        <w:rPr>
          <w:rFonts w:ascii="Arial" w:eastAsia="Arial" w:hAnsi="Arial" w:cs="Arial"/>
          <w:b/>
          <w:iCs/>
          <w:caps/>
          <w:sz w:val="16"/>
          <w:szCs w:val="16"/>
          <w:lang w:val="de"/>
        </w:rPr>
        <w:t xml:space="preserve"> (GPP)</w:t>
      </w:r>
    </w:p>
    <w:p w14:paraId="24D83185" w14:textId="1A476C50" w:rsidR="32E3C701" w:rsidRPr="00934090" w:rsidRDefault="00920A52" w:rsidP="00816FEE">
      <w:pPr>
        <w:jc w:val="both"/>
        <w:rPr>
          <w:rFonts w:ascii="Arial" w:hAnsi="Arial" w:cs="Arial"/>
          <w:i/>
          <w:iCs/>
          <w:sz w:val="20"/>
          <w:szCs w:val="20"/>
        </w:rPr>
      </w:pPr>
      <w:hyperlink r:id="rId12" w:history="1">
        <w:r w:rsidR="32E3C701" w:rsidRPr="0071679E">
          <w:rPr>
            <w:rStyle w:val="Hyperlink"/>
            <w:rFonts w:ascii="Arial" w:eastAsia="Arial" w:hAnsi="Arial" w:cs="Arial"/>
            <w:iCs/>
            <w:sz w:val="16"/>
            <w:szCs w:val="16"/>
            <w:lang w:val="de"/>
          </w:rPr>
          <w:t>German Property Partners</w:t>
        </w:r>
      </w:hyperlink>
      <w:r w:rsidR="32E3C701" w:rsidRPr="00487ECE">
        <w:rPr>
          <w:rFonts w:ascii="Arial" w:eastAsia="Arial" w:hAnsi="Arial" w:cs="Arial"/>
          <w:iCs/>
          <w:sz w:val="16"/>
          <w:szCs w:val="16"/>
          <w:lang w:val="de"/>
        </w:rPr>
        <w:t xml:space="preserve"> (GPP) ist ein deutschlandweites Netzwerk lokal führender Gewerbe-Immobiliendienstleister. Hierzu gehören Grossmann &amp; Berger, Anteon Immobilien, GREIF &amp; CONTZEN Immobilien, blackolive und E &amp; G Real Estate. Es zeichnet sich durch tiefe Marktkenntnisse vor Ort, langjährig für die Partnerunternehmen tätige Immobilienberater und das persönliche Engagement der Gesellschafter und Geschäftsführer aus. Das Netzwerk verfügt in den Top-7-Städten Hamburg, Berlin, Düsseldorf, Köln|Bonn, Frankfurt, Stuttgart und München über eigene Standorte und bietet Dienstleistungen in den Bereichen Immobilien-Investments, gewerbliche Vermietung, unternehmerisches Immobilienmanagement (CREM), Immobilienbewertung und Research an. Bank-, Finanzierungs- und Verwaltungs-Dienstleistungen runden das Leistungsspektrum ab. Aktuell sind </w:t>
      </w:r>
      <w:r w:rsidR="00B52286" w:rsidRPr="00487ECE">
        <w:rPr>
          <w:rFonts w:ascii="Arial" w:eastAsia="Arial" w:hAnsi="Arial" w:cs="Arial"/>
          <w:iCs/>
          <w:sz w:val="16"/>
          <w:szCs w:val="16"/>
          <w:lang w:val="de"/>
        </w:rPr>
        <w:t>mehr als</w:t>
      </w:r>
      <w:r w:rsidR="32E3C701" w:rsidRPr="00487ECE">
        <w:rPr>
          <w:rFonts w:ascii="Arial" w:eastAsia="Arial" w:hAnsi="Arial" w:cs="Arial"/>
          <w:iCs/>
          <w:sz w:val="16"/>
          <w:szCs w:val="16"/>
          <w:lang w:val="de"/>
        </w:rPr>
        <w:t xml:space="preserve"> 4</w:t>
      </w:r>
      <w:r w:rsidR="00B52286" w:rsidRPr="00487ECE">
        <w:rPr>
          <w:rFonts w:ascii="Arial" w:eastAsia="Arial" w:hAnsi="Arial" w:cs="Arial"/>
          <w:iCs/>
          <w:sz w:val="16"/>
          <w:szCs w:val="16"/>
          <w:lang w:val="de"/>
        </w:rPr>
        <w:t>3</w:t>
      </w:r>
      <w:r w:rsidR="32E3C701" w:rsidRPr="00487ECE">
        <w:rPr>
          <w:rFonts w:ascii="Arial" w:eastAsia="Arial" w:hAnsi="Arial" w:cs="Arial"/>
          <w:iCs/>
          <w:sz w:val="16"/>
          <w:szCs w:val="16"/>
          <w:lang w:val="de"/>
        </w:rPr>
        <w:t xml:space="preserve">0 Immobilienspezialisten für das Netzwerk tätig. </w:t>
      </w:r>
      <w:r w:rsidR="00B40217" w:rsidRPr="001A0E5E">
        <w:rPr>
          <w:rFonts w:ascii="Arial" w:eastAsia="Arial" w:hAnsi="Arial" w:cs="Arial"/>
          <w:b/>
          <w:bCs/>
          <w:iCs/>
          <w:sz w:val="16"/>
          <w:szCs w:val="16"/>
          <w:lang w:val="de"/>
        </w:rPr>
        <w:t>2020</w:t>
      </w:r>
      <w:r w:rsidR="00B40217" w:rsidRPr="001A0E5E">
        <w:rPr>
          <w:rFonts w:ascii="Arial" w:eastAsia="Arial" w:hAnsi="Arial" w:cs="Arial"/>
          <w:iCs/>
          <w:sz w:val="16"/>
          <w:szCs w:val="16"/>
          <w:lang w:val="de"/>
        </w:rPr>
        <w:t xml:space="preserve"> vermittelte G</w:t>
      </w:r>
      <w:r w:rsidR="00816FEE">
        <w:rPr>
          <w:rFonts w:ascii="Arial" w:eastAsia="Arial" w:hAnsi="Arial" w:cs="Arial"/>
          <w:iCs/>
          <w:sz w:val="16"/>
          <w:szCs w:val="16"/>
          <w:lang w:val="de"/>
        </w:rPr>
        <w:t>PP deutschlandweit rund 462.800 </w:t>
      </w:r>
      <w:r w:rsidR="00B40217" w:rsidRPr="001A0E5E">
        <w:rPr>
          <w:rFonts w:ascii="Arial" w:eastAsia="Arial" w:hAnsi="Arial" w:cs="Arial"/>
          <w:iCs/>
          <w:sz w:val="16"/>
          <w:szCs w:val="16"/>
          <w:lang w:val="de"/>
        </w:rPr>
        <w:t>m² Gewerbefläche und betreute ein Transaktionsvolumen in Höhe von rund 2,45 Mrd. €.</w:t>
      </w:r>
    </w:p>
    <w:sectPr w:rsidR="32E3C701" w:rsidRPr="00934090" w:rsidSect="00DC19BC">
      <w:headerReference w:type="default" r:id="rId13"/>
      <w:footerReference w:type="default" r:id="rId14"/>
      <w:pgSz w:w="11906" w:h="16838"/>
      <w:pgMar w:top="3828" w:right="1133" w:bottom="1134" w:left="1701" w:header="708" w:footer="1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1444D" w14:textId="77777777" w:rsidR="00BF0236" w:rsidRDefault="00BF0236" w:rsidP="0055466B">
      <w:pPr>
        <w:spacing w:after="0" w:line="240" w:lineRule="auto"/>
      </w:pPr>
      <w:r>
        <w:separator/>
      </w:r>
    </w:p>
  </w:endnote>
  <w:endnote w:type="continuationSeparator" w:id="0">
    <w:p w14:paraId="525EF7CA" w14:textId="77777777" w:rsidR="00BF0236" w:rsidRDefault="00BF0236" w:rsidP="0055466B">
      <w:pPr>
        <w:spacing w:after="0" w:line="240" w:lineRule="auto"/>
      </w:pPr>
      <w:r>
        <w:continuationSeparator/>
      </w:r>
    </w:p>
  </w:endnote>
  <w:endnote w:type="continuationNotice" w:id="1">
    <w:p w14:paraId="736F80ED" w14:textId="77777777" w:rsidR="00BF0236" w:rsidRDefault="00BF02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C1D2" w14:textId="6067FFFD" w:rsidR="00422A01" w:rsidRPr="00DC19BC" w:rsidRDefault="00422A01">
    <w:pPr>
      <w:pStyle w:val="Fuzeile"/>
      <w:rPr>
        <w:rFonts w:ascii="Arial" w:hAnsi="Arial" w:cs="Arial"/>
        <w:sz w:val="18"/>
        <w:szCs w:val="18"/>
      </w:rPr>
    </w:pPr>
    <w:r w:rsidRPr="00DC19BC">
      <w:rPr>
        <w:rFonts w:ascii="Arial" w:hAnsi="Arial" w:cs="Arial"/>
        <w:noProof/>
        <w:sz w:val="18"/>
        <w:szCs w:val="18"/>
        <w:lang w:eastAsia="de-DE"/>
      </w:rPr>
      <mc:AlternateContent>
        <mc:Choice Requires="wps">
          <w:drawing>
            <wp:anchor distT="0" distB="0" distL="114300" distR="114300" simplePos="0" relativeHeight="251659264" behindDoc="0" locked="0" layoutInCell="1" allowOverlap="1" wp14:anchorId="6CE6B235" wp14:editId="694F9AEE">
              <wp:simplePos x="0" y="0"/>
              <wp:positionH relativeFrom="column">
                <wp:posOffset>3819525</wp:posOffset>
              </wp:positionH>
              <wp:positionV relativeFrom="paragraph">
                <wp:posOffset>129540</wp:posOffset>
              </wp:positionV>
              <wp:extent cx="2152650" cy="271780"/>
              <wp:effectExtent l="0" t="0" r="0" b="0"/>
              <wp:wrapNone/>
              <wp:docPr id="49" name="Textfeld 48"/>
              <wp:cNvGraphicFramePr/>
              <a:graphic xmlns:a="http://schemas.openxmlformats.org/drawingml/2006/main">
                <a:graphicData uri="http://schemas.microsoft.com/office/word/2010/wordprocessingShape">
                  <wps:wsp>
                    <wps:cNvSpPr txBox="1"/>
                    <wps:spPr>
                      <a:xfrm>
                        <a:off x="0" y="0"/>
                        <a:ext cx="2152650" cy="271780"/>
                      </a:xfrm>
                      <a:prstGeom prst="rect">
                        <a:avLst/>
                      </a:prstGeom>
                      <a:noFill/>
                    </wps:spPr>
                    <wps:txbx>
                      <w:txbxContent>
                        <w:p w14:paraId="0EB7725F" w14:textId="77777777" w:rsidR="00422A01" w:rsidRDefault="00422A01"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wps:txbx>
                    <wps:bodyPr wrap="square" rtlCol="0">
                      <a:spAutoFit/>
                    </wps:bodyPr>
                  </wps:wsp>
                </a:graphicData>
              </a:graphic>
            </wp:anchor>
          </w:drawing>
        </mc:Choice>
        <mc:Fallback>
          <w:pict>
            <v:shapetype w14:anchorId="6CE6B235" id="_x0000_t202" coordsize="21600,21600" o:spt="202" path="m,l,21600r21600,l21600,xe">
              <v:stroke joinstyle="miter"/>
              <v:path gradientshapeok="t" o:connecttype="rect"/>
            </v:shapetype>
            <v:shape id="Textfeld 48" o:spid="_x0000_s1029" type="#_x0000_t202" style="position:absolute;margin-left:300.75pt;margin-top:10.2pt;width:169.5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" filled="f" stroked="f">
              <v:textbox style="mso-fit-shape-to-text:t">
                <w:txbxContent>
                  <w:p w14:paraId="0EB7725F" w14:textId="77777777" w:rsidR="00422A01" w:rsidRDefault="00422A01"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v:textbox>
            </v:shape>
          </w:pict>
        </mc:Fallback>
      </mc:AlternateContent>
    </w:r>
    <w:r w:rsidRPr="00DC19BC">
      <w:rPr>
        <w:rFonts w:ascii="Arial" w:hAnsi="Arial" w:cs="Arial"/>
        <w:noProof/>
        <w:sz w:val="18"/>
        <w:szCs w:val="18"/>
        <w:lang w:eastAsia="de-DE"/>
      </w:rPr>
      <mc:AlternateContent>
        <mc:Choice Requires="wps">
          <w:drawing>
            <wp:anchor distT="0" distB="0" distL="114300" distR="114300" simplePos="0" relativeHeight="251657216" behindDoc="0" locked="0" layoutInCell="1" allowOverlap="1" wp14:anchorId="2DF78A15" wp14:editId="0C791782">
              <wp:simplePos x="0" y="0"/>
              <wp:positionH relativeFrom="column">
                <wp:posOffset>-527685</wp:posOffset>
              </wp:positionH>
              <wp:positionV relativeFrom="paragraph">
                <wp:posOffset>167640</wp:posOffset>
              </wp:positionV>
              <wp:extent cx="6461125" cy="221615"/>
              <wp:effectExtent l="0" t="0" r="0" b="6985"/>
              <wp:wrapNone/>
              <wp:docPr id="44" name="Rechteck 43"/>
              <wp:cNvGraphicFramePr/>
              <a:graphic xmlns:a="http://schemas.openxmlformats.org/drawingml/2006/main">
                <a:graphicData uri="http://schemas.microsoft.com/office/word/2010/wordprocessingShape">
                  <wps:wsp>
                    <wps:cNvSpPr/>
                    <wps:spPr>
                      <a:xfrm>
                        <a:off x="0" y="0"/>
                        <a:ext cx="6461125" cy="22161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FC5F59E" id="Rechteck 43" o:spid="_x0000_s1026" style="position:absolute;margin-left:-41.55pt;margin-top:13.2pt;width:508.75pt;height:1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sidRPr="00DC19BC">
      <w:rPr>
        <w:rFonts w:ascii="Arial" w:hAnsi="Arial" w:cs="Arial"/>
        <w:sz w:val="18"/>
        <w:szCs w:val="18"/>
      </w:rPr>
      <w:t xml:space="preserve">Seite </w:t>
    </w:r>
    <w:r w:rsidRPr="00DC19BC">
      <w:rPr>
        <w:rFonts w:ascii="Arial" w:hAnsi="Arial" w:cs="Arial"/>
        <w:b/>
        <w:sz w:val="18"/>
        <w:szCs w:val="18"/>
      </w:rPr>
      <w:fldChar w:fldCharType="begin"/>
    </w:r>
    <w:r w:rsidRPr="00DC19BC">
      <w:rPr>
        <w:rFonts w:ascii="Arial" w:hAnsi="Arial" w:cs="Arial"/>
        <w:b/>
        <w:sz w:val="18"/>
        <w:szCs w:val="18"/>
      </w:rPr>
      <w:instrText>PAGE  \* Arabic  \* MERGEFORMAT</w:instrText>
    </w:r>
    <w:r w:rsidRPr="00DC19BC">
      <w:rPr>
        <w:rFonts w:ascii="Arial" w:hAnsi="Arial" w:cs="Arial"/>
        <w:b/>
        <w:sz w:val="18"/>
        <w:szCs w:val="18"/>
      </w:rPr>
      <w:fldChar w:fldCharType="separate"/>
    </w:r>
    <w:r w:rsidR="00920A52">
      <w:rPr>
        <w:rFonts w:ascii="Arial" w:hAnsi="Arial" w:cs="Arial"/>
        <w:b/>
        <w:noProof/>
        <w:sz w:val="18"/>
        <w:szCs w:val="18"/>
      </w:rPr>
      <w:t>3</w:t>
    </w:r>
    <w:r w:rsidRPr="00DC19BC">
      <w:rPr>
        <w:rFonts w:ascii="Arial" w:hAnsi="Arial" w:cs="Arial"/>
        <w:b/>
        <w:sz w:val="18"/>
        <w:szCs w:val="18"/>
      </w:rPr>
      <w:fldChar w:fldCharType="end"/>
    </w:r>
    <w:r w:rsidRPr="00DC19BC">
      <w:rPr>
        <w:rFonts w:ascii="Arial" w:hAnsi="Arial" w:cs="Arial"/>
        <w:sz w:val="18"/>
        <w:szCs w:val="18"/>
      </w:rPr>
      <w:t xml:space="preserve"> von </w:t>
    </w:r>
    <w:r w:rsidRPr="00DC19BC">
      <w:rPr>
        <w:rFonts w:ascii="Arial" w:hAnsi="Arial" w:cs="Arial"/>
        <w:b/>
        <w:sz w:val="18"/>
        <w:szCs w:val="18"/>
      </w:rPr>
      <w:fldChar w:fldCharType="begin"/>
    </w:r>
    <w:r w:rsidRPr="00DC19BC">
      <w:rPr>
        <w:rFonts w:ascii="Arial" w:hAnsi="Arial" w:cs="Arial"/>
        <w:b/>
        <w:sz w:val="18"/>
        <w:szCs w:val="18"/>
      </w:rPr>
      <w:instrText>NUMPAGES  \* Arabic  \* MERGEFORMAT</w:instrText>
    </w:r>
    <w:r w:rsidRPr="00DC19BC">
      <w:rPr>
        <w:rFonts w:ascii="Arial" w:hAnsi="Arial" w:cs="Arial"/>
        <w:b/>
        <w:sz w:val="18"/>
        <w:szCs w:val="18"/>
      </w:rPr>
      <w:fldChar w:fldCharType="separate"/>
    </w:r>
    <w:r w:rsidR="00920A52">
      <w:rPr>
        <w:rFonts w:ascii="Arial" w:hAnsi="Arial" w:cs="Arial"/>
        <w:b/>
        <w:noProof/>
        <w:sz w:val="18"/>
        <w:szCs w:val="18"/>
      </w:rPr>
      <w:t>4</w:t>
    </w:r>
    <w:r w:rsidRPr="00DC19BC">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F5CA4" w14:textId="77777777" w:rsidR="00BF0236" w:rsidRDefault="00BF0236" w:rsidP="0055466B">
      <w:pPr>
        <w:spacing w:after="0" w:line="240" w:lineRule="auto"/>
      </w:pPr>
      <w:r>
        <w:separator/>
      </w:r>
    </w:p>
  </w:footnote>
  <w:footnote w:type="continuationSeparator" w:id="0">
    <w:p w14:paraId="614D4D28" w14:textId="77777777" w:rsidR="00BF0236" w:rsidRDefault="00BF0236" w:rsidP="0055466B">
      <w:pPr>
        <w:spacing w:after="0" w:line="240" w:lineRule="auto"/>
      </w:pPr>
      <w:r>
        <w:continuationSeparator/>
      </w:r>
    </w:p>
  </w:footnote>
  <w:footnote w:type="continuationNotice" w:id="1">
    <w:p w14:paraId="29E1006A" w14:textId="77777777" w:rsidR="00BF0236" w:rsidRDefault="00BF02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AB0F9" w14:textId="77777777" w:rsidR="00422A01" w:rsidRDefault="00422A01">
    <w:pPr>
      <w:pStyle w:val="Kopfzeile"/>
    </w:pPr>
    <w:r w:rsidRPr="0055466B">
      <w:rPr>
        <w:noProof/>
        <w:lang w:eastAsia="de-DE"/>
      </w:rPr>
      <mc:AlternateContent>
        <mc:Choice Requires="wps">
          <w:drawing>
            <wp:anchor distT="0" distB="0" distL="114300" distR="114300" simplePos="0" relativeHeight="251658241" behindDoc="0" locked="0" layoutInCell="1" allowOverlap="1" wp14:anchorId="1BDD4D57" wp14:editId="13ECC31F">
              <wp:simplePos x="0" y="0"/>
              <wp:positionH relativeFrom="column">
                <wp:posOffset>963295</wp:posOffset>
              </wp:positionH>
              <wp:positionV relativeFrom="paragraph">
                <wp:posOffset>130810</wp:posOffset>
              </wp:positionV>
              <wp:extent cx="4248150" cy="271780"/>
              <wp:effectExtent l="0" t="0" r="0" b="0"/>
              <wp:wrapNone/>
              <wp:docPr id="48" name="Textfeld 47"/>
              <wp:cNvGraphicFramePr/>
              <a:graphic xmlns:a="http://schemas.openxmlformats.org/drawingml/2006/main">
                <a:graphicData uri="http://schemas.microsoft.com/office/word/2010/wordprocessingShape">
                  <wps:wsp>
                    <wps:cNvSpPr txBox="1"/>
                    <wps:spPr>
                      <a:xfrm>
                        <a:off x="0" y="0"/>
                        <a:ext cx="4248150" cy="271780"/>
                      </a:xfrm>
                      <a:prstGeom prst="rect">
                        <a:avLst/>
                      </a:prstGeom>
                      <a:noFill/>
                    </wps:spPr>
                    <wps:txbx>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wps:txbx>
                    <wps:bodyPr wrap="square" rtlCol="0">
                      <a:spAutoFit/>
                    </wps:bodyPr>
                  </wps:wsp>
                </a:graphicData>
              </a:graphic>
            </wp:anchor>
          </w:drawing>
        </mc:Choice>
        <mc:Fallback>
          <w:pict>
            <v:shapetype w14:anchorId="1BDD4D57" id="_x0000_t202" coordsize="21600,21600" o:spt="202" path="m,l,21600r21600,l21600,xe">
              <v:stroke joinstyle="miter"/>
              <v:path gradientshapeok="t" o:connecttype="rect"/>
            </v:shapetype>
            <v:shape id="Textfeld 47" o:spid="_x0000_s1028" type="#_x0000_t202" style="position:absolute;margin-left:75.85pt;margin-top:10.3pt;width:334.5pt;height:21.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" filled="f" stroked="f">
              <v:textbox style="mso-fit-shape-to-text:t">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v:textbox>
            </v:shape>
          </w:pict>
        </mc:Fallback>
      </mc:AlternateContent>
    </w:r>
    <w:r w:rsidRPr="0055466B">
      <w:rPr>
        <w:noProof/>
        <w:lang w:eastAsia="de-DE"/>
      </w:rPr>
      <mc:AlternateContent>
        <mc:Choice Requires="wps">
          <w:drawing>
            <wp:anchor distT="0" distB="0" distL="114300" distR="114300" simplePos="0" relativeHeight="251658240" behindDoc="0" locked="0" layoutInCell="1" allowOverlap="1" wp14:anchorId="7D063ECB" wp14:editId="73A3FD56">
              <wp:simplePos x="0" y="0"/>
              <wp:positionH relativeFrom="column">
                <wp:posOffset>-518160</wp:posOffset>
              </wp:positionH>
              <wp:positionV relativeFrom="paragraph">
                <wp:posOffset>98425</wp:posOffset>
              </wp:positionV>
              <wp:extent cx="6461125" cy="377825"/>
              <wp:effectExtent l="0" t="0" r="0" b="3175"/>
              <wp:wrapNone/>
              <wp:docPr id="45" name="Rechteck 44"/>
              <wp:cNvGraphicFramePr/>
              <a:graphic xmlns:a="http://schemas.openxmlformats.org/drawingml/2006/main">
                <a:graphicData uri="http://schemas.microsoft.com/office/word/2010/wordprocessingShape">
                  <wps:wsp>
                    <wps:cNvSpPr/>
                    <wps:spPr>
                      <a:xfrm>
                        <a:off x="0" y="0"/>
                        <a:ext cx="6461125" cy="37782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D0EE3A6" id="Rechteck 44" o:spid="_x0000_s1026" style="position:absolute;margin-left:-40.8pt;margin-top:7.75pt;width:508.75pt;height:29.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noProof/>
        <w:lang w:eastAsia="de-DE"/>
      </w:rPr>
      <mc:AlternateContent>
        <mc:Choice Requires="wps">
          <w:drawing>
            <wp:anchor distT="0" distB="0" distL="114300" distR="114300" simplePos="0" relativeHeight="251658244" behindDoc="0" locked="0" layoutInCell="1" allowOverlap="1" wp14:anchorId="753AB55D" wp14:editId="684CAAFE">
              <wp:simplePos x="0" y="0"/>
              <wp:positionH relativeFrom="column">
                <wp:posOffset>-67945</wp:posOffset>
              </wp:positionH>
              <wp:positionV relativeFrom="paragraph">
                <wp:posOffset>77470</wp:posOffset>
              </wp:positionV>
              <wp:extent cx="948055" cy="1161415"/>
              <wp:effectExtent l="38100" t="38100" r="99695" b="95885"/>
              <wp:wrapNone/>
              <wp:docPr id="5" name="Rechteck 5"/>
              <wp:cNvGraphicFramePr/>
              <a:graphic xmlns:a="http://schemas.openxmlformats.org/drawingml/2006/main">
                <a:graphicData uri="http://schemas.microsoft.com/office/word/2010/wordprocessingShape">
                  <wps:wsp>
                    <wps:cNvSpPr/>
                    <wps:spPr>
                      <a:xfrm>
                        <a:off x="0" y="0"/>
                        <a:ext cx="948055" cy="116141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CD4D975" id="Rechteck 5" o:spid="_x0000_s1026" style="position:absolute;margin-left:-5.35pt;margin-top:6.1pt;width:74.65pt;height:91.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" fillcolor="white [3212]" stroked="f" strokeweight="2pt">
              <v:shadow on="t" color="black" opacity="26214f" origin="-.5,-.5" offset=".74836mm,.74836mm"/>
            </v:rect>
          </w:pict>
        </mc:Fallback>
      </mc:AlternateContent>
    </w:r>
  </w:p>
  <w:p w14:paraId="6E141978" w14:textId="77777777" w:rsidR="00422A01" w:rsidRDefault="00422A01">
    <w:pPr>
      <w:pStyle w:val="Kopfzeile"/>
    </w:pPr>
    <w:r>
      <w:rPr>
        <w:noProof/>
        <w:lang w:eastAsia="de-DE"/>
      </w:rPr>
      <w:drawing>
        <wp:anchor distT="0" distB="0" distL="114300" distR="114300" simplePos="0" relativeHeight="251658245" behindDoc="0" locked="0" layoutInCell="1" allowOverlap="1" wp14:anchorId="6048B600" wp14:editId="607B1522">
          <wp:simplePos x="0" y="0"/>
          <wp:positionH relativeFrom="column">
            <wp:posOffset>96520</wp:posOffset>
          </wp:positionH>
          <wp:positionV relativeFrom="paragraph">
            <wp:posOffset>53340</wp:posOffset>
          </wp:positionV>
          <wp:extent cx="610321" cy="935515"/>
          <wp:effectExtent l="0" t="0" r="0" b="0"/>
          <wp:wrapNone/>
          <wp:docPr id="1" name="Picture 3" descr="N:\1_Allgemein_G&amp;B\Corporate Identity\Logo_GPP\GP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1_Allgemein_G&amp;B\Corporate Identity\Logo_GPP\GPP_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02"/>
                  <a:stretch/>
                </pic:blipFill>
                <pic:spPr bwMode="auto">
                  <a:xfrm>
                    <a:off x="0" y="0"/>
                    <a:ext cx="610321" cy="935515"/>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A3883"/>
    <w:multiLevelType w:val="hybridMultilevel"/>
    <w:tmpl w:val="636EF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137591"/>
    <w:multiLevelType w:val="hybridMultilevel"/>
    <w:tmpl w:val="D80841C4"/>
    <w:lvl w:ilvl="0" w:tplc="918A06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BD17252"/>
    <w:multiLevelType w:val="hybridMultilevel"/>
    <w:tmpl w:val="F1560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891AFE"/>
    <w:multiLevelType w:val="hybridMultilevel"/>
    <w:tmpl w:val="956E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505D1"/>
    <w:multiLevelType w:val="hybridMultilevel"/>
    <w:tmpl w:val="8A3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C3A21"/>
    <w:multiLevelType w:val="hybridMultilevel"/>
    <w:tmpl w:val="29FE6460"/>
    <w:lvl w:ilvl="0" w:tplc="91E695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2"/>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defaultTabStop w:val="708"/>
  <w:hyphenationZone w:val="425"/>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55466B"/>
    <w:rsid w:val="00000481"/>
    <w:rsid w:val="0000053B"/>
    <w:rsid w:val="00000548"/>
    <w:rsid w:val="000006A4"/>
    <w:rsid w:val="00001215"/>
    <w:rsid w:val="00001AA8"/>
    <w:rsid w:val="00001B23"/>
    <w:rsid w:val="000027C1"/>
    <w:rsid w:val="000032D3"/>
    <w:rsid w:val="00003BC8"/>
    <w:rsid w:val="00003CA9"/>
    <w:rsid w:val="00003DBD"/>
    <w:rsid w:val="00003E64"/>
    <w:rsid w:val="0000477A"/>
    <w:rsid w:val="00004E9C"/>
    <w:rsid w:val="00005030"/>
    <w:rsid w:val="00005646"/>
    <w:rsid w:val="00005F55"/>
    <w:rsid w:val="00007162"/>
    <w:rsid w:val="000072AE"/>
    <w:rsid w:val="0001020A"/>
    <w:rsid w:val="00011F5E"/>
    <w:rsid w:val="000121F0"/>
    <w:rsid w:val="00012451"/>
    <w:rsid w:val="00012644"/>
    <w:rsid w:val="00013642"/>
    <w:rsid w:val="00013770"/>
    <w:rsid w:val="00013E1B"/>
    <w:rsid w:val="00013F60"/>
    <w:rsid w:val="00014678"/>
    <w:rsid w:val="00015213"/>
    <w:rsid w:val="00015227"/>
    <w:rsid w:val="0001545C"/>
    <w:rsid w:val="0001603A"/>
    <w:rsid w:val="00016683"/>
    <w:rsid w:val="00016832"/>
    <w:rsid w:val="00016967"/>
    <w:rsid w:val="00016C2F"/>
    <w:rsid w:val="0001769A"/>
    <w:rsid w:val="00017997"/>
    <w:rsid w:val="00017AD7"/>
    <w:rsid w:val="00017BD8"/>
    <w:rsid w:val="00020568"/>
    <w:rsid w:val="000205F7"/>
    <w:rsid w:val="00021285"/>
    <w:rsid w:val="000214B0"/>
    <w:rsid w:val="00021737"/>
    <w:rsid w:val="0002237B"/>
    <w:rsid w:val="000224CD"/>
    <w:rsid w:val="00022AAA"/>
    <w:rsid w:val="00022E37"/>
    <w:rsid w:val="00022E4E"/>
    <w:rsid w:val="00022FE4"/>
    <w:rsid w:val="00023023"/>
    <w:rsid w:val="00023EB9"/>
    <w:rsid w:val="00024F6F"/>
    <w:rsid w:val="00025A26"/>
    <w:rsid w:val="00025BF8"/>
    <w:rsid w:val="00027C36"/>
    <w:rsid w:val="00027E99"/>
    <w:rsid w:val="0003042E"/>
    <w:rsid w:val="00030666"/>
    <w:rsid w:val="00031088"/>
    <w:rsid w:val="00031119"/>
    <w:rsid w:val="00032354"/>
    <w:rsid w:val="00032AD4"/>
    <w:rsid w:val="0003376A"/>
    <w:rsid w:val="00034155"/>
    <w:rsid w:val="000347A8"/>
    <w:rsid w:val="0003485D"/>
    <w:rsid w:val="00035689"/>
    <w:rsid w:val="000358A1"/>
    <w:rsid w:val="00035B61"/>
    <w:rsid w:val="00035FE2"/>
    <w:rsid w:val="0003603A"/>
    <w:rsid w:val="000365D2"/>
    <w:rsid w:val="00037641"/>
    <w:rsid w:val="00037CA6"/>
    <w:rsid w:val="00037D13"/>
    <w:rsid w:val="00040E24"/>
    <w:rsid w:val="000415C4"/>
    <w:rsid w:val="00042738"/>
    <w:rsid w:val="00042BAC"/>
    <w:rsid w:val="000430B1"/>
    <w:rsid w:val="00043F58"/>
    <w:rsid w:val="000440E1"/>
    <w:rsid w:val="00044734"/>
    <w:rsid w:val="00045DDB"/>
    <w:rsid w:val="00045DDD"/>
    <w:rsid w:val="00045F88"/>
    <w:rsid w:val="00045F9B"/>
    <w:rsid w:val="000466B8"/>
    <w:rsid w:val="000466FD"/>
    <w:rsid w:val="00046E15"/>
    <w:rsid w:val="000473DA"/>
    <w:rsid w:val="00047695"/>
    <w:rsid w:val="00047747"/>
    <w:rsid w:val="00047BAF"/>
    <w:rsid w:val="0005004D"/>
    <w:rsid w:val="0005119A"/>
    <w:rsid w:val="00051442"/>
    <w:rsid w:val="000514C1"/>
    <w:rsid w:val="00051711"/>
    <w:rsid w:val="00051C92"/>
    <w:rsid w:val="00051E74"/>
    <w:rsid w:val="000524B6"/>
    <w:rsid w:val="000533D1"/>
    <w:rsid w:val="00053942"/>
    <w:rsid w:val="00053959"/>
    <w:rsid w:val="00053C98"/>
    <w:rsid w:val="0005419A"/>
    <w:rsid w:val="00054372"/>
    <w:rsid w:val="00055515"/>
    <w:rsid w:val="00055A87"/>
    <w:rsid w:val="00056158"/>
    <w:rsid w:val="000562C5"/>
    <w:rsid w:val="00056395"/>
    <w:rsid w:val="00056443"/>
    <w:rsid w:val="00056ABC"/>
    <w:rsid w:val="00056B0B"/>
    <w:rsid w:val="00056EC7"/>
    <w:rsid w:val="00057551"/>
    <w:rsid w:val="000602BE"/>
    <w:rsid w:val="00060931"/>
    <w:rsid w:val="00060D5B"/>
    <w:rsid w:val="00061B3E"/>
    <w:rsid w:val="00061F18"/>
    <w:rsid w:val="000621FA"/>
    <w:rsid w:val="00062407"/>
    <w:rsid w:val="00062C83"/>
    <w:rsid w:val="00062E5F"/>
    <w:rsid w:val="00063652"/>
    <w:rsid w:val="00063905"/>
    <w:rsid w:val="00063D38"/>
    <w:rsid w:val="000644F1"/>
    <w:rsid w:val="00064A7C"/>
    <w:rsid w:val="00064A83"/>
    <w:rsid w:val="00064B74"/>
    <w:rsid w:val="000668D2"/>
    <w:rsid w:val="000670B7"/>
    <w:rsid w:val="00067F83"/>
    <w:rsid w:val="00070DD2"/>
    <w:rsid w:val="00070F84"/>
    <w:rsid w:val="00073A8E"/>
    <w:rsid w:val="00073BB0"/>
    <w:rsid w:val="00073EEC"/>
    <w:rsid w:val="0007424C"/>
    <w:rsid w:val="0007446B"/>
    <w:rsid w:val="00074775"/>
    <w:rsid w:val="00074A48"/>
    <w:rsid w:val="00074A9E"/>
    <w:rsid w:val="00074FBF"/>
    <w:rsid w:val="00074FD9"/>
    <w:rsid w:val="000753F5"/>
    <w:rsid w:val="00075EEF"/>
    <w:rsid w:val="0007635E"/>
    <w:rsid w:val="000766F7"/>
    <w:rsid w:val="00076FCC"/>
    <w:rsid w:val="00077CDB"/>
    <w:rsid w:val="00080187"/>
    <w:rsid w:val="000804E0"/>
    <w:rsid w:val="00080779"/>
    <w:rsid w:val="000814E3"/>
    <w:rsid w:val="000819D1"/>
    <w:rsid w:val="00082B10"/>
    <w:rsid w:val="00083384"/>
    <w:rsid w:val="00083718"/>
    <w:rsid w:val="00084434"/>
    <w:rsid w:val="00084AD5"/>
    <w:rsid w:val="00084B3C"/>
    <w:rsid w:val="00085104"/>
    <w:rsid w:val="00085CD9"/>
    <w:rsid w:val="00085FE6"/>
    <w:rsid w:val="000863AC"/>
    <w:rsid w:val="00086D71"/>
    <w:rsid w:val="000870BD"/>
    <w:rsid w:val="00087E44"/>
    <w:rsid w:val="000910A2"/>
    <w:rsid w:val="00091232"/>
    <w:rsid w:val="0009135A"/>
    <w:rsid w:val="0009164C"/>
    <w:rsid w:val="00091F05"/>
    <w:rsid w:val="00092783"/>
    <w:rsid w:val="0009310C"/>
    <w:rsid w:val="000932B4"/>
    <w:rsid w:val="00093765"/>
    <w:rsid w:val="00093D24"/>
    <w:rsid w:val="00093FF4"/>
    <w:rsid w:val="00094160"/>
    <w:rsid w:val="0009416D"/>
    <w:rsid w:val="000949B5"/>
    <w:rsid w:val="00094CFA"/>
    <w:rsid w:val="00094E05"/>
    <w:rsid w:val="0009529F"/>
    <w:rsid w:val="00095515"/>
    <w:rsid w:val="00095E3C"/>
    <w:rsid w:val="0009638B"/>
    <w:rsid w:val="000965BE"/>
    <w:rsid w:val="00096A83"/>
    <w:rsid w:val="00097288"/>
    <w:rsid w:val="0009788B"/>
    <w:rsid w:val="000A0433"/>
    <w:rsid w:val="000A08B8"/>
    <w:rsid w:val="000A0966"/>
    <w:rsid w:val="000A0E9A"/>
    <w:rsid w:val="000A1038"/>
    <w:rsid w:val="000A18FC"/>
    <w:rsid w:val="000A1BCC"/>
    <w:rsid w:val="000A21AB"/>
    <w:rsid w:val="000A244F"/>
    <w:rsid w:val="000A26CD"/>
    <w:rsid w:val="000A27CB"/>
    <w:rsid w:val="000A2ABB"/>
    <w:rsid w:val="000A32A1"/>
    <w:rsid w:val="000A4519"/>
    <w:rsid w:val="000A5DA8"/>
    <w:rsid w:val="000A6869"/>
    <w:rsid w:val="000A7042"/>
    <w:rsid w:val="000A7E1F"/>
    <w:rsid w:val="000B0168"/>
    <w:rsid w:val="000B1AD6"/>
    <w:rsid w:val="000B1DE5"/>
    <w:rsid w:val="000B1E51"/>
    <w:rsid w:val="000B242E"/>
    <w:rsid w:val="000B366E"/>
    <w:rsid w:val="000B3863"/>
    <w:rsid w:val="000B3999"/>
    <w:rsid w:val="000B39A9"/>
    <w:rsid w:val="000B39E0"/>
    <w:rsid w:val="000B529F"/>
    <w:rsid w:val="000B56EB"/>
    <w:rsid w:val="000B58F9"/>
    <w:rsid w:val="000B5F76"/>
    <w:rsid w:val="000B6213"/>
    <w:rsid w:val="000B677C"/>
    <w:rsid w:val="000B6AB1"/>
    <w:rsid w:val="000B6BA5"/>
    <w:rsid w:val="000B6DDC"/>
    <w:rsid w:val="000B6FBA"/>
    <w:rsid w:val="000B7361"/>
    <w:rsid w:val="000B762F"/>
    <w:rsid w:val="000B78B6"/>
    <w:rsid w:val="000C0547"/>
    <w:rsid w:val="000C0A3E"/>
    <w:rsid w:val="000C2186"/>
    <w:rsid w:val="000C3120"/>
    <w:rsid w:val="000C385C"/>
    <w:rsid w:val="000C3A62"/>
    <w:rsid w:val="000C3C24"/>
    <w:rsid w:val="000C3CAB"/>
    <w:rsid w:val="000C41DE"/>
    <w:rsid w:val="000C444F"/>
    <w:rsid w:val="000C48E3"/>
    <w:rsid w:val="000C4B39"/>
    <w:rsid w:val="000C4BA4"/>
    <w:rsid w:val="000C4BF4"/>
    <w:rsid w:val="000C58BE"/>
    <w:rsid w:val="000C5F5E"/>
    <w:rsid w:val="000C6F90"/>
    <w:rsid w:val="000C70EB"/>
    <w:rsid w:val="000C7764"/>
    <w:rsid w:val="000D118E"/>
    <w:rsid w:val="000D221C"/>
    <w:rsid w:val="000D2E28"/>
    <w:rsid w:val="000D2E3A"/>
    <w:rsid w:val="000D39F4"/>
    <w:rsid w:val="000D3D70"/>
    <w:rsid w:val="000D3D8D"/>
    <w:rsid w:val="000D3D97"/>
    <w:rsid w:val="000D3E42"/>
    <w:rsid w:val="000D430B"/>
    <w:rsid w:val="000D4CB5"/>
    <w:rsid w:val="000D4DDB"/>
    <w:rsid w:val="000D4F25"/>
    <w:rsid w:val="000D52E5"/>
    <w:rsid w:val="000D6E0A"/>
    <w:rsid w:val="000D779D"/>
    <w:rsid w:val="000E078E"/>
    <w:rsid w:val="000E0D4C"/>
    <w:rsid w:val="000E1162"/>
    <w:rsid w:val="000E1522"/>
    <w:rsid w:val="000E2520"/>
    <w:rsid w:val="000E2D96"/>
    <w:rsid w:val="000E314E"/>
    <w:rsid w:val="000E3A95"/>
    <w:rsid w:val="000E45F7"/>
    <w:rsid w:val="000E5970"/>
    <w:rsid w:val="000E5CB8"/>
    <w:rsid w:val="000E616B"/>
    <w:rsid w:val="000E648D"/>
    <w:rsid w:val="000E6D8A"/>
    <w:rsid w:val="000E77B9"/>
    <w:rsid w:val="000E780E"/>
    <w:rsid w:val="000F036B"/>
    <w:rsid w:val="000F05ED"/>
    <w:rsid w:val="000F0C1F"/>
    <w:rsid w:val="000F101E"/>
    <w:rsid w:val="000F18D0"/>
    <w:rsid w:val="000F1FCB"/>
    <w:rsid w:val="000F25EC"/>
    <w:rsid w:val="000F2955"/>
    <w:rsid w:val="000F2AA6"/>
    <w:rsid w:val="000F2F0E"/>
    <w:rsid w:val="000F3197"/>
    <w:rsid w:val="000F4805"/>
    <w:rsid w:val="000F4CE1"/>
    <w:rsid w:val="000F4DD0"/>
    <w:rsid w:val="000F4EED"/>
    <w:rsid w:val="000F541F"/>
    <w:rsid w:val="000F6159"/>
    <w:rsid w:val="000F6342"/>
    <w:rsid w:val="000F6642"/>
    <w:rsid w:val="000F69ED"/>
    <w:rsid w:val="000F7060"/>
    <w:rsid w:val="000F7D7D"/>
    <w:rsid w:val="000F7EF9"/>
    <w:rsid w:val="001007AB"/>
    <w:rsid w:val="00100D69"/>
    <w:rsid w:val="001017B6"/>
    <w:rsid w:val="00101AD4"/>
    <w:rsid w:val="00102C03"/>
    <w:rsid w:val="00102C27"/>
    <w:rsid w:val="00102D24"/>
    <w:rsid w:val="00102FD3"/>
    <w:rsid w:val="00103F2B"/>
    <w:rsid w:val="0010606E"/>
    <w:rsid w:val="001065B2"/>
    <w:rsid w:val="0010664D"/>
    <w:rsid w:val="00106821"/>
    <w:rsid w:val="00106CD7"/>
    <w:rsid w:val="00106FDB"/>
    <w:rsid w:val="0010775C"/>
    <w:rsid w:val="00110238"/>
    <w:rsid w:val="0011117D"/>
    <w:rsid w:val="00111199"/>
    <w:rsid w:val="001115DD"/>
    <w:rsid w:val="001117C2"/>
    <w:rsid w:val="00112814"/>
    <w:rsid w:val="00112B48"/>
    <w:rsid w:val="00113518"/>
    <w:rsid w:val="00113DFE"/>
    <w:rsid w:val="00114530"/>
    <w:rsid w:val="0011455A"/>
    <w:rsid w:val="00114901"/>
    <w:rsid w:val="001152ED"/>
    <w:rsid w:val="00115C97"/>
    <w:rsid w:val="00116449"/>
    <w:rsid w:val="00116605"/>
    <w:rsid w:val="0011686D"/>
    <w:rsid w:val="00117789"/>
    <w:rsid w:val="001179B8"/>
    <w:rsid w:val="00117BD5"/>
    <w:rsid w:val="00121174"/>
    <w:rsid w:val="00121705"/>
    <w:rsid w:val="00121787"/>
    <w:rsid w:val="00121ABD"/>
    <w:rsid w:val="00121BB5"/>
    <w:rsid w:val="00121ED5"/>
    <w:rsid w:val="0012205D"/>
    <w:rsid w:val="00122996"/>
    <w:rsid w:val="00122CC7"/>
    <w:rsid w:val="00122FE5"/>
    <w:rsid w:val="00123F6C"/>
    <w:rsid w:val="00124162"/>
    <w:rsid w:val="00126356"/>
    <w:rsid w:val="00126503"/>
    <w:rsid w:val="00126EBF"/>
    <w:rsid w:val="0012773C"/>
    <w:rsid w:val="00127C59"/>
    <w:rsid w:val="00127D4D"/>
    <w:rsid w:val="00127E3E"/>
    <w:rsid w:val="001308DB"/>
    <w:rsid w:val="00130A3B"/>
    <w:rsid w:val="00130D53"/>
    <w:rsid w:val="001311CE"/>
    <w:rsid w:val="0013170E"/>
    <w:rsid w:val="001319F6"/>
    <w:rsid w:val="00131E56"/>
    <w:rsid w:val="0013214E"/>
    <w:rsid w:val="001321D9"/>
    <w:rsid w:val="00132930"/>
    <w:rsid w:val="001336DC"/>
    <w:rsid w:val="001338B1"/>
    <w:rsid w:val="00133951"/>
    <w:rsid w:val="00133DF2"/>
    <w:rsid w:val="001345A5"/>
    <w:rsid w:val="001345D9"/>
    <w:rsid w:val="00134655"/>
    <w:rsid w:val="001346C0"/>
    <w:rsid w:val="00135028"/>
    <w:rsid w:val="0013581F"/>
    <w:rsid w:val="00136478"/>
    <w:rsid w:val="00136B49"/>
    <w:rsid w:val="00137540"/>
    <w:rsid w:val="001377BB"/>
    <w:rsid w:val="00137923"/>
    <w:rsid w:val="00137E53"/>
    <w:rsid w:val="00137F4E"/>
    <w:rsid w:val="0014029A"/>
    <w:rsid w:val="00140640"/>
    <w:rsid w:val="0014092E"/>
    <w:rsid w:val="00141DCE"/>
    <w:rsid w:val="00142692"/>
    <w:rsid w:val="00142745"/>
    <w:rsid w:val="001428A0"/>
    <w:rsid w:val="00143B76"/>
    <w:rsid w:val="0014461D"/>
    <w:rsid w:val="001446E5"/>
    <w:rsid w:val="00144B69"/>
    <w:rsid w:val="00144CDC"/>
    <w:rsid w:val="00145164"/>
    <w:rsid w:val="001451E4"/>
    <w:rsid w:val="00145399"/>
    <w:rsid w:val="0014570D"/>
    <w:rsid w:val="001457B9"/>
    <w:rsid w:val="00145ACC"/>
    <w:rsid w:val="001460FF"/>
    <w:rsid w:val="0014628D"/>
    <w:rsid w:val="00146DF5"/>
    <w:rsid w:val="001477D9"/>
    <w:rsid w:val="00147C62"/>
    <w:rsid w:val="0015038C"/>
    <w:rsid w:val="0015194F"/>
    <w:rsid w:val="00151A3F"/>
    <w:rsid w:val="00152648"/>
    <w:rsid w:val="0015279D"/>
    <w:rsid w:val="0015298D"/>
    <w:rsid w:val="00152D35"/>
    <w:rsid w:val="00154379"/>
    <w:rsid w:val="001546EA"/>
    <w:rsid w:val="00154A48"/>
    <w:rsid w:val="00154A8A"/>
    <w:rsid w:val="001551E8"/>
    <w:rsid w:val="001558F5"/>
    <w:rsid w:val="00155EEE"/>
    <w:rsid w:val="00156018"/>
    <w:rsid w:val="0015668C"/>
    <w:rsid w:val="00156895"/>
    <w:rsid w:val="001568D8"/>
    <w:rsid w:val="0015720E"/>
    <w:rsid w:val="0015733D"/>
    <w:rsid w:val="00157B85"/>
    <w:rsid w:val="00157FF3"/>
    <w:rsid w:val="001600E5"/>
    <w:rsid w:val="00160194"/>
    <w:rsid w:val="001601E5"/>
    <w:rsid w:val="00160337"/>
    <w:rsid w:val="001607CD"/>
    <w:rsid w:val="00160953"/>
    <w:rsid w:val="00160A90"/>
    <w:rsid w:val="00160BDB"/>
    <w:rsid w:val="00162DCA"/>
    <w:rsid w:val="00163785"/>
    <w:rsid w:val="001640D9"/>
    <w:rsid w:val="00164526"/>
    <w:rsid w:val="00165126"/>
    <w:rsid w:val="001654FA"/>
    <w:rsid w:val="001669B0"/>
    <w:rsid w:val="00166AFD"/>
    <w:rsid w:val="00166CE4"/>
    <w:rsid w:val="00166FD7"/>
    <w:rsid w:val="00167058"/>
    <w:rsid w:val="00167115"/>
    <w:rsid w:val="00167E41"/>
    <w:rsid w:val="00167FC6"/>
    <w:rsid w:val="001702E5"/>
    <w:rsid w:val="0017151E"/>
    <w:rsid w:val="001718B0"/>
    <w:rsid w:val="00171EBC"/>
    <w:rsid w:val="00171F47"/>
    <w:rsid w:val="00172AE3"/>
    <w:rsid w:val="00172C4D"/>
    <w:rsid w:val="00172CAD"/>
    <w:rsid w:val="00172CBE"/>
    <w:rsid w:val="00173390"/>
    <w:rsid w:val="00173C74"/>
    <w:rsid w:val="00174AE8"/>
    <w:rsid w:val="00174EB1"/>
    <w:rsid w:val="0017567F"/>
    <w:rsid w:val="001756C3"/>
    <w:rsid w:val="00175B91"/>
    <w:rsid w:val="00175CCD"/>
    <w:rsid w:val="00175F18"/>
    <w:rsid w:val="00175F4F"/>
    <w:rsid w:val="00176E63"/>
    <w:rsid w:val="00176F5F"/>
    <w:rsid w:val="001770C9"/>
    <w:rsid w:val="0017774A"/>
    <w:rsid w:val="001804EC"/>
    <w:rsid w:val="00180BAA"/>
    <w:rsid w:val="00180CA5"/>
    <w:rsid w:val="00181F94"/>
    <w:rsid w:val="001820BD"/>
    <w:rsid w:val="001823AA"/>
    <w:rsid w:val="001823FF"/>
    <w:rsid w:val="00182BFC"/>
    <w:rsid w:val="00182CF9"/>
    <w:rsid w:val="00183034"/>
    <w:rsid w:val="00184081"/>
    <w:rsid w:val="00184D06"/>
    <w:rsid w:val="00185484"/>
    <w:rsid w:val="001857B7"/>
    <w:rsid w:val="00185971"/>
    <w:rsid w:val="00185D87"/>
    <w:rsid w:val="00186107"/>
    <w:rsid w:val="001862E7"/>
    <w:rsid w:val="00186BFF"/>
    <w:rsid w:val="00187651"/>
    <w:rsid w:val="001876FA"/>
    <w:rsid w:val="001903AD"/>
    <w:rsid w:val="00190A04"/>
    <w:rsid w:val="00190C91"/>
    <w:rsid w:val="001915CD"/>
    <w:rsid w:val="00192E08"/>
    <w:rsid w:val="00193A07"/>
    <w:rsid w:val="00194A64"/>
    <w:rsid w:val="00194E60"/>
    <w:rsid w:val="001958A3"/>
    <w:rsid w:val="00196BC6"/>
    <w:rsid w:val="00196EE2"/>
    <w:rsid w:val="001973E8"/>
    <w:rsid w:val="00197861"/>
    <w:rsid w:val="001A0632"/>
    <w:rsid w:val="001A11EC"/>
    <w:rsid w:val="001A169E"/>
    <w:rsid w:val="001A1914"/>
    <w:rsid w:val="001A1A32"/>
    <w:rsid w:val="001A20F8"/>
    <w:rsid w:val="001A2845"/>
    <w:rsid w:val="001A3707"/>
    <w:rsid w:val="001A3CE4"/>
    <w:rsid w:val="001A44F6"/>
    <w:rsid w:val="001A4793"/>
    <w:rsid w:val="001A490B"/>
    <w:rsid w:val="001A4AC4"/>
    <w:rsid w:val="001A5907"/>
    <w:rsid w:val="001A5DB9"/>
    <w:rsid w:val="001A6AD7"/>
    <w:rsid w:val="001A6E24"/>
    <w:rsid w:val="001A719E"/>
    <w:rsid w:val="001A778E"/>
    <w:rsid w:val="001B0412"/>
    <w:rsid w:val="001B07F0"/>
    <w:rsid w:val="001B0941"/>
    <w:rsid w:val="001B0B17"/>
    <w:rsid w:val="001B0D8D"/>
    <w:rsid w:val="001B0E2B"/>
    <w:rsid w:val="001B1007"/>
    <w:rsid w:val="001B1D1B"/>
    <w:rsid w:val="001B25DE"/>
    <w:rsid w:val="001B274E"/>
    <w:rsid w:val="001B279E"/>
    <w:rsid w:val="001B3BCF"/>
    <w:rsid w:val="001B4454"/>
    <w:rsid w:val="001B4BA1"/>
    <w:rsid w:val="001B566A"/>
    <w:rsid w:val="001B579D"/>
    <w:rsid w:val="001B64AF"/>
    <w:rsid w:val="001B6D03"/>
    <w:rsid w:val="001C02AC"/>
    <w:rsid w:val="001C1462"/>
    <w:rsid w:val="001C166D"/>
    <w:rsid w:val="001C1C5F"/>
    <w:rsid w:val="001C32C6"/>
    <w:rsid w:val="001C37AC"/>
    <w:rsid w:val="001C3D99"/>
    <w:rsid w:val="001C40B3"/>
    <w:rsid w:val="001C4259"/>
    <w:rsid w:val="001C4283"/>
    <w:rsid w:val="001C4E4D"/>
    <w:rsid w:val="001C5297"/>
    <w:rsid w:val="001C56BD"/>
    <w:rsid w:val="001C5D92"/>
    <w:rsid w:val="001C65C1"/>
    <w:rsid w:val="001C6A54"/>
    <w:rsid w:val="001C6C03"/>
    <w:rsid w:val="001C6E35"/>
    <w:rsid w:val="001C74AB"/>
    <w:rsid w:val="001C74C5"/>
    <w:rsid w:val="001D02FF"/>
    <w:rsid w:val="001D09E5"/>
    <w:rsid w:val="001D114D"/>
    <w:rsid w:val="001D1445"/>
    <w:rsid w:val="001D2164"/>
    <w:rsid w:val="001D269A"/>
    <w:rsid w:val="001D31B1"/>
    <w:rsid w:val="001D379F"/>
    <w:rsid w:val="001D3CC9"/>
    <w:rsid w:val="001D4659"/>
    <w:rsid w:val="001D4ECC"/>
    <w:rsid w:val="001D52E0"/>
    <w:rsid w:val="001D5413"/>
    <w:rsid w:val="001D5E7B"/>
    <w:rsid w:val="001D646D"/>
    <w:rsid w:val="001D64B8"/>
    <w:rsid w:val="001D6864"/>
    <w:rsid w:val="001D6DFF"/>
    <w:rsid w:val="001D7910"/>
    <w:rsid w:val="001E0044"/>
    <w:rsid w:val="001E0680"/>
    <w:rsid w:val="001E0EED"/>
    <w:rsid w:val="001E121A"/>
    <w:rsid w:val="001E13A6"/>
    <w:rsid w:val="001E15CD"/>
    <w:rsid w:val="001E29E9"/>
    <w:rsid w:val="001E3137"/>
    <w:rsid w:val="001E33A0"/>
    <w:rsid w:val="001E3AA5"/>
    <w:rsid w:val="001E41A2"/>
    <w:rsid w:val="001E4467"/>
    <w:rsid w:val="001E449C"/>
    <w:rsid w:val="001E4E49"/>
    <w:rsid w:val="001E5092"/>
    <w:rsid w:val="001E51F1"/>
    <w:rsid w:val="001E5444"/>
    <w:rsid w:val="001E5E02"/>
    <w:rsid w:val="001E681F"/>
    <w:rsid w:val="001E68ED"/>
    <w:rsid w:val="001E6DA9"/>
    <w:rsid w:val="001E7A83"/>
    <w:rsid w:val="001E7BA7"/>
    <w:rsid w:val="001E7FE7"/>
    <w:rsid w:val="001F037E"/>
    <w:rsid w:val="001F05E3"/>
    <w:rsid w:val="001F090D"/>
    <w:rsid w:val="001F0D5E"/>
    <w:rsid w:val="001F2689"/>
    <w:rsid w:val="001F3381"/>
    <w:rsid w:val="001F37AC"/>
    <w:rsid w:val="001F41C6"/>
    <w:rsid w:val="001F50D7"/>
    <w:rsid w:val="001F5282"/>
    <w:rsid w:val="001F5A12"/>
    <w:rsid w:val="001F5C21"/>
    <w:rsid w:val="001F6C81"/>
    <w:rsid w:val="001F6E0B"/>
    <w:rsid w:val="001F72FD"/>
    <w:rsid w:val="001F8701"/>
    <w:rsid w:val="00201037"/>
    <w:rsid w:val="002011A1"/>
    <w:rsid w:val="002018A5"/>
    <w:rsid w:val="00202839"/>
    <w:rsid w:val="0020377D"/>
    <w:rsid w:val="00203D22"/>
    <w:rsid w:val="00203FF7"/>
    <w:rsid w:val="00204D59"/>
    <w:rsid w:val="002054C4"/>
    <w:rsid w:val="0020589A"/>
    <w:rsid w:val="00205A5E"/>
    <w:rsid w:val="00205F77"/>
    <w:rsid w:val="00205FCB"/>
    <w:rsid w:val="00206976"/>
    <w:rsid w:val="00206C90"/>
    <w:rsid w:val="002076D2"/>
    <w:rsid w:val="0021013D"/>
    <w:rsid w:val="00210AE8"/>
    <w:rsid w:val="00210CBF"/>
    <w:rsid w:val="00210D01"/>
    <w:rsid w:val="00210E6A"/>
    <w:rsid w:val="00211497"/>
    <w:rsid w:val="00211C88"/>
    <w:rsid w:val="0021278F"/>
    <w:rsid w:val="00212D07"/>
    <w:rsid w:val="00212E58"/>
    <w:rsid w:val="00213674"/>
    <w:rsid w:val="002137C9"/>
    <w:rsid w:val="00213DC3"/>
    <w:rsid w:val="00215268"/>
    <w:rsid w:val="00215F50"/>
    <w:rsid w:val="00215F99"/>
    <w:rsid w:val="002160D9"/>
    <w:rsid w:val="00216286"/>
    <w:rsid w:val="00217089"/>
    <w:rsid w:val="00217939"/>
    <w:rsid w:val="002179F6"/>
    <w:rsid w:val="00217B23"/>
    <w:rsid w:val="00217F4F"/>
    <w:rsid w:val="00220D31"/>
    <w:rsid w:val="002224EE"/>
    <w:rsid w:val="00222A2F"/>
    <w:rsid w:val="00223044"/>
    <w:rsid w:val="002238A7"/>
    <w:rsid w:val="002247AC"/>
    <w:rsid w:val="002248F1"/>
    <w:rsid w:val="00224A66"/>
    <w:rsid w:val="00224B51"/>
    <w:rsid w:val="00224F59"/>
    <w:rsid w:val="00226192"/>
    <w:rsid w:val="00226643"/>
    <w:rsid w:val="00227A97"/>
    <w:rsid w:val="00227BB8"/>
    <w:rsid w:val="00227FFC"/>
    <w:rsid w:val="00230681"/>
    <w:rsid w:val="002308D9"/>
    <w:rsid w:val="00231385"/>
    <w:rsid w:val="002313BC"/>
    <w:rsid w:val="00231565"/>
    <w:rsid w:val="0023195B"/>
    <w:rsid w:val="002321B0"/>
    <w:rsid w:val="0023235D"/>
    <w:rsid w:val="002323C2"/>
    <w:rsid w:val="0023240E"/>
    <w:rsid w:val="002327CC"/>
    <w:rsid w:val="00232C5F"/>
    <w:rsid w:val="00232E41"/>
    <w:rsid w:val="00232E59"/>
    <w:rsid w:val="00233138"/>
    <w:rsid w:val="0023328C"/>
    <w:rsid w:val="00233CE9"/>
    <w:rsid w:val="002354EE"/>
    <w:rsid w:val="002360A6"/>
    <w:rsid w:val="00236435"/>
    <w:rsid w:val="002368CD"/>
    <w:rsid w:val="002369B4"/>
    <w:rsid w:val="002376B1"/>
    <w:rsid w:val="00237A77"/>
    <w:rsid w:val="00240339"/>
    <w:rsid w:val="0024087E"/>
    <w:rsid w:val="00240904"/>
    <w:rsid w:val="00240F66"/>
    <w:rsid w:val="00241149"/>
    <w:rsid w:val="00241365"/>
    <w:rsid w:val="00241C72"/>
    <w:rsid w:val="00242FB7"/>
    <w:rsid w:val="00243082"/>
    <w:rsid w:val="002430C0"/>
    <w:rsid w:val="0024382C"/>
    <w:rsid w:val="00243AD1"/>
    <w:rsid w:val="00243CC1"/>
    <w:rsid w:val="00244294"/>
    <w:rsid w:val="002442FD"/>
    <w:rsid w:val="00244A93"/>
    <w:rsid w:val="00244EF5"/>
    <w:rsid w:val="002458E8"/>
    <w:rsid w:val="00246980"/>
    <w:rsid w:val="002479DF"/>
    <w:rsid w:val="00247F36"/>
    <w:rsid w:val="002514BF"/>
    <w:rsid w:val="00251815"/>
    <w:rsid w:val="00251AA3"/>
    <w:rsid w:val="00251BBE"/>
    <w:rsid w:val="00251D62"/>
    <w:rsid w:val="002526D6"/>
    <w:rsid w:val="00253196"/>
    <w:rsid w:val="00253242"/>
    <w:rsid w:val="002532DD"/>
    <w:rsid w:val="00253367"/>
    <w:rsid w:val="002535BA"/>
    <w:rsid w:val="00253B7D"/>
    <w:rsid w:val="00254568"/>
    <w:rsid w:val="0025470D"/>
    <w:rsid w:val="00254F44"/>
    <w:rsid w:val="00254F70"/>
    <w:rsid w:val="002559B4"/>
    <w:rsid w:val="00255E4F"/>
    <w:rsid w:val="00255F2F"/>
    <w:rsid w:val="00255FB3"/>
    <w:rsid w:val="002564E1"/>
    <w:rsid w:val="0025698F"/>
    <w:rsid w:val="00256A25"/>
    <w:rsid w:val="00256E35"/>
    <w:rsid w:val="00256E6F"/>
    <w:rsid w:val="00256FD1"/>
    <w:rsid w:val="00257C9C"/>
    <w:rsid w:val="00260662"/>
    <w:rsid w:val="002608F2"/>
    <w:rsid w:val="00260917"/>
    <w:rsid w:val="002612F2"/>
    <w:rsid w:val="00261461"/>
    <w:rsid w:val="00261E66"/>
    <w:rsid w:val="00262012"/>
    <w:rsid w:val="002625AA"/>
    <w:rsid w:val="0026298F"/>
    <w:rsid w:val="0026328E"/>
    <w:rsid w:val="0026379C"/>
    <w:rsid w:val="002637FD"/>
    <w:rsid w:val="00263CA0"/>
    <w:rsid w:val="00264158"/>
    <w:rsid w:val="0026451F"/>
    <w:rsid w:val="00264536"/>
    <w:rsid w:val="002649AE"/>
    <w:rsid w:val="00264A4B"/>
    <w:rsid w:val="00264D71"/>
    <w:rsid w:val="00264E21"/>
    <w:rsid w:val="002650FA"/>
    <w:rsid w:val="00265273"/>
    <w:rsid w:val="00265F7A"/>
    <w:rsid w:val="002660DC"/>
    <w:rsid w:val="002665A7"/>
    <w:rsid w:val="0026698D"/>
    <w:rsid w:val="00266BCC"/>
    <w:rsid w:val="00267026"/>
    <w:rsid w:val="002670F8"/>
    <w:rsid w:val="002706A7"/>
    <w:rsid w:val="00270A39"/>
    <w:rsid w:val="00270BED"/>
    <w:rsid w:val="002710E4"/>
    <w:rsid w:val="00271254"/>
    <w:rsid w:val="00271FE2"/>
    <w:rsid w:val="00272F85"/>
    <w:rsid w:val="00273274"/>
    <w:rsid w:val="00273547"/>
    <w:rsid w:val="00274970"/>
    <w:rsid w:val="0027498A"/>
    <w:rsid w:val="0027541D"/>
    <w:rsid w:val="00275553"/>
    <w:rsid w:val="00275ABD"/>
    <w:rsid w:val="00275ADD"/>
    <w:rsid w:val="00275B2C"/>
    <w:rsid w:val="00275B7E"/>
    <w:rsid w:val="00275B94"/>
    <w:rsid w:val="00275B9A"/>
    <w:rsid w:val="00275F7B"/>
    <w:rsid w:val="002769C1"/>
    <w:rsid w:val="00276AF8"/>
    <w:rsid w:val="00276F29"/>
    <w:rsid w:val="00277204"/>
    <w:rsid w:val="00277609"/>
    <w:rsid w:val="00277619"/>
    <w:rsid w:val="002776D4"/>
    <w:rsid w:val="00277A4C"/>
    <w:rsid w:val="00277F9B"/>
    <w:rsid w:val="002803BD"/>
    <w:rsid w:val="002805FF"/>
    <w:rsid w:val="00280622"/>
    <w:rsid w:val="002807DE"/>
    <w:rsid w:val="00280886"/>
    <w:rsid w:val="00280AC0"/>
    <w:rsid w:val="002815AC"/>
    <w:rsid w:val="00281967"/>
    <w:rsid w:val="00281C75"/>
    <w:rsid w:val="00282082"/>
    <w:rsid w:val="0028297F"/>
    <w:rsid w:val="00282BE8"/>
    <w:rsid w:val="00282E9A"/>
    <w:rsid w:val="00283484"/>
    <w:rsid w:val="00283514"/>
    <w:rsid w:val="002841F4"/>
    <w:rsid w:val="002842A9"/>
    <w:rsid w:val="00284C03"/>
    <w:rsid w:val="00285ADC"/>
    <w:rsid w:val="00286792"/>
    <w:rsid w:val="00286E82"/>
    <w:rsid w:val="002870CE"/>
    <w:rsid w:val="00287129"/>
    <w:rsid w:val="00287A94"/>
    <w:rsid w:val="00287BB2"/>
    <w:rsid w:val="00287F2F"/>
    <w:rsid w:val="00290774"/>
    <w:rsid w:val="00291240"/>
    <w:rsid w:val="00291307"/>
    <w:rsid w:val="002915A0"/>
    <w:rsid w:val="0029260B"/>
    <w:rsid w:val="002935BF"/>
    <w:rsid w:val="00293AF2"/>
    <w:rsid w:val="00293C63"/>
    <w:rsid w:val="00294082"/>
    <w:rsid w:val="00294342"/>
    <w:rsid w:val="002947F3"/>
    <w:rsid w:val="00294B0D"/>
    <w:rsid w:val="00294BD8"/>
    <w:rsid w:val="00294DCE"/>
    <w:rsid w:val="00296022"/>
    <w:rsid w:val="002962D8"/>
    <w:rsid w:val="002966C2"/>
    <w:rsid w:val="00296C50"/>
    <w:rsid w:val="00297375"/>
    <w:rsid w:val="002A015B"/>
    <w:rsid w:val="002A0481"/>
    <w:rsid w:val="002A0E3A"/>
    <w:rsid w:val="002A1795"/>
    <w:rsid w:val="002A1A55"/>
    <w:rsid w:val="002A1A7B"/>
    <w:rsid w:val="002A2737"/>
    <w:rsid w:val="002A29AB"/>
    <w:rsid w:val="002A394C"/>
    <w:rsid w:val="002A3F58"/>
    <w:rsid w:val="002A3F7C"/>
    <w:rsid w:val="002A3FE5"/>
    <w:rsid w:val="002A474F"/>
    <w:rsid w:val="002A5301"/>
    <w:rsid w:val="002A5CEE"/>
    <w:rsid w:val="002A62EC"/>
    <w:rsid w:val="002A6BE0"/>
    <w:rsid w:val="002A6E74"/>
    <w:rsid w:val="002A7048"/>
    <w:rsid w:val="002A7751"/>
    <w:rsid w:val="002A78C4"/>
    <w:rsid w:val="002A7CF8"/>
    <w:rsid w:val="002B03E2"/>
    <w:rsid w:val="002B0432"/>
    <w:rsid w:val="002B178B"/>
    <w:rsid w:val="002B17FE"/>
    <w:rsid w:val="002B1B21"/>
    <w:rsid w:val="002B2E10"/>
    <w:rsid w:val="002B3C2F"/>
    <w:rsid w:val="002B42E5"/>
    <w:rsid w:val="002B4419"/>
    <w:rsid w:val="002B46AE"/>
    <w:rsid w:val="002B476F"/>
    <w:rsid w:val="002B5A56"/>
    <w:rsid w:val="002B5EED"/>
    <w:rsid w:val="002B6275"/>
    <w:rsid w:val="002B62D6"/>
    <w:rsid w:val="002B6A8B"/>
    <w:rsid w:val="002B6CDF"/>
    <w:rsid w:val="002B6F85"/>
    <w:rsid w:val="002B707F"/>
    <w:rsid w:val="002B71DD"/>
    <w:rsid w:val="002B776D"/>
    <w:rsid w:val="002B7C45"/>
    <w:rsid w:val="002C0019"/>
    <w:rsid w:val="002C0721"/>
    <w:rsid w:val="002C1869"/>
    <w:rsid w:val="002C1AE3"/>
    <w:rsid w:val="002C2D58"/>
    <w:rsid w:val="002C3766"/>
    <w:rsid w:val="002C3A83"/>
    <w:rsid w:val="002C3EBC"/>
    <w:rsid w:val="002C3F32"/>
    <w:rsid w:val="002C424D"/>
    <w:rsid w:val="002C43B2"/>
    <w:rsid w:val="002C4EED"/>
    <w:rsid w:val="002C5A4B"/>
    <w:rsid w:val="002C66BA"/>
    <w:rsid w:val="002C66C5"/>
    <w:rsid w:val="002C727C"/>
    <w:rsid w:val="002C7BE0"/>
    <w:rsid w:val="002C7C08"/>
    <w:rsid w:val="002D00A8"/>
    <w:rsid w:val="002D097C"/>
    <w:rsid w:val="002D11DC"/>
    <w:rsid w:val="002D1212"/>
    <w:rsid w:val="002D1355"/>
    <w:rsid w:val="002D155A"/>
    <w:rsid w:val="002D2169"/>
    <w:rsid w:val="002D2330"/>
    <w:rsid w:val="002D26A0"/>
    <w:rsid w:val="002D2985"/>
    <w:rsid w:val="002D2AD0"/>
    <w:rsid w:val="002D2AEA"/>
    <w:rsid w:val="002D315C"/>
    <w:rsid w:val="002D3BC3"/>
    <w:rsid w:val="002D43F3"/>
    <w:rsid w:val="002D5146"/>
    <w:rsid w:val="002D54F3"/>
    <w:rsid w:val="002D59D1"/>
    <w:rsid w:val="002D5E16"/>
    <w:rsid w:val="002D6989"/>
    <w:rsid w:val="002D71C3"/>
    <w:rsid w:val="002D7DA9"/>
    <w:rsid w:val="002E028B"/>
    <w:rsid w:val="002E09EE"/>
    <w:rsid w:val="002E0F46"/>
    <w:rsid w:val="002E0FB5"/>
    <w:rsid w:val="002E1788"/>
    <w:rsid w:val="002E1B16"/>
    <w:rsid w:val="002E1BD8"/>
    <w:rsid w:val="002E1CC1"/>
    <w:rsid w:val="002E27DA"/>
    <w:rsid w:val="002E3107"/>
    <w:rsid w:val="002E3268"/>
    <w:rsid w:val="002E347A"/>
    <w:rsid w:val="002E3555"/>
    <w:rsid w:val="002E3D12"/>
    <w:rsid w:val="002E3D69"/>
    <w:rsid w:val="002E3EEB"/>
    <w:rsid w:val="002E439A"/>
    <w:rsid w:val="002E4BF4"/>
    <w:rsid w:val="002E4D80"/>
    <w:rsid w:val="002E4D96"/>
    <w:rsid w:val="002E51E2"/>
    <w:rsid w:val="002E5292"/>
    <w:rsid w:val="002E5A36"/>
    <w:rsid w:val="002E5B16"/>
    <w:rsid w:val="002E5DBE"/>
    <w:rsid w:val="002E6816"/>
    <w:rsid w:val="002E6A3C"/>
    <w:rsid w:val="002E6DF9"/>
    <w:rsid w:val="002E7023"/>
    <w:rsid w:val="002E7811"/>
    <w:rsid w:val="002F0515"/>
    <w:rsid w:val="002F07F5"/>
    <w:rsid w:val="002F1D2C"/>
    <w:rsid w:val="002F2D71"/>
    <w:rsid w:val="002F3664"/>
    <w:rsid w:val="002F37DA"/>
    <w:rsid w:val="002F4031"/>
    <w:rsid w:val="002F427A"/>
    <w:rsid w:val="002F49FB"/>
    <w:rsid w:val="002F4C91"/>
    <w:rsid w:val="002F4DE2"/>
    <w:rsid w:val="002F4EA1"/>
    <w:rsid w:val="002F53DD"/>
    <w:rsid w:val="002F5464"/>
    <w:rsid w:val="002F562B"/>
    <w:rsid w:val="002F5ACE"/>
    <w:rsid w:val="002F5EB2"/>
    <w:rsid w:val="002F5EC4"/>
    <w:rsid w:val="002F6A15"/>
    <w:rsid w:val="002F6B49"/>
    <w:rsid w:val="002F6D6A"/>
    <w:rsid w:val="002F6FAA"/>
    <w:rsid w:val="002F70ED"/>
    <w:rsid w:val="002F74F4"/>
    <w:rsid w:val="002F77B2"/>
    <w:rsid w:val="002F78CA"/>
    <w:rsid w:val="002F7B58"/>
    <w:rsid w:val="002F7C8C"/>
    <w:rsid w:val="00300171"/>
    <w:rsid w:val="00300AA4"/>
    <w:rsid w:val="00301032"/>
    <w:rsid w:val="0030155C"/>
    <w:rsid w:val="003038E1"/>
    <w:rsid w:val="00303ADF"/>
    <w:rsid w:val="00303B65"/>
    <w:rsid w:val="00303C1E"/>
    <w:rsid w:val="00303F0F"/>
    <w:rsid w:val="00304550"/>
    <w:rsid w:val="0030474A"/>
    <w:rsid w:val="00305548"/>
    <w:rsid w:val="00305580"/>
    <w:rsid w:val="00305D1F"/>
    <w:rsid w:val="00305F72"/>
    <w:rsid w:val="0030610F"/>
    <w:rsid w:val="00306A5A"/>
    <w:rsid w:val="00306BDC"/>
    <w:rsid w:val="003071D0"/>
    <w:rsid w:val="003079CD"/>
    <w:rsid w:val="003107A8"/>
    <w:rsid w:val="00310A04"/>
    <w:rsid w:val="00310AFF"/>
    <w:rsid w:val="00310C48"/>
    <w:rsid w:val="00310F19"/>
    <w:rsid w:val="00312C2A"/>
    <w:rsid w:val="0031302C"/>
    <w:rsid w:val="003133B1"/>
    <w:rsid w:val="003140B8"/>
    <w:rsid w:val="0031428A"/>
    <w:rsid w:val="00314755"/>
    <w:rsid w:val="00314976"/>
    <w:rsid w:val="00314B1C"/>
    <w:rsid w:val="00314C8D"/>
    <w:rsid w:val="00314E02"/>
    <w:rsid w:val="003151F9"/>
    <w:rsid w:val="00315501"/>
    <w:rsid w:val="00315723"/>
    <w:rsid w:val="00315E4D"/>
    <w:rsid w:val="00315E76"/>
    <w:rsid w:val="0031611A"/>
    <w:rsid w:val="003166E3"/>
    <w:rsid w:val="0031672F"/>
    <w:rsid w:val="003167CA"/>
    <w:rsid w:val="003168D5"/>
    <w:rsid w:val="00316FBD"/>
    <w:rsid w:val="00317338"/>
    <w:rsid w:val="00317675"/>
    <w:rsid w:val="00320ED3"/>
    <w:rsid w:val="003210B5"/>
    <w:rsid w:val="003210E3"/>
    <w:rsid w:val="00321B34"/>
    <w:rsid w:val="003221A6"/>
    <w:rsid w:val="00322278"/>
    <w:rsid w:val="0032247C"/>
    <w:rsid w:val="00322CF2"/>
    <w:rsid w:val="0032301C"/>
    <w:rsid w:val="00323571"/>
    <w:rsid w:val="003236B6"/>
    <w:rsid w:val="00323AE4"/>
    <w:rsid w:val="00323E6F"/>
    <w:rsid w:val="0032430A"/>
    <w:rsid w:val="0032454F"/>
    <w:rsid w:val="00324612"/>
    <w:rsid w:val="00325820"/>
    <w:rsid w:val="00325BAD"/>
    <w:rsid w:val="00326309"/>
    <w:rsid w:val="00327400"/>
    <w:rsid w:val="00327CB6"/>
    <w:rsid w:val="00327F6B"/>
    <w:rsid w:val="003303FF"/>
    <w:rsid w:val="00330772"/>
    <w:rsid w:val="00330ABD"/>
    <w:rsid w:val="00330B7C"/>
    <w:rsid w:val="00330BFA"/>
    <w:rsid w:val="00330C70"/>
    <w:rsid w:val="00330E4C"/>
    <w:rsid w:val="00332503"/>
    <w:rsid w:val="0033255E"/>
    <w:rsid w:val="003325E2"/>
    <w:rsid w:val="00333191"/>
    <w:rsid w:val="003336DB"/>
    <w:rsid w:val="00333B70"/>
    <w:rsid w:val="003347A4"/>
    <w:rsid w:val="00335486"/>
    <w:rsid w:val="003355E6"/>
    <w:rsid w:val="00335B67"/>
    <w:rsid w:val="00335E2A"/>
    <w:rsid w:val="00337000"/>
    <w:rsid w:val="0033716F"/>
    <w:rsid w:val="00337789"/>
    <w:rsid w:val="00337C47"/>
    <w:rsid w:val="00337C65"/>
    <w:rsid w:val="00337D65"/>
    <w:rsid w:val="00337F77"/>
    <w:rsid w:val="003404AB"/>
    <w:rsid w:val="00340656"/>
    <w:rsid w:val="00340E3D"/>
    <w:rsid w:val="00340FA6"/>
    <w:rsid w:val="003411E9"/>
    <w:rsid w:val="00341210"/>
    <w:rsid w:val="0034176E"/>
    <w:rsid w:val="00341BF2"/>
    <w:rsid w:val="00341CD7"/>
    <w:rsid w:val="00341F63"/>
    <w:rsid w:val="003423A1"/>
    <w:rsid w:val="00342D2E"/>
    <w:rsid w:val="00343015"/>
    <w:rsid w:val="00343240"/>
    <w:rsid w:val="00343743"/>
    <w:rsid w:val="00343D2B"/>
    <w:rsid w:val="0034402D"/>
    <w:rsid w:val="0034434E"/>
    <w:rsid w:val="003453AB"/>
    <w:rsid w:val="0034561D"/>
    <w:rsid w:val="003456DB"/>
    <w:rsid w:val="00345AB2"/>
    <w:rsid w:val="003465C4"/>
    <w:rsid w:val="00346A52"/>
    <w:rsid w:val="00347655"/>
    <w:rsid w:val="0034795C"/>
    <w:rsid w:val="00347C36"/>
    <w:rsid w:val="00350196"/>
    <w:rsid w:val="00350F63"/>
    <w:rsid w:val="0035130E"/>
    <w:rsid w:val="00351CB2"/>
    <w:rsid w:val="00352B49"/>
    <w:rsid w:val="00352FDD"/>
    <w:rsid w:val="0035306B"/>
    <w:rsid w:val="00353634"/>
    <w:rsid w:val="00353950"/>
    <w:rsid w:val="00354546"/>
    <w:rsid w:val="00355505"/>
    <w:rsid w:val="00355517"/>
    <w:rsid w:val="00355875"/>
    <w:rsid w:val="00355898"/>
    <w:rsid w:val="003559A2"/>
    <w:rsid w:val="003571B1"/>
    <w:rsid w:val="00357783"/>
    <w:rsid w:val="0035793F"/>
    <w:rsid w:val="00357989"/>
    <w:rsid w:val="00357DB8"/>
    <w:rsid w:val="00357E0C"/>
    <w:rsid w:val="00360AEA"/>
    <w:rsid w:val="00360ED7"/>
    <w:rsid w:val="003616E1"/>
    <w:rsid w:val="00361D2B"/>
    <w:rsid w:val="003626C9"/>
    <w:rsid w:val="003630C6"/>
    <w:rsid w:val="00363F81"/>
    <w:rsid w:val="00364A00"/>
    <w:rsid w:val="00364F41"/>
    <w:rsid w:val="00365550"/>
    <w:rsid w:val="00365828"/>
    <w:rsid w:val="00365E31"/>
    <w:rsid w:val="00366377"/>
    <w:rsid w:val="0036653C"/>
    <w:rsid w:val="0036663B"/>
    <w:rsid w:val="003666F7"/>
    <w:rsid w:val="0036687F"/>
    <w:rsid w:val="003677D5"/>
    <w:rsid w:val="00367F82"/>
    <w:rsid w:val="0037002F"/>
    <w:rsid w:val="0037096E"/>
    <w:rsid w:val="00370C70"/>
    <w:rsid w:val="00370D38"/>
    <w:rsid w:val="0037149C"/>
    <w:rsid w:val="00371885"/>
    <w:rsid w:val="0037201B"/>
    <w:rsid w:val="003721BF"/>
    <w:rsid w:val="00372C33"/>
    <w:rsid w:val="00372D74"/>
    <w:rsid w:val="00372DE4"/>
    <w:rsid w:val="0037314C"/>
    <w:rsid w:val="003731FE"/>
    <w:rsid w:val="00373A56"/>
    <w:rsid w:val="00373EC5"/>
    <w:rsid w:val="003740B2"/>
    <w:rsid w:val="003740D6"/>
    <w:rsid w:val="00374E83"/>
    <w:rsid w:val="003759C9"/>
    <w:rsid w:val="00376A04"/>
    <w:rsid w:val="00376AB7"/>
    <w:rsid w:val="003773D6"/>
    <w:rsid w:val="00377645"/>
    <w:rsid w:val="00380030"/>
    <w:rsid w:val="0038007E"/>
    <w:rsid w:val="00380097"/>
    <w:rsid w:val="003802CE"/>
    <w:rsid w:val="00380933"/>
    <w:rsid w:val="0038173B"/>
    <w:rsid w:val="00381925"/>
    <w:rsid w:val="00381C20"/>
    <w:rsid w:val="0038248E"/>
    <w:rsid w:val="00382587"/>
    <w:rsid w:val="00382B3E"/>
    <w:rsid w:val="0038428E"/>
    <w:rsid w:val="003846E9"/>
    <w:rsid w:val="00384F0A"/>
    <w:rsid w:val="00385D65"/>
    <w:rsid w:val="00386585"/>
    <w:rsid w:val="00386B4D"/>
    <w:rsid w:val="003874E7"/>
    <w:rsid w:val="003878D6"/>
    <w:rsid w:val="00387A8F"/>
    <w:rsid w:val="0039052B"/>
    <w:rsid w:val="00390A96"/>
    <w:rsid w:val="00390DE9"/>
    <w:rsid w:val="00392189"/>
    <w:rsid w:val="003925BA"/>
    <w:rsid w:val="00392E74"/>
    <w:rsid w:val="00392FE0"/>
    <w:rsid w:val="003933CC"/>
    <w:rsid w:val="0039350A"/>
    <w:rsid w:val="00393809"/>
    <w:rsid w:val="00393883"/>
    <w:rsid w:val="00393CB0"/>
    <w:rsid w:val="00393E83"/>
    <w:rsid w:val="0039412C"/>
    <w:rsid w:val="00394968"/>
    <w:rsid w:val="00394FB6"/>
    <w:rsid w:val="0039541D"/>
    <w:rsid w:val="0039593A"/>
    <w:rsid w:val="00395A6E"/>
    <w:rsid w:val="003972D7"/>
    <w:rsid w:val="003974EA"/>
    <w:rsid w:val="00397D5C"/>
    <w:rsid w:val="00397D7D"/>
    <w:rsid w:val="003A0BD4"/>
    <w:rsid w:val="003A15A2"/>
    <w:rsid w:val="003A15A4"/>
    <w:rsid w:val="003A1E3C"/>
    <w:rsid w:val="003A29FA"/>
    <w:rsid w:val="003A3A40"/>
    <w:rsid w:val="003A3D3B"/>
    <w:rsid w:val="003A403F"/>
    <w:rsid w:val="003A4390"/>
    <w:rsid w:val="003A4FED"/>
    <w:rsid w:val="003A5060"/>
    <w:rsid w:val="003A5384"/>
    <w:rsid w:val="003A58C4"/>
    <w:rsid w:val="003A5EFF"/>
    <w:rsid w:val="003A6AAD"/>
    <w:rsid w:val="003A7080"/>
    <w:rsid w:val="003A7652"/>
    <w:rsid w:val="003A7852"/>
    <w:rsid w:val="003A7B67"/>
    <w:rsid w:val="003A7B8C"/>
    <w:rsid w:val="003A7C68"/>
    <w:rsid w:val="003A7CD2"/>
    <w:rsid w:val="003A7EC8"/>
    <w:rsid w:val="003B053E"/>
    <w:rsid w:val="003B11D6"/>
    <w:rsid w:val="003B2A1C"/>
    <w:rsid w:val="003B4084"/>
    <w:rsid w:val="003B466C"/>
    <w:rsid w:val="003B54F6"/>
    <w:rsid w:val="003B6093"/>
    <w:rsid w:val="003B6C44"/>
    <w:rsid w:val="003B7638"/>
    <w:rsid w:val="003B7773"/>
    <w:rsid w:val="003C0AD2"/>
    <w:rsid w:val="003C1648"/>
    <w:rsid w:val="003C1D7D"/>
    <w:rsid w:val="003C23CE"/>
    <w:rsid w:val="003C2860"/>
    <w:rsid w:val="003C293D"/>
    <w:rsid w:val="003C2F19"/>
    <w:rsid w:val="003C30BD"/>
    <w:rsid w:val="003C4DF4"/>
    <w:rsid w:val="003C501C"/>
    <w:rsid w:val="003C5153"/>
    <w:rsid w:val="003C5E8D"/>
    <w:rsid w:val="003C6214"/>
    <w:rsid w:val="003C649D"/>
    <w:rsid w:val="003C65A5"/>
    <w:rsid w:val="003C66B5"/>
    <w:rsid w:val="003C7917"/>
    <w:rsid w:val="003D0019"/>
    <w:rsid w:val="003D0028"/>
    <w:rsid w:val="003D019E"/>
    <w:rsid w:val="003D01D5"/>
    <w:rsid w:val="003D19BF"/>
    <w:rsid w:val="003D1A31"/>
    <w:rsid w:val="003D1F38"/>
    <w:rsid w:val="003D22F6"/>
    <w:rsid w:val="003D231C"/>
    <w:rsid w:val="003D2C2F"/>
    <w:rsid w:val="003D3197"/>
    <w:rsid w:val="003D3439"/>
    <w:rsid w:val="003D4577"/>
    <w:rsid w:val="003D4593"/>
    <w:rsid w:val="003D49B7"/>
    <w:rsid w:val="003D4FD3"/>
    <w:rsid w:val="003D5AD6"/>
    <w:rsid w:val="003D6E98"/>
    <w:rsid w:val="003D707A"/>
    <w:rsid w:val="003D7DCD"/>
    <w:rsid w:val="003E0840"/>
    <w:rsid w:val="003E0B2C"/>
    <w:rsid w:val="003E19C4"/>
    <w:rsid w:val="003E2B9A"/>
    <w:rsid w:val="003E355B"/>
    <w:rsid w:val="003E4815"/>
    <w:rsid w:val="003E4F82"/>
    <w:rsid w:val="003E5170"/>
    <w:rsid w:val="003E570F"/>
    <w:rsid w:val="003E581C"/>
    <w:rsid w:val="003E69AD"/>
    <w:rsid w:val="003E69F9"/>
    <w:rsid w:val="003E6ABF"/>
    <w:rsid w:val="003E6CE5"/>
    <w:rsid w:val="003E6DE8"/>
    <w:rsid w:val="003E7051"/>
    <w:rsid w:val="003E72EB"/>
    <w:rsid w:val="003E74B0"/>
    <w:rsid w:val="003E7795"/>
    <w:rsid w:val="003E7A9C"/>
    <w:rsid w:val="003F01D5"/>
    <w:rsid w:val="003F0EE3"/>
    <w:rsid w:val="003F147F"/>
    <w:rsid w:val="003F18BD"/>
    <w:rsid w:val="003F1B33"/>
    <w:rsid w:val="003F1C58"/>
    <w:rsid w:val="003F1CAD"/>
    <w:rsid w:val="003F2677"/>
    <w:rsid w:val="003F32D3"/>
    <w:rsid w:val="003F38E4"/>
    <w:rsid w:val="003F3AE2"/>
    <w:rsid w:val="003F43A3"/>
    <w:rsid w:val="003F50D5"/>
    <w:rsid w:val="003F5324"/>
    <w:rsid w:val="003F56AA"/>
    <w:rsid w:val="003F70EE"/>
    <w:rsid w:val="003F73E8"/>
    <w:rsid w:val="004007FA"/>
    <w:rsid w:val="00400A1E"/>
    <w:rsid w:val="00400D4F"/>
    <w:rsid w:val="00400EF6"/>
    <w:rsid w:val="004014D4"/>
    <w:rsid w:val="004015DE"/>
    <w:rsid w:val="00402D23"/>
    <w:rsid w:val="00403699"/>
    <w:rsid w:val="00403B2C"/>
    <w:rsid w:val="00403CE2"/>
    <w:rsid w:val="00404097"/>
    <w:rsid w:val="004051AE"/>
    <w:rsid w:val="004058A0"/>
    <w:rsid w:val="0040677D"/>
    <w:rsid w:val="00406B83"/>
    <w:rsid w:val="00406E56"/>
    <w:rsid w:val="004077D2"/>
    <w:rsid w:val="00407F76"/>
    <w:rsid w:val="00411A2A"/>
    <w:rsid w:val="00411AD7"/>
    <w:rsid w:val="00411C93"/>
    <w:rsid w:val="004127B1"/>
    <w:rsid w:val="00412C04"/>
    <w:rsid w:val="004130E8"/>
    <w:rsid w:val="004133C0"/>
    <w:rsid w:val="00413510"/>
    <w:rsid w:val="0041380B"/>
    <w:rsid w:val="00413A42"/>
    <w:rsid w:val="00413B61"/>
    <w:rsid w:val="00414058"/>
    <w:rsid w:val="00414813"/>
    <w:rsid w:val="00415232"/>
    <w:rsid w:val="00416135"/>
    <w:rsid w:val="00416927"/>
    <w:rsid w:val="00416E70"/>
    <w:rsid w:val="00417BDE"/>
    <w:rsid w:val="0042045E"/>
    <w:rsid w:val="004204C0"/>
    <w:rsid w:val="00420AD1"/>
    <w:rsid w:val="004215C4"/>
    <w:rsid w:val="00421A0C"/>
    <w:rsid w:val="00421C37"/>
    <w:rsid w:val="0042213D"/>
    <w:rsid w:val="004221D2"/>
    <w:rsid w:val="004222DB"/>
    <w:rsid w:val="00422858"/>
    <w:rsid w:val="00422896"/>
    <w:rsid w:val="00422A01"/>
    <w:rsid w:val="0042331C"/>
    <w:rsid w:val="00423832"/>
    <w:rsid w:val="00423DEF"/>
    <w:rsid w:val="004243B1"/>
    <w:rsid w:val="004244CB"/>
    <w:rsid w:val="00424A11"/>
    <w:rsid w:val="0042602D"/>
    <w:rsid w:val="0042611E"/>
    <w:rsid w:val="00426634"/>
    <w:rsid w:val="00426B18"/>
    <w:rsid w:val="00430078"/>
    <w:rsid w:val="00430738"/>
    <w:rsid w:val="00430A50"/>
    <w:rsid w:val="00430DEC"/>
    <w:rsid w:val="0043151D"/>
    <w:rsid w:val="00431B12"/>
    <w:rsid w:val="00432CE9"/>
    <w:rsid w:val="0043304C"/>
    <w:rsid w:val="00433238"/>
    <w:rsid w:val="00433CBB"/>
    <w:rsid w:val="0043450C"/>
    <w:rsid w:val="00434835"/>
    <w:rsid w:val="00434EB4"/>
    <w:rsid w:val="004351E3"/>
    <w:rsid w:val="004354F2"/>
    <w:rsid w:val="00435574"/>
    <w:rsid w:val="00435906"/>
    <w:rsid w:val="0043600E"/>
    <w:rsid w:val="004360DA"/>
    <w:rsid w:val="0043636D"/>
    <w:rsid w:val="00436816"/>
    <w:rsid w:val="00436C84"/>
    <w:rsid w:val="00437115"/>
    <w:rsid w:val="004372AA"/>
    <w:rsid w:val="004373C9"/>
    <w:rsid w:val="004401C3"/>
    <w:rsid w:val="00440EFF"/>
    <w:rsid w:val="0044159E"/>
    <w:rsid w:val="004415C1"/>
    <w:rsid w:val="0044182A"/>
    <w:rsid w:val="00441851"/>
    <w:rsid w:val="00442014"/>
    <w:rsid w:val="00442217"/>
    <w:rsid w:val="00442B28"/>
    <w:rsid w:val="00443003"/>
    <w:rsid w:val="0044371B"/>
    <w:rsid w:val="00443C15"/>
    <w:rsid w:val="0044458C"/>
    <w:rsid w:val="00445725"/>
    <w:rsid w:val="00445A57"/>
    <w:rsid w:val="00445DEB"/>
    <w:rsid w:val="00445F3B"/>
    <w:rsid w:val="00445FBF"/>
    <w:rsid w:val="00446085"/>
    <w:rsid w:val="004460F1"/>
    <w:rsid w:val="00446B0A"/>
    <w:rsid w:val="00446B0E"/>
    <w:rsid w:val="00446FD5"/>
    <w:rsid w:val="00447323"/>
    <w:rsid w:val="004500CF"/>
    <w:rsid w:val="00451385"/>
    <w:rsid w:val="004525FA"/>
    <w:rsid w:val="0045387B"/>
    <w:rsid w:val="00453A7F"/>
    <w:rsid w:val="00455AD2"/>
    <w:rsid w:val="00455B90"/>
    <w:rsid w:val="0045630E"/>
    <w:rsid w:val="00456A44"/>
    <w:rsid w:val="004575C8"/>
    <w:rsid w:val="0045796E"/>
    <w:rsid w:val="00457DEF"/>
    <w:rsid w:val="0046045E"/>
    <w:rsid w:val="00460A7B"/>
    <w:rsid w:val="00460C86"/>
    <w:rsid w:val="00460E0E"/>
    <w:rsid w:val="004616F4"/>
    <w:rsid w:val="00461DE2"/>
    <w:rsid w:val="0046206C"/>
    <w:rsid w:val="004626BA"/>
    <w:rsid w:val="00462D1F"/>
    <w:rsid w:val="00462F1C"/>
    <w:rsid w:val="00462FC6"/>
    <w:rsid w:val="00463157"/>
    <w:rsid w:val="00463238"/>
    <w:rsid w:val="004633CB"/>
    <w:rsid w:val="004635B9"/>
    <w:rsid w:val="004637E8"/>
    <w:rsid w:val="00463ADD"/>
    <w:rsid w:val="00463FC2"/>
    <w:rsid w:val="00464DEB"/>
    <w:rsid w:val="004650A5"/>
    <w:rsid w:val="004652DE"/>
    <w:rsid w:val="004654A7"/>
    <w:rsid w:val="0046619C"/>
    <w:rsid w:val="00466CCF"/>
    <w:rsid w:val="00467783"/>
    <w:rsid w:val="00467C00"/>
    <w:rsid w:val="00470236"/>
    <w:rsid w:val="0047086A"/>
    <w:rsid w:val="00470974"/>
    <w:rsid w:val="00470F83"/>
    <w:rsid w:val="0047115B"/>
    <w:rsid w:val="00472618"/>
    <w:rsid w:val="00472976"/>
    <w:rsid w:val="0047297C"/>
    <w:rsid w:val="004729EC"/>
    <w:rsid w:val="00472CEC"/>
    <w:rsid w:val="00472EDE"/>
    <w:rsid w:val="00473188"/>
    <w:rsid w:val="00473197"/>
    <w:rsid w:val="00473233"/>
    <w:rsid w:val="00474841"/>
    <w:rsid w:val="00474917"/>
    <w:rsid w:val="00475851"/>
    <w:rsid w:val="00476793"/>
    <w:rsid w:val="00476808"/>
    <w:rsid w:val="00477319"/>
    <w:rsid w:val="00477AEF"/>
    <w:rsid w:val="004800A4"/>
    <w:rsid w:val="00480307"/>
    <w:rsid w:val="0048098F"/>
    <w:rsid w:val="00480DE6"/>
    <w:rsid w:val="004815B7"/>
    <w:rsid w:val="0048189E"/>
    <w:rsid w:val="00481A88"/>
    <w:rsid w:val="00482627"/>
    <w:rsid w:val="004826F2"/>
    <w:rsid w:val="00482D88"/>
    <w:rsid w:val="00482F5E"/>
    <w:rsid w:val="004834D2"/>
    <w:rsid w:val="0048353C"/>
    <w:rsid w:val="004836EC"/>
    <w:rsid w:val="00483B53"/>
    <w:rsid w:val="00483C18"/>
    <w:rsid w:val="00484514"/>
    <w:rsid w:val="00484F93"/>
    <w:rsid w:val="0048586E"/>
    <w:rsid w:val="00485A5A"/>
    <w:rsid w:val="00485E9E"/>
    <w:rsid w:val="00486658"/>
    <w:rsid w:val="004867CE"/>
    <w:rsid w:val="004867D5"/>
    <w:rsid w:val="00486B6F"/>
    <w:rsid w:val="00486C62"/>
    <w:rsid w:val="00486DFB"/>
    <w:rsid w:val="00486F0C"/>
    <w:rsid w:val="00487966"/>
    <w:rsid w:val="00487D8D"/>
    <w:rsid w:val="00487ECE"/>
    <w:rsid w:val="00490460"/>
    <w:rsid w:val="00490E73"/>
    <w:rsid w:val="00490E92"/>
    <w:rsid w:val="004910E2"/>
    <w:rsid w:val="00491411"/>
    <w:rsid w:val="004914CA"/>
    <w:rsid w:val="00491811"/>
    <w:rsid w:val="00491A9D"/>
    <w:rsid w:val="00491EEB"/>
    <w:rsid w:val="0049226A"/>
    <w:rsid w:val="0049264D"/>
    <w:rsid w:val="004926F6"/>
    <w:rsid w:val="004927EE"/>
    <w:rsid w:val="00492BD6"/>
    <w:rsid w:val="00493200"/>
    <w:rsid w:val="00493231"/>
    <w:rsid w:val="0049369B"/>
    <w:rsid w:val="004941B3"/>
    <w:rsid w:val="004941F1"/>
    <w:rsid w:val="00495120"/>
    <w:rsid w:val="00495752"/>
    <w:rsid w:val="004958CD"/>
    <w:rsid w:val="00495E04"/>
    <w:rsid w:val="00496192"/>
    <w:rsid w:val="00496370"/>
    <w:rsid w:val="0049641C"/>
    <w:rsid w:val="0049645D"/>
    <w:rsid w:val="004965C5"/>
    <w:rsid w:val="00496B3A"/>
    <w:rsid w:val="00497654"/>
    <w:rsid w:val="004976C3"/>
    <w:rsid w:val="00497A36"/>
    <w:rsid w:val="00497BBB"/>
    <w:rsid w:val="004A00DE"/>
    <w:rsid w:val="004A148A"/>
    <w:rsid w:val="004A14C8"/>
    <w:rsid w:val="004A239E"/>
    <w:rsid w:val="004A3399"/>
    <w:rsid w:val="004A3708"/>
    <w:rsid w:val="004A3972"/>
    <w:rsid w:val="004A3F77"/>
    <w:rsid w:val="004A40E6"/>
    <w:rsid w:val="004A485E"/>
    <w:rsid w:val="004A491F"/>
    <w:rsid w:val="004A497B"/>
    <w:rsid w:val="004A49E9"/>
    <w:rsid w:val="004A4C02"/>
    <w:rsid w:val="004A4D83"/>
    <w:rsid w:val="004A5184"/>
    <w:rsid w:val="004A52CD"/>
    <w:rsid w:val="004A587C"/>
    <w:rsid w:val="004A6D9F"/>
    <w:rsid w:val="004A752B"/>
    <w:rsid w:val="004B02C6"/>
    <w:rsid w:val="004B128F"/>
    <w:rsid w:val="004B12C1"/>
    <w:rsid w:val="004B1AB9"/>
    <w:rsid w:val="004B3B55"/>
    <w:rsid w:val="004B3D97"/>
    <w:rsid w:val="004B411D"/>
    <w:rsid w:val="004B42C6"/>
    <w:rsid w:val="004B48AB"/>
    <w:rsid w:val="004B54EC"/>
    <w:rsid w:val="004B5AC1"/>
    <w:rsid w:val="004B5C01"/>
    <w:rsid w:val="004B5E4D"/>
    <w:rsid w:val="004B629B"/>
    <w:rsid w:val="004B7305"/>
    <w:rsid w:val="004B7319"/>
    <w:rsid w:val="004B7408"/>
    <w:rsid w:val="004B7BD3"/>
    <w:rsid w:val="004C050D"/>
    <w:rsid w:val="004C1CD9"/>
    <w:rsid w:val="004C1CE2"/>
    <w:rsid w:val="004C1EFC"/>
    <w:rsid w:val="004C2587"/>
    <w:rsid w:val="004C26D5"/>
    <w:rsid w:val="004C3966"/>
    <w:rsid w:val="004C3CD9"/>
    <w:rsid w:val="004C416A"/>
    <w:rsid w:val="004C4AD4"/>
    <w:rsid w:val="004C4DB4"/>
    <w:rsid w:val="004C5EF4"/>
    <w:rsid w:val="004C71BD"/>
    <w:rsid w:val="004C7571"/>
    <w:rsid w:val="004C7BDD"/>
    <w:rsid w:val="004D02F0"/>
    <w:rsid w:val="004D1139"/>
    <w:rsid w:val="004D20CD"/>
    <w:rsid w:val="004D2427"/>
    <w:rsid w:val="004D27D2"/>
    <w:rsid w:val="004D2C98"/>
    <w:rsid w:val="004D32B7"/>
    <w:rsid w:val="004D33C3"/>
    <w:rsid w:val="004D3602"/>
    <w:rsid w:val="004D37FD"/>
    <w:rsid w:val="004D4691"/>
    <w:rsid w:val="004D4A05"/>
    <w:rsid w:val="004D5B59"/>
    <w:rsid w:val="004D6106"/>
    <w:rsid w:val="004D61C1"/>
    <w:rsid w:val="004D6280"/>
    <w:rsid w:val="004D6404"/>
    <w:rsid w:val="004D645A"/>
    <w:rsid w:val="004D6465"/>
    <w:rsid w:val="004D77DD"/>
    <w:rsid w:val="004E0808"/>
    <w:rsid w:val="004E0B2C"/>
    <w:rsid w:val="004E0EE6"/>
    <w:rsid w:val="004E151A"/>
    <w:rsid w:val="004E1670"/>
    <w:rsid w:val="004E172C"/>
    <w:rsid w:val="004E1EE9"/>
    <w:rsid w:val="004E280D"/>
    <w:rsid w:val="004E2C4A"/>
    <w:rsid w:val="004E2DCB"/>
    <w:rsid w:val="004E2EFF"/>
    <w:rsid w:val="004E304A"/>
    <w:rsid w:val="004E3231"/>
    <w:rsid w:val="004E3457"/>
    <w:rsid w:val="004E3498"/>
    <w:rsid w:val="004E393B"/>
    <w:rsid w:val="004E412D"/>
    <w:rsid w:val="004E459E"/>
    <w:rsid w:val="004E4677"/>
    <w:rsid w:val="004E4AD2"/>
    <w:rsid w:val="004E4BB3"/>
    <w:rsid w:val="004E523A"/>
    <w:rsid w:val="004E60C8"/>
    <w:rsid w:val="004E7447"/>
    <w:rsid w:val="004E7737"/>
    <w:rsid w:val="004E7EAD"/>
    <w:rsid w:val="004F11AF"/>
    <w:rsid w:val="004F13C8"/>
    <w:rsid w:val="004F1E36"/>
    <w:rsid w:val="004F2ED1"/>
    <w:rsid w:val="004F3262"/>
    <w:rsid w:val="004F3D7B"/>
    <w:rsid w:val="004F3DE0"/>
    <w:rsid w:val="004F3E01"/>
    <w:rsid w:val="004F3F86"/>
    <w:rsid w:val="004F3FC2"/>
    <w:rsid w:val="004F4035"/>
    <w:rsid w:val="004F424B"/>
    <w:rsid w:val="004F491A"/>
    <w:rsid w:val="004F4925"/>
    <w:rsid w:val="004F4AB7"/>
    <w:rsid w:val="004F4DBA"/>
    <w:rsid w:val="004F529F"/>
    <w:rsid w:val="004F5504"/>
    <w:rsid w:val="004F5ADF"/>
    <w:rsid w:val="004F5E1F"/>
    <w:rsid w:val="004F6226"/>
    <w:rsid w:val="004F6B4E"/>
    <w:rsid w:val="004F6C04"/>
    <w:rsid w:val="004F6D8E"/>
    <w:rsid w:val="004F735E"/>
    <w:rsid w:val="004F7D08"/>
    <w:rsid w:val="004F7EF9"/>
    <w:rsid w:val="004F7F5E"/>
    <w:rsid w:val="004F7FDF"/>
    <w:rsid w:val="005002D4"/>
    <w:rsid w:val="0050091B"/>
    <w:rsid w:val="00502807"/>
    <w:rsid w:val="00502D63"/>
    <w:rsid w:val="00503A31"/>
    <w:rsid w:val="00503DDE"/>
    <w:rsid w:val="00504357"/>
    <w:rsid w:val="0050461D"/>
    <w:rsid w:val="00504A8B"/>
    <w:rsid w:val="0050541B"/>
    <w:rsid w:val="005058E5"/>
    <w:rsid w:val="00506693"/>
    <w:rsid w:val="00506B59"/>
    <w:rsid w:val="00506C9D"/>
    <w:rsid w:val="00507D2F"/>
    <w:rsid w:val="0051013F"/>
    <w:rsid w:val="00510346"/>
    <w:rsid w:val="005106FC"/>
    <w:rsid w:val="00510DCB"/>
    <w:rsid w:val="0051115E"/>
    <w:rsid w:val="00511F38"/>
    <w:rsid w:val="005120AE"/>
    <w:rsid w:val="005121A9"/>
    <w:rsid w:val="00512686"/>
    <w:rsid w:val="005130B1"/>
    <w:rsid w:val="0051310A"/>
    <w:rsid w:val="0051342E"/>
    <w:rsid w:val="005134B6"/>
    <w:rsid w:val="00513A70"/>
    <w:rsid w:val="00513BEA"/>
    <w:rsid w:val="00513BF4"/>
    <w:rsid w:val="005140CE"/>
    <w:rsid w:val="00514554"/>
    <w:rsid w:val="00514EE0"/>
    <w:rsid w:val="00515A57"/>
    <w:rsid w:val="00515D5B"/>
    <w:rsid w:val="0051694F"/>
    <w:rsid w:val="00516D02"/>
    <w:rsid w:val="005175C2"/>
    <w:rsid w:val="00517975"/>
    <w:rsid w:val="00517C06"/>
    <w:rsid w:val="00517D77"/>
    <w:rsid w:val="00520184"/>
    <w:rsid w:val="00520539"/>
    <w:rsid w:val="00520E2E"/>
    <w:rsid w:val="00521B38"/>
    <w:rsid w:val="00522404"/>
    <w:rsid w:val="00523519"/>
    <w:rsid w:val="005237B0"/>
    <w:rsid w:val="00523F81"/>
    <w:rsid w:val="0052420B"/>
    <w:rsid w:val="005244E7"/>
    <w:rsid w:val="00524548"/>
    <w:rsid w:val="005246A4"/>
    <w:rsid w:val="00524731"/>
    <w:rsid w:val="00524BC5"/>
    <w:rsid w:val="00525287"/>
    <w:rsid w:val="0052540D"/>
    <w:rsid w:val="00525E29"/>
    <w:rsid w:val="0052704B"/>
    <w:rsid w:val="005272DE"/>
    <w:rsid w:val="005273DA"/>
    <w:rsid w:val="005277EB"/>
    <w:rsid w:val="005278AB"/>
    <w:rsid w:val="00527C63"/>
    <w:rsid w:val="00527DF1"/>
    <w:rsid w:val="00530143"/>
    <w:rsid w:val="00530208"/>
    <w:rsid w:val="00530B4B"/>
    <w:rsid w:val="00530EA6"/>
    <w:rsid w:val="00530FE9"/>
    <w:rsid w:val="005311A6"/>
    <w:rsid w:val="005313F5"/>
    <w:rsid w:val="005317EA"/>
    <w:rsid w:val="0053189E"/>
    <w:rsid w:val="00531969"/>
    <w:rsid w:val="00532657"/>
    <w:rsid w:val="0053270B"/>
    <w:rsid w:val="00532B0E"/>
    <w:rsid w:val="00532B2E"/>
    <w:rsid w:val="00533619"/>
    <w:rsid w:val="005336A7"/>
    <w:rsid w:val="00533FBF"/>
    <w:rsid w:val="00534392"/>
    <w:rsid w:val="005352D1"/>
    <w:rsid w:val="005355EF"/>
    <w:rsid w:val="0053636F"/>
    <w:rsid w:val="005374A7"/>
    <w:rsid w:val="005379C7"/>
    <w:rsid w:val="00537F92"/>
    <w:rsid w:val="0054085C"/>
    <w:rsid w:val="005410FF"/>
    <w:rsid w:val="00541373"/>
    <w:rsid w:val="00541628"/>
    <w:rsid w:val="00542369"/>
    <w:rsid w:val="00542816"/>
    <w:rsid w:val="005428FC"/>
    <w:rsid w:val="00542E52"/>
    <w:rsid w:val="0054460F"/>
    <w:rsid w:val="00544D5E"/>
    <w:rsid w:val="00544E49"/>
    <w:rsid w:val="00545CE3"/>
    <w:rsid w:val="00545EC7"/>
    <w:rsid w:val="005461AF"/>
    <w:rsid w:val="005467BE"/>
    <w:rsid w:val="00546834"/>
    <w:rsid w:val="005475EC"/>
    <w:rsid w:val="00547C2E"/>
    <w:rsid w:val="00547C83"/>
    <w:rsid w:val="00547EB0"/>
    <w:rsid w:val="00550168"/>
    <w:rsid w:val="005502CA"/>
    <w:rsid w:val="00551632"/>
    <w:rsid w:val="00552021"/>
    <w:rsid w:val="005520B5"/>
    <w:rsid w:val="00552CF5"/>
    <w:rsid w:val="005533EB"/>
    <w:rsid w:val="00553793"/>
    <w:rsid w:val="00553C29"/>
    <w:rsid w:val="00554142"/>
    <w:rsid w:val="0055463C"/>
    <w:rsid w:val="0055466B"/>
    <w:rsid w:val="00554C67"/>
    <w:rsid w:val="00555698"/>
    <w:rsid w:val="00555945"/>
    <w:rsid w:val="00555A2A"/>
    <w:rsid w:val="00556C31"/>
    <w:rsid w:val="00556D9F"/>
    <w:rsid w:val="00556F45"/>
    <w:rsid w:val="00557112"/>
    <w:rsid w:val="005571C8"/>
    <w:rsid w:val="00557EFA"/>
    <w:rsid w:val="0056053E"/>
    <w:rsid w:val="00560E2F"/>
    <w:rsid w:val="005616D8"/>
    <w:rsid w:val="00561BEC"/>
    <w:rsid w:val="00562170"/>
    <w:rsid w:val="00562CBA"/>
    <w:rsid w:val="00562D08"/>
    <w:rsid w:val="005630C0"/>
    <w:rsid w:val="0056310A"/>
    <w:rsid w:val="0056358F"/>
    <w:rsid w:val="00563A76"/>
    <w:rsid w:val="0056490D"/>
    <w:rsid w:val="005649F3"/>
    <w:rsid w:val="00564C50"/>
    <w:rsid w:val="005650DF"/>
    <w:rsid w:val="00565734"/>
    <w:rsid w:val="0056598C"/>
    <w:rsid w:val="00565EF2"/>
    <w:rsid w:val="00566360"/>
    <w:rsid w:val="00566536"/>
    <w:rsid w:val="0056772D"/>
    <w:rsid w:val="00567A7A"/>
    <w:rsid w:val="00567DD9"/>
    <w:rsid w:val="00567EE0"/>
    <w:rsid w:val="00570646"/>
    <w:rsid w:val="005709EC"/>
    <w:rsid w:val="00571313"/>
    <w:rsid w:val="00571E4A"/>
    <w:rsid w:val="0057214C"/>
    <w:rsid w:val="0057536F"/>
    <w:rsid w:val="0057570B"/>
    <w:rsid w:val="00575760"/>
    <w:rsid w:val="00575987"/>
    <w:rsid w:val="00575AF8"/>
    <w:rsid w:val="005760C2"/>
    <w:rsid w:val="00577C1B"/>
    <w:rsid w:val="00577EAF"/>
    <w:rsid w:val="00577EEB"/>
    <w:rsid w:val="005804EA"/>
    <w:rsid w:val="00580AFE"/>
    <w:rsid w:val="00580B9F"/>
    <w:rsid w:val="0058103C"/>
    <w:rsid w:val="00581CB3"/>
    <w:rsid w:val="00581E4C"/>
    <w:rsid w:val="00581F2E"/>
    <w:rsid w:val="00581F92"/>
    <w:rsid w:val="005826ED"/>
    <w:rsid w:val="00582E1E"/>
    <w:rsid w:val="00583268"/>
    <w:rsid w:val="005833D3"/>
    <w:rsid w:val="00583550"/>
    <w:rsid w:val="00583843"/>
    <w:rsid w:val="00583FFD"/>
    <w:rsid w:val="005840A0"/>
    <w:rsid w:val="005849AD"/>
    <w:rsid w:val="00584FB6"/>
    <w:rsid w:val="00585245"/>
    <w:rsid w:val="00585A98"/>
    <w:rsid w:val="00586215"/>
    <w:rsid w:val="0058629F"/>
    <w:rsid w:val="005863F6"/>
    <w:rsid w:val="00586680"/>
    <w:rsid w:val="00586CB7"/>
    <w:rsid w:val="0058720A"/>
    <w:rsid w:val="00587AE3"/>
    <w:rsid w:val="00587D19"/>
    <w:rsid w:val="0059043F"/>
    <w:rsid w:val="00590EB0"/>
    <w:rsid w:val="00590F7D"/>
    <w:rsid w:val="00591476"/>
    <w:rsid w:val="00591668"/>
    <w:rsid w:val="005932BC"/>
    <w:rsid w:val="00593880"/>
    <w:rsid w:val="005939AC"/>
    <w:rsid w:val="00593A93"/>
    <w:rsid w:val="00593E55"/>
    <w:rsid w:val="005949E3"/>
    <w:rsid w:val="00595437"/>
    <w:rsid w:val="005957A1"/>
    <w:rsid w:val="005961E6"/>
    <w:rsid w:val="005968D2"/>
    <w:rsid w:val="00596A21"/>
    <w:rsid w:val="00596DEF"/>
    <w:rsid w:val="00597235"/>
    <w:rsid w:val="005975FF"/>
    <w:rsid w:val="00597DA1"/>
    <w:rsid w:val="005A0782"/>
    <w:rsid w:val="005A0AD6"/>
    <w:rsid w:val="005A1563"/>
    <w:rsid w:val="005A164F"/>
    <w:rsid w:val="005A16D3"/>
    <w:rsid w:val="005A1D93"/>
    <w:rsid w:val="005A2166"/>
    <w:rsid w:val="005A2C52"/>
    <w:rsid w:val="005A4BE9"/>
    <w:rsid w:val="005A4E55"/>
    <w:rsid w:val="005A5720"/>
    <w:rsid w:val="005A75D1"/>
    <w:rsid w:val="005B0098"/>
    <w:rsid w:val="005B04E1"/>
    <w:rsid w:val="005B0A6A"/>
    <w:rsid w:val="005B1029"/>
    <w:rsid w:val="005B1899"/>
    <w:rsid w:val="005B198C"/>
    <w:rsid w:val="005B1CD3"/>
    <w:rsid w:val="005B2BAA"/>
    <w:rsid w:val="005B32CC"/>
    <w:rsid w:val="005B3BDC"/>
    <w:rsid w:val="005B4626"/>
    <w:rsid w:val="005B46FE"/>
    <w:rsid w:val="005B47C2"/>
    <w:rsid w:val="005B534F"/>
    <w:rsid w:val="005B5F13"/>
    <w:rsid w:val="005B66ED"/>
    <w:rsid w:val="005B7101"/>
    <w:rsid w:val="005B7CB1"/>
    <w:rsid w:val="005C05B8"/>
    <w:rsid w:val="005C06CB"/>
    <w:rsid w:val="005C0810"/>
    <w:rsid w:val="005C0E5F"/>
    <w:rsid w:val="005C1068"/>
    <w:rsid w:val="005C15D0"/>
    <w:rsid w:val="005C19C4"/>
    <w:rsid w:val="005C1FAD"/>
    <w:rsid w:val="005C3468"/>
    <w:rsid w:val="005C355F"/>
    <w:rsid w:val="005C35AF"/>
    <w:rsid w:val="005C3E0E"/>
    <w:rsid w:val="005C41D6"/>
    <w:rsid w:val="005C4303"/>
    <w:rsid w:val="005C4E12"/>
    <w:rsid w:val="005C52F3"/>
    <w:rsid w:val="005C55A8"/>
    <w:rsid w:val="005C5CB1"/>
    <w:rsid w:val="005C61C4"/>
    <w:rsid w:val="005C6446"/>
    <w:rsid w:val="005C6676"/>
    <w:rsid w:val="005C6706"/>
    <w:rsid w:val="005C6840"/>
    <w:rsid w:val="005C6A2C"/>
    <w:rsid w:val="005C6EDF"/>
    <w:rsid w:val="005C79AF"/>
    <w:rsid w:val="005C7DD1"/>
    <w:rsid w:val="005C7FFD"/>
    <w:rsid w:val="005D0B6D"/>
    <w:rsid w:val="005D0BD5"/>
    <w:rsid w:val="005D0E12"/>
    <w:rsid w:val="005D15F7"/>
    <w:rsid w:val="005D19E0"/>
    <w:rsid w:val="005D21B7"/>
    <w:rsid w:val="005D261E"/>
    <w:rsid w:val="005D271B"/>
    <w:rsid w:val="005D2AF3"/>
    <w:rsid w:val="005D33A4"/>
    <w:rsid w:val="005D348D"/>
    <w:rsid w:val="005D39E6"/>
    <w:rsid w:val="005D3A00"/>
    <w:rsid w:val="005D49D2"/>
    <w:rsid w:val="005D4C46"/>
    <w:rsid w:val="005D4E25"/>
    <w:rsid w:val="005D4F3C"/>
    <w:rsid w:val="005D5044"/>
    <w:rsid w:val="005D6DA6"/>
    <w:rsid w:val="005D7982"/>
    <w:rsid w:val="005E0BFF"/>
    <w:rsid w:val="005E0E5C"/>
    <w:rsid w:val="005E1285"/>
    <w:rsid w:val="005E12E3"/>
    <w:rsid w:val="005E26A5"/>
    <w:rsid w:val="005E2749"/>
    <w:rsid w:val="005E2BD5"/>
    <w:rsid w:val="005E3521"/>
    <w:rsid w:val="005E358D"/>
    <w:rsid w:val="005E45B8"/>
    <w:rsid w:val="005E534E"/>
    <w:rsid w:val="005E5936"/>
    <w:rsid w:val="005E6335"/>
    <w:rsid w:val="005E64F0"/>
    <w:rsid w:val="005E6BF1"/>
    <w:rsid w:val="005E70E1"/>
    <w:rsid w:val="005E753C"/>
    <w:rsid w:val="005E7FBE"/>
    <w:rsid w:val="005F002C"/>
    <w:rsid w:val="005F0331"/>
    <w:rsid w:val="005F0FFE"/>
    <w:rsid w:val="005F1C24"/>
    <w:rsid w:val="005F2AB1"/>
    <w:rsid w:val="005F31F8"/>
    <w:rsid w:val="005F33D5"/>
    <w:rsid w:val="005F3A80"/>
    <w:rsid w:val="005F3CA6"/>
    <w:rsid w:val="005F3D95"/>
    <w:rsid w:val="005F441F"/>
    <w:rsid w:val="005F45D7"/>
    <w:rsid w:val="005F4F3D"/>
    <w:rsid w:val="005F616B"/>
    <w:rsid w:val="005F6685"/>
    <w:rsid w:val="005F676A"/>
    <w:rsid w:val="005F68B1"/>
    <w:rsid w:val="005F6D7A"/>
    <w:rsid w:val="005F727E"/>
    <w:rsid w:val="005F7557"/>
    <w:rsid w:val="005F75E7"/>
    <w:rsid w:val="005F76A7"/>
    <w:rsid w:val="005F7B46"/>
    <w:rsid w:val="006007C8"/>
    <w:rsid w:val="00601314"/>
    <w:rsid w:val="00601571"/>
    <w:rsid w:val="006020B5"/>
    <w:rsid w:val="006031BC"/>
    <w:rsid w:val="006035BF"/>
    <w:rsid w:val="00603F69"/>
    <w:rsid w:val="00604295"/>
    <w:rsid w:val="0060443C"/>
    <w:rsid w:val="0060455B"/>
    <w:rsid w:val="00604624"/>
    <w:rsid w:val="00604C13"/>
    <w:rsid w:val="006050B6"/>
    <w:rsid w:val="00605306"/>
    <w:rsid w:val="00605370"/>
    <w:rsid w:val="00605F03"/>
    <w:rsid w:val="006063C8"/>
    <w:rsid w:val="00606456"/>
    <w:rsid w:val="006064A6"/>
    <w:rsid w:val="00606DAA"/>
    <w:rsid w:val="006104BC"/>
    <w:rsid w:val="00610C35"/>
    <w:rsid w:val="006117E3"/>
    <w:rsid w:val="00611C25"/>
    <w:rsid w:val="006120FA"/>
    <w:rsid w:val="00612936"/>
    <w:rsid w:val="006132E7"/>
    <w:rsid w:val="00613E05"/>
    <w:rsid w:val="00614AF4"/>
    <w:rsid w:val="00614C1B"/>
    <w:rsid w:val="00615151"/>
    <w:rsid w:val="00615264"/>
    <w:rsid w:val="00615D10"/>
    <w:rsid w:val="006163B6"/>
    <w:rsid w:val="006170EE"/>
    <w:rsid w:val="006177B3"/>
    <w:rsid w:val="00617B39"/>
    <w:rsid w:val="00620531"/>
    <w:rsid w:val="00620AA6"/>
    <w:rsid w:val="0062114C"/>
    <w:rsid w:val="006217CD"/>
    <w:rsid w:val="00621821"/>
    <w:rsid w:val="00622AFF"/>
    <w:rsid w:val="006231CA"/>
    <w:rsid w:val="00623851"/>
    <w:rsid w:val="00624745"/>
    <w:rsid w:val="006247D9"/>
    <w:rsid w:val="00624C81"/>
    <w:rsid w:val="00624F42"/>
    <w:rsid w:val="00624FA7"/>
    <w:rsid w:val="006253DB"/>
    <w:rsid w:val="00625411"/>
    <w:rsid w:val="0062582B"/>
    <w:rsid w:val="006260EA"/>
    <w:rsid w:val="00626169"/>
    <w:rsid w:val="0062687F"/>
    <w:rsid w:val="00626FD4"/>
    <w:rsid w:val="00627180"/>
    <w:rsid w:val="006276B2"/>
    <w:rsid w:val="0062779A"/>
    <w:rsid w:val="006300DF"/>
    <w:rsid w:val="00630AFC"/>
    <w:rsid w:val="00631240"/>
    <w:rsid w:val="00631681"/>
    <w:rsid w:val="00631B45"/>
    <w:rsid w:val="006329E8"/>
    <w:rsid w:val="00632D2F"/>
    <w:rsid w:val="00633C54"/>
    <w:rsid w:val="00633E9A"/>
    <w:rsid w:val="00634956"/>
    <w:rsid w:val="00634B99"/>
    <w:rsid w:val="00635005"/>
    <w:rsid w:val="00635184"/>
    <w:rsid w:val="0063529C"/>
    <w:rsid w:val="006354E1"/>
    <w:rsid w:val="0063554E"/>
    <w:rsid w:val="006356FE"/>
    <w:rsid w:val="00636209"/>
    <w:rsid w:val="006363E1"/>
    <w:rsid w:val="006369FD"/>
    <w:rsid w:val="00636A52"/>
    <w:rsid w:val="0064036E"/>
    <w:rsid w:val="00640A39"/>
    <w:rsid w:val="00640AC3"/>
    <w:rsid w:val="0064195A"/>
    <w:rsid w:val="00641CA5"/>
    <w:rsid w:val="00641EE9"/>
    <w:rsid w:val="0064226D"/>
    <w:rsid w:val="00642687"/>
    <w:rsid w:val="006427DF"/>
    <w:rsid w:val="00642829"/>
    <w:rsid w:val="00643999"/>
    <w:rsid w:val="006448D2"/>
    <w:rsid w:val="00645407"/>
    <w:rsid w:val="006455BC"/>
    <w:rsid w:val="00645C89"/>
    <w:rsid w:val="0064668A"/>
    <w:rsid w:val="00646D9A"/>
    <w:rsid w:val="006475FA"/>
    <w:rsid w:val="00647996"/>
    <w:rsid w:val="00647A3D"/>
    <w:rsid w:val="00647DB2"/>
    <w:rsid w:val="00647DCD"/>
    <w:rsid w:val="00650905"/>
    <w:rsid w:val="00650D03"/>
    <w:rsid w:val="00650E3D"/>
    <w:rsid w:val="006514CD"/>
    <w:rsid w:val="00651E8F"/>
    <w:rsid w:val="00651EE7"/>
    <w:rsid w:val="006523AE"/>
    <w:rsid w:val="0065249E"/>
    <w:rsid w:val="00652A35"/>
    <w:rsid w:val="006539E7"/>
    <w:rsid w:val="0065411A"/>
    <w:rsid w:val="006541A9"/>
    <w:rsid w:val="006546F6"/>
    <w:rsid w:val="00654ED7"/>
    <w:rsid w:val="006550FA"/>
    <w:rsid w:val="006559E3"/>
    <w:rsid w:val="00655AEE"/>
    <w:rsid w:val="00655D4D"/>
    <w:rsid w:val="00656C01"/>
    <w:rsid w:val="00656FC3"/>
    <w:rsid w:val="0065726B"/>
    <w:rsid w:val="00657750"/>
    <w:rsid w:val="00660A04"/>
    <w:rsid w:val="00660EDB"/>
    <w:rsid w:val="00661096"/>
    <w:rsid w:val="006616B3"/>
    <w:rsid w:val="00662131"/>
    <w:rsid w:val="00662478"/>
    <w:rsid w:val="006627E0"/>
    <w:rsid w:val="00662D74"/>
    <w:rsid w:val="006634E1"/>
    <w:rsid w:val="0066399E"/>
    <w:rsid w:val="0066402A"/>
    <w:rsid w:val="0066545F"/>
    <w:rsid w:val="006655F6"/>
    <w:rsid w:val="00665E86"/>
    <w:rsid w:val="00665FBF"/>
    <w:rsid w:val="006661A8"/>
    <w:rsid w:val="00667C87"/>
    <w:rsid w:val="00670716"/>
    <w:rsid w:val="0067154D"/>
    <w:rsid w:val="00671DBA"/>
    <w:rsid w:val="0067309C"/>
    <w:rsid w:val="00673293"/>
    <w:rsid w:val="00673857"/>
    <w:rsid w:val="0067436B"/>
    <w:rsid w:val="006747F8"/>
    <w:rsid w:val="00675474"/>
    <w:rsid w:val="00675947"/>
    <w:rsid w:val="00675A8E"/>
    <w:rsid w:val="00675F0E"/>
    <w:rsid w:val="00676DD4"/>
    <w:rsid w:val="00676F18"/>
    <w:rsid w:val="00677660"/>
    <w:rsid w:val="00677A4A"/>
    <w:rsid w:val="00677BEB"/>
    <w:rsid w:val="00677D88"/>
    <w:rsid w:val="00680465"/>
    <w:rsid w:val="006806AA"/>
    <w:rsid w:val="00680984"/>
    <w:rsid w:val="00680C40"/>
    <w:rsid w:val="00680DC9"/>
    <w:rsid w:val="00680E9D"/>
    <w:rsid w:val="00680FAE"/>
    <w:rsid w:val="00681086"/>
    <w:rsid w:val="00681190"/>
    <w:rsid w:val="006815B9"/>
    <w:rsid w:val="00681B6C"/>
    <w:rsid w:val="00681D9B"/>
    <w:rsid w:val="00681DCE"/>
    <w:rsid w:val="006828A3"/>
    <w:rsid w:val="006828AB"/>
    <w:rsid w:val="00682CDD"/>
    <w:rsid w:val="00682E81"/>
    <w:rsid w:val="00683023"/>
    <w:rsid w:val="00683178"/>
    <w:rsid w:val="00683DB4"/>
    <w:rsid w:val="0068418E"/>
    <w:rsid w:val="00684336"/>
    <w:rsid w:val="00684C77"/>
    <w:rsid w:val="00684E01"/>
    <w:rsid w:val="00685457"/>
    <w:rsid w:val="00685841"/>
    <w:rsid w:val="0068588C"/>
    <w:rsid w:val="00686BFB"/>
    <w:rsid w:val="00687E33"/>
    <w:rsid w:val="0069074B"/>
    <w:rsid w:val="00691481"/>
    <w:rsid w:val="00691A06"/>
    <w:rsid w:val="00691B38"/>
    <w:rsid w:val="0069233E"/>
    <w:rsid w:val="00692A04"/>
    <w:rsid w:val="006940A0"/>
    <w:rsid w:val="00694342"/>
    <w:rsid w:val="00694390"/>
    <w:rsid w:val="0069458D"/>
    <w:rsid w:val="00694A40"/>
    <w:rsid w:val="006953B5"/>
    <w:rsid w:val="00695639"/>
    <w:rsid w:val="0069588E"/>
    <w:rsid w:val="006958D9"/>
    <w:rsid w:val="00696DF7"/>
    <w:rsid w:val="006A02FE"/>
    <w:rsid w:val="006A0566"/>
    <w:rsid w:val="006A10E7"/>
    <w:rsid w:val="006A1816"/>
    <w:rsid w:val="006A19E0"/>
    <w:rsid w:val="006A1C35"/>
    <w:rsid w:val="006A1F2B"/>
    <w:rsid w:val="006A1FCC"/>
    <w:rsid w:val="006A1FF6"/>
    <w:rsid w:val="006A21A0"/>
    <w:rsid w:val="006A242E"/>
    <w:rsid w:val="006A2661"/>
    <w:rsid w:val="006A267E"/>
    <w:rsid w:val="006A2863"/>
    <w:rsid w:val="006A2FB3"/>
    <w:rsid w:val="006A3001"/>
    <w:rsid w:val="006A3983"/>
    <w:rsid w:val="006A430E"/>
    <w:rsid w:val="006A456A"/>
    <w:rsid w:val="006A5169"/>
    <w:rsid w:val="006A52BC"/>
    <w:rsid w:val="006A578E"/>
    <w:rsid w:val="006A6F55"/>
    <w:rsid w:val="006A7613"/>
    <w:rsid w:val="006A7990"/>
    <w:rsid w:val="006A7B0F"/>
    <w:rsid w:val="006B014E"/>
    <w:rsid w:val="006B0217"/>
    <w:rsid w:val="006B0432"/>
    <w:rsid w:val="006B0ABB"/>
    <w:rsid w:val="006B0E70"/>
    <w:rsid w:val="006B1158"/>
    <w:rsid w:val="006B1381"/>
    <w:rsid w:val="006B1595"/>
    <w:rsid w:val="006B1893"/>
    <w:rsid w:val="006B1A43"/>
    <w:rsid w:val="006B204A"/>
    <w:rsid w:val="006B2900"/>
    <w:rsid w:val="006B2A5E"/>
    <w:rsid w:val="006B3A38"/>
    <w:rsid w:val="006B3D50"/>
    <w:rsid w:val="006B3D5C"/>
    <w:rsid w:val="006B4110"/>
    <w:rsid w:val="006B41FD"/>
    <w:rsid w:val="006B44BF"/>
    <w:rsid w:val="006B4CAD"/>
    <w:rsid w:val="006B4F6E"/>
    <w:rsid w:val="006B52BC"/>
    <w:rsid w:val="006B541A"/>
    <w:rsid w:val="006B5618"/>
    <w:rsid w:val="006B668E"/>
    <w:rsid w:val="006B683B"/>
    <w:rsid w:val="006B6CD6"/>
    <w:rsid w:val="006B707F"/>
    <w:rsid w:val="006B7430"/>
    <w:rsid w:val="006B7E6E"/>
    <w:rsid w:val="006C018D"/>
    <w:rsid w:val="006C018F"/>
    <w:rsid w:val="006C03E5"/>
    <w:rsid w:val="006C1393"/>
    <w:rsid w:val="006C17CE"/>
    <w:rsid w:val="006C23F2"/>
    <w:rsid w:val="006C2536"/>
    <w:rsid w:val="006C257A"/>
    <w:rsid w:val="006C4A3F"/>
    <w:rsid w:val="006C4B9B"/>
    <w:rsid w:val="006C4BCB"/>
    <w:rsid w:val="006C58FD"/>
    <w:rsid w:val="006C5E0E"/>
    <w:rsid w:val="006C65F3"/>
    <w:rsid w:val="006C6645"/>
    <w:rsid w:val="006C7BB5"/>
    <w:rsid w:val="006C7D9B"/>
    <w:rsid w:val="006C7EFD"/>
    <w:rsid w:val="006D037E"/>
    <w:rsid w:val="006D0574"/>
    <w:rsid w:val="006D0F4E"/>
    <w:rsid w:val="006D0F9F"/>
    <w:rsid w:val="006D2AC6"/>
    <w:rsid w:val="006D32E4"/>
    <w:rsid w:val="006D407D"/>
    <w:rsid w:val="006D426F"/>
    <w:rsid w:val="006D43C8"/>
    <w:rsid w:val="006D4587"/>
    <w:rsid w:val="006D4D13"/>
    <w:rsid w:val="006D4E33"/>
    <w:rsid w:val="006D4F66"/>
    <w:rsid w:val="006D536B"/>
    <w:rsid w:val="006D55D6"/>
    <w:rsid w:val="006D5C24"/>
    <w:rsid w:val="006D63A1"/>
    <w:rsid w:val="006D6792"/>
    <w:rsid w:val="006D692C"/>
    <w:rsid w:val="006D6953"/>
    <w:rsid w:val="006D6E4E"/>
    <w:rsid w:val="006D6F11"/>
    <w:rsid w:val="006D71B7"/>
    <w:rsid w:val="006D7738"/>
    <w:rsid w:val="006D7D43"/>
    <w:rsid w:val="006E0726"/>
    <w:rsid w:val="006E1365"/>
    <w:rsid w:val="006E1434"/>
    <w:rsid w:val="006E2583"/>
    <w:rsid w:val="006E26A7"/>
    <w:rsid w:val="006E2E63"/>
    <w:rsid w:val="006E316F"/>
    <w:rsid w:val="006E3318"/>
    <w:rsid w:val="006E3415"/>
    <w:rsid w:val="006E3891"/>
    <w:rsid w:val="006E4324"/>
    <w:rsid w:val="006E4702"/>
    <w:rsid w:val="006E4DD9"/>
    <w:rsid w:val="006E5373"/>
    <w:rsid w:val="006E5DE2"/>
    <w:rsid w:val="006E5EBC"/>
    <w:rsid w:val="006E5EFE"/>
    <w:rsid w:val="006E60F8"/>
    <w:rsid w:val="006E74AA"/>
    <w:rsid w:val="006E7952"/>
    <w:rsid w:val="006E7C69"/>
    <w:rsid w:val="006E7FFC"/>
    <w:rsid w:val="006F00A9"/>
    <w:rsid w:val="006F012B"/>
    <w:rsid w:val="006F0C20"/>
    <w:rsid w:val="006F0FCF"/>
    <w:rsid w:val="006F1E4C"/>
    <w:rsid w:val="006F21AD"/>
    <w:rsid w:val="006F2302"/>
    <w:rsid w:val="006F3064"/>
    <w:rsid w:val="006F338E"/>
    <w:rsid w:val="006F35C0"/>
    <w:rsid w:val="006F3796"/>
    <w:rsid w:val="006F4C22"/>
    <w:rsid w:val="006F4EA9"/>
    <w:rsid w:val="006F51B7"/>
    <w:rsid w:val="006F5250"/>
    <w:rsid w:val="006F6DC7"/>
    <w:rsid w:val="006F7244"/>
    <w:rsid w:val="007002D1"/>
    <w:rsid w:val="007003AB"/>
    <w:rsid w:val="00701AAB"/>
    <w:rsid w:val="007027C0"/>
    <w:rsid w:val="00702B98"/>
    <w:rsid w:val="007032AB"/>
    <w:rsid w:val="00703674"/>
    <w:rsid w:val="00703684"/>
    <w:rsid w:val="007036B5"/>
    <w:rsid w:val="00703A2E"/>
    <w:rsid w:val="00703C42"/>
    <w:rsid w:val="00704457"/>
    <w:rsid w:val="00704648"/>
    <w:rsid w:val="007046FB"/>
    <w:rsid w:val="00704F52"/>
    <w:rsid w:val="007061ED"/>
    <w:rsid w:val="007067A6"/>
    <w:rsid w:val="00706B53"/>
    <w:rsid w:val="00706BED"/>
    <w:rsid w:val="00706DD1"/>
    <w:rsid w:val="00707074"/>
    <w:rsid w:val="007072E7"/>
    <w:rsid w:val="0070732A"/>
    <w:rsid w:val="00707BCE"/>
    <w:rsid w:val="00710EA8"/>
    <w:rsid w:val="00711177"/>
    <w:rsid w:val="0071177B"/>
    <w:rsid w:val="00712133"/>
    <w:rsid w:val="0071300F"/>
    <w:rsid w:val="00713D5A"/>
    <w:rsid w:val="007154C0"/>
    <w:rsid w:val="0071573F"/>
    <w:rsid w:val="007157D7"/>
    <w:rsid w:val="007158D9"/>
    <w:rsid w:val="00716552"/>
    <w:rsid w:val="0071679E"/>
    <w:rsid w:val="007172E7"/>
    <w:rsid w:val="00717864"/>
    <w:rsid w:val="00717E96"/>
    <w:rsid w:val="0072026F"/>
    <w:rsid w:val="00720907"/>
    <w:rsid w:val="0072133E"/>
    <w:rsid w:val="0072168A"/>
    <w:rsid w:val="007219B2"/>
    <w:rsid w:val="00721E17"/>
    <w:rsid w:val="007224C9"/>
    <w:rsid w:val="007225AE"/>
    <w:rsid w:val="00722727"/>
    <w:rsid w:val="0072289C"/>
    <w:rsid w:val="007230FF"/>
    <w:rsid w:val="0072370D"/>
    <w:rsid w:val="0072378A"/>
    <w:rsid w:val="007237E1"/>
    <w:rsid w:val="0072385F"/>
    <w:rsid w:val="00723CA8"/>
    <w:rsid w:val="00723E4D"/>
    <w:rsid w:val="007243CF"/>
    <w:rsid w:val="00725081"/>
    <w:rsid w:val="00725668"/>
    <w:rsid w:val="00726738"/>
    <w:rsid w:val="00727533"/>
    <w:rsid w:val="00727CD8"/>
    <w:rsid w:val="00727CFC"/>
    <w:rsid w:val="00727FB8"/>
    <w:rsid w:val="007303E7"/>
    <w:rsid w:val="00730D5E"/>
    <w:rsid w:val="00732DFE"/>
    <w:rsid w:val="00732FA7"/>
    <w:rsid w:val="00733191"/>
    <w:rsid w:val="00733549"/>
    <w:rsid w:val="007337F8"/>
    <w:rsid w:val="00733D71"/>
    <w:rsid w:val="00733E79"/>
    <w:rsid w:val="00734ABE"/>
    <w:rsid w:val="00734E0B"/>
    <w:rsid w:val="00735AB6"/>
    <w:rsid w:val="00735CE5"/>
    <w:rsid w:val="00735CE6"/>
    <w:rsid w:val="007365F6"/>
    <w:rsid w:val="007366DD"/>
    <w:rsid w:val="00736F38"/>
    <w:rsid w:val="007372AB"/>
    <w:rsid w:val="0073751E"/>
    <w:rsid w:val="007375D8"/>
    <w:rsid w:val="00740251"/>
    <w:rsid w:val="007406FF"/>
    <w:rsid w:val="007408C0"/>
    <w:rsid w:val="00740C56"/>
    <w:rsid w:val="00741580"/>
    <w:rsid w:val="00741719"/>
    <w:rsid w:val="00742BB1"/>
    <w:rsid w:val="00742E3B"/>
    <w:rsid w:val="00743049"/>
    <w:rsid w:val="00743503"/>
    <w:rsid w:val="0074366F"/>
    <w:rsid w:val="00743913"/>
    <w:rsid w:val="00743D33"/>
    <w:rsid w:val="00744671"/>
    <w:rsid w:val="0074593B"/>
    <w:rsid w:val="00745E45"/>
    <w:rsid w:val="00747473"/>
    <w:rsid w:val="007477E5"/>
    <w:rsid w:val="007478CB"/>
    <w:rsid w:val="00747F0C"/>
    <w:rsid w:val="0075008E"/>
    <w:rsid w:val="007504AF"/>
    <w:rsid w:val="00750888"/>
    <w:rsid w:val="007509CB"/>
    <w:rsid w:val="00751256"/>
    <w:rsid w:val="007515C6"/>
    <w:rsid w:val="0075163B"/>
    <w:rsid w:val="00751792"/>
    <w:rsid w:val="0075183A"/>
    <w:rsid w:val="00751CD2"/>
    <w:rsid w:val="007522F9"/>
    <w:rsid w:val="00752552"/>
    <w:rsid w:val="007527AE"/>
    <w:rsid w:val="00752E11"/>
    <w:rsid w:val="007530BC"/>
    <w:rsid w:val="0075328E"/>
    <w:rsid w:val="0075350B"/>
    <w:rsid w:val="00753C64"/>
    <w:rsid w:val="007545C0"/>
    <w:rsid w:val="00754711"/>
    <w:rsid w:val="00754A9F"/>
    <w:rsid w:val="00754C9F"/>
    <w:rsid w:val="00755378"/>
    <w:rsid w:val="0075679A"/>
    <w:rsid w:val="00756CF3"/>
    <w:rsid w:val="0075701B"/>
    <w:rsid w:val="00757246"/>
    <w:rsid w:val="00757933"/>
    <w:rsid w:val="0076016D"/>
    <w:rsid w:val="007611AB"/>
    <w:rsid w:val="0076181B"/>
    <w:rsid w:val="00761D6B"/>
    <w:rsid w:val="007622FE"/>
    <w:rsid w:val="00763381"/>
    <w:rsid w:val="00764E68"/>
    <w:rsid w:val="007652E8"/>
    <w:rsid w:val="0076553F"/>
    <w:rsid w:val="00766B7C"/>
    <w:rsid w:val="00766EB9"/>
    <w:rsid w:val="007705C5"/>
    <w:rsid w:val="007726AA"/>
    <w:rsid w:val="007728CF"/>
    <w:rsid w:val="00772CF5"/>
    <w:rsid w:val="007733C2"/>
    <w:rsid w:val="007740FA"/>
    <w:rsid w:val="00774551"/>
    <w:rsid w:val="007748A9"/>
    <w:rsid w:val="00774B5A"/>
    <w:rsid w:val="00775CB7"/>
    <w:rsid w:val="00775FEF"/>
    <w:rsid w:val="007760AD"/>
    <w:rsid w:val="0077650C"/>
    <w:rsid w:val="007767D3"/>
    <w:rsid w:val="0078024B"/>
    <w:rsid w:val="007807B4"/>
    <w:rsid w:val="00780A8D"/>
    <w:rsid w:val="00781008"/>
    <w:rsid w:val="0078118F"/>
    <w:rsid w:val="007811B3"/>
    <w:rsid w:val="00781434"/>
    <w:rsid w:val="0078187C"/>
    <w:rsid w:val="00781FC8"/>
    <w:rsid w:val="00782267"/>
    <w:rsid w:val="0078286E"/>
    <w:rsid w:val="00782B3D"/>
    <w:rsid w:val="0078323F"/>
    <w:rsid w:val="00783511"/>
    <w:rsid w:val="00783AC6"/>
    <w:rsid w:val="00783B90"/>
    <w:rsid w:val="00783C27"/>
    <w:rsid w:val="00783DC9"/>
    <w:rsid w:val="00784164"/>
    <w:rsid w:val="007841D7"/>
    <w:rsid w:val="00784C1A"/>
    <w:rsid w:val="00784E5D"/>
    <w:rsid w:val="00785411"/>
    <w:rsid w:val="00785630"/>
    <w:rsid w:val="00785698"/>
    <w:rsid w:val="00786B84"/>
    <w:rsid w:val="00786D96"/>
    <w:rsid w:val="007871B7"/>
    <w:rsid w:val="00787398"/>
    <w:rsid w:val="007878EC"/>
    <w:rsid w:val="00787958"/>
    <w:rsid w:val="00787FC7"/>
    <w:rsid w:val="00790B3B"/>
    <w:rsid w:val="00790E60"/>
    <w:rsid w:val="007912DC"/>
    <w:rsid w:val="007914D6"/>
    <w:rsid w:val="00791BE6"/>
    <w:rsid w:val="00791DC0"/>
    <w:rsid w:val="007928DF"/>
    <w:rsid w:val="00792ED7"/>
    <w:rsid w:val="00793B3F"/>
    <w:rsid w:val="00793E38"/>
    <w:rsid w:val="00794697"/>
    <w:rsid w:val="00794BE1"/>
    <w:rsid w:val="0079587D"/>
    <w:rsid w:val="00796588"/>
    <w:rsid w:val="00796DBB"/>
    <w:rsid w:val="007A0419"/>
    <w:rsid w:val="007A0A0E"/>
    <w:rsid w:val="007A0B3C"/>
    <w:rsid w:val="007A15B8"/>
    <w:rsid w:val="007A167A"/>
    <w:rsid w:val="007A18AF"/>
    <w:rsid w:val="007A1EB0"/>
    <w:rsid w:val="007A20B2"/>
    <w:rsid w:val="007A23C8"/>
    <w:rsid w:val="007A284F"/>
    <w:rsid w:val="007A3137"/>
    <w:rsid w:val="007A4090"/>
    <w:rsid w:val="007A409A"/>
    <w:rsid w:val="007A484D"/>
    <w:rsid w:val="007A6113"/>
    <w:rsid w:val="007A6679"/>
    <w:rsid w:val="007A69E7"/>
    <w:rsid w:val="007A6A5C"/>
    <w:rsid w:val="007A6A6E"/>
    <w:rsid w:val="007A7063"/>
    <w:rsid w:val="007A729F"/>
    <w:rsid w:val="007A743F"/>
    <w:rsid w:val="007B05C1"/>
    <w:rsid w:val="007B084A"/>
    <w:rsid w:val="007B0B05"/>
    <w:rsid w:val="007B0DFF"/>
    <w:rsid w:val="007B1663"/>
    <w:rsid w:val="007B1D02"/>
    <w:rsid w:val="007B1EFC"/>
    <w:rsid w:val="007B2523"/>
    <w:rsid w:val="007B27DE"/>
    <w:rsid w:val="007B2FF8"/>
    <w:rsid w:val="007B30ED"/>
    <w:rsid w:val="007B3E80"/>
    <w:rsid w:val="007B4714"/>
    <w:rsid w:val="007B4933"/>
    <w:rsid w:val="007B4CF9"/>
    <w:rsid w:val="007B555A"/>
    <w:rsid w:val="007B5F4C"/>
    <w:rsid w:val="007B6E68"/>
    <w:rsid w:val="007B7232"/>
    <w:rsid w:val="007C06D6"/>
    <w:rsid w:val="007C0BBC"/>
    <w:rsid w:val="007C1C24"/>
    <w:rsid w:val="007C2243"/>
    <w:rsid w:val="007C33F4"/>
    <w:rsid w:val="007C4B7B"/>
    <w:rsid w:val="007C4BCB"/>
    <w:rsid w:val="007C4EE0"/>
    <w:rsid w:val="007C53EB"/>
    <w:rsid w:val="007C565F"/>
    <w:rsid w:val="007C56D3"/>
    <w:rsid w:val="007C5708"/>
    <w:rsid w:val="007C57AB"/>
    <w:rsid w:val="007C6098"/>
    <w:rsid w:val="007C60FA"/>
    <w:rsid w:val="007C6B0B"/>
    <w:rsid w:val="007C6C62"/>
    <w:rsid w:val="007C6FD9"/>
    <w:rsid w:val="007C71BF"/>
    <w:rsid w:val="007C7233"/>
    <w:rsid w:val="007C77F8"/>
    <w:rsid w:val="007C7AE3"/>
    <w:rsid w:val="007D0A70"/>
    <w:rsid w:val="007D0EF9"/>
    <w:rsid w:val="007D17D5"/>
    <w:rsid w:val="007D1849"/>
    <w:rsid w:val="007D2311"/>
    <w:rsid w:val="007D28B4"/>
    <w:rsid w:val="007D2BFE"/>
    <w:rsid w:val="007D32AA"/>
    <w:rsid w:val="007D3839"/>
    <w:rsid w:val="007D40CA"/>
    <w:rsid w:val="007D431D"/>
    <w:rsid w:val="007D47D3"/>
    <w:rsid w:val="007D48CB"/>
    <w:rsid w:val="007D586F"/>
    <w:rsid w:val="007D5DB1"/>
    <w:rsid w:val="007D6857"/>
    <w:rsid w:val="007D6F09"/>
    <w:rsid w:val="007D6F74"/>
    <w:rsid w:val="007D7068"/>
    <w:rsid w:val="007D75D7"/>
    <w:rsid w:val="007D7AA0"/>
    <w:rsid w:val="007D7E67"/>
    <w:rsid w:val="007E004B"/>
    <w:rsid w:val="007E085B"/>
    <w:rsid w:val="007E0A7A"/>
    <w:rsid w:val="007E1068"/>
    <w:rsid w:val="007E1F0F"/>
    <w:rsid w:val="007E2B98"/>
    <w:rsid w:val="007E2CE0"/>
    <w:rsid w:val="007E347E"/>
    <w:rsid w:val="007E3AB6"/>
    <w:rsid w:val="007E3C49"/>
    <w:rsid w:val="007E3D3C"/>
    <w:rsid w:val="007E4026"/>
    <w:rsid w:val="007E424C"/>
    <w:rsid w:val="007E47A3"/>
    <w:rsid w:val="007E4A6F"/>
    <w:rsid w:val="007E4E1A"/>
    <w:rsid w:val="007E5481"/>
    <w:rsid w:val="007E5BD1"/>
    <w:rsid w:val="007E682A"/>
    <w:rsid w:val="007E68C4"/>
    <w:rsid w:val="007E704C"/>
    <w:rsid w:val="007E7F16"/>
    <w:rsid w:val="007F0DCC"/>
    <w:rsid w:val="007F0FCF"/>
    <w:rsid w:val="007F1914"/>
    <w:rsid w:val="007F1B2F"/>
    <w:rsid w:val="007F1CED"/>
    <w:rsid w:val="007F25AB"/>
    <w:rsid w:val="007F2C99"/>
    <w:rsid w:val="007F2CB8"/>
    <w:rsid w:val="007F377A"/>
    <w:rsid w:val="007F3844"/>
    <w:rsid w:val="007F3BF5"/>
    <w:rsid w:val="007F45DB"/>
    <w:rsid w:val="007F4709"/>
    <w:rsid w:val="007F48D9"/>
    <w:rsid w:val="007F4CE2"/>
    <w:rsid w:val="007F549B"/>
    <w:rsid w:val="007F596C"/>
    <w:rsid w:val="007F5EC4"/>
    <w:rsid w:val="007F646C"/>
    <w:rsid w:val="007F67F9"/>
    <w:rsid w:val="007F774B"/>
    <w:rsid w:val="007F784C"/>
    <w:rsid w:val="00800256"/>
    <w:rsid w:val="00800975"/>
    <w:rsid w:val="00800A1B"/>
    <w:rsid w:val="00801142"/>
    <w:rsid w:val="00801F8E"/>
    <w:rsid w:val="00802049"/>
    <w:rsid w:val="008024A3"/>
    <w:rsid w:val="00802902"/>
    <w:rsid w:val="008035A9"/>
    <w:rsid w:val="00803791"/>
    <w:rsid w:val="00803A24"/>
    <w:rsid w:val="00804265"/>
    <w:rsid w:val="008045D7"/>
    <w:rsid w:val="0080494B"/>
    <w:rsid w:val="008049F4"/>
    <w:rsid w:val="00804C8E"/>
    <w:rsid w:val="00804FE9"/>
    <w:rsid w:val="0080544F"/>
    <w:rsid w:val="0080564F"/>
    <w:rsid w:val="00805D93"/>
    <w:rsid w:val="00806204"/>
    <w:rsid w:val="008068DF"/>
    <w:rsid w:val="00806CBB"/>
    <w:rsid w:val="00807CCD"/>
    <w:rsid w:val="008101B1"/>
    <w:rsid w:val="008101FA"/>
    <w:rsid w:val="00810325"/>
    <w:rsid w:val="00811996"/>
    <w:rsid w:val="00811B33"/>
    <w:rsid w:val="0081214E"/>
    <w:rsid w:val="00812546"/>
    <w:rsid w:val="00812A92"/>
    <w:rsid w:val="00812D8E"/>
    <w:rsid w:val="008131BA"/>
    <w:rsid w:val="0081337E"/>
    <w:rsid w:val="00813458"/>
    <w:rsid w:val="00813895"/>
    <w:rsid w:val="008143C8"/>
    <w:rsid w:val="00814A0B"/>
    <w:rsid w:val="00814B9E"/>
    <w:rsid w:val="00814CD6"/>
    <w:rsid w:val="008155CF"/>
    <w:rsid w:val="00815DFB"/>
    <w:rsid w:val="00815E01"/>
    <w:rsid w:val="00816405"/>
    <w:rsid w:val="00816B75"/>
    <w:rsid w:val="00816FEE"/>
    <w:rsid w:val="00817C14"/>
    <w:rsid w:val="00820563"/>
    <w:rsid w:val="008206A8"/>
    <w:rsid w:val="00821066"/>
    <w:rsid w:val="00822213"/>
    <w:rsid w:val="00822837"/>
    <w:rsid w:val="00822CAB"/>
    <w:rsid w:val="008232DF"/>
    <w:rsid w:val="00823682"/>
    <w:rsid w:val="0082382D"/>
    <w:rsid w:val="00823C6C"/>
    <w:rsid w:val="00823E20"/>
    <w:rsid w:val="00823F85"/>
    <w:rsid w:val="008240FF"/>
    <w:rsid w:val="008241C1"/>
    <w:rsid w:val="0082437E"/>
    <w:rsid w:val="00824678"/>
    <w:rsid w:val="008248E2"/>
    <w:rsid w:val="00824BD3"/>
    <w:rsid w:val="00824D88"/>
    <w:rsid w:val="008257F9"/>
    <w:rsid w:val="00825859"/>
    <w:rsid w:val="00826252"/>
    <w:rsid w:val="008262E8"/>
    <w:rsid w:val="008266B1"/>
    <w:rsid w:val="0082676B"/>
    <w:rsid w:val="00826CA1"/>
    <w:rsid w:val="008270DB"/>
    <w:rsid w:val="0082725F"/>
    <w:rsid w:val="00827270"/>
    <w:rsid w:val="00827AEF"/>
    <w:rsid w:val="00827F09"/>
    <w:rsid w:val="008301AE"/>
    <w:rsid w:val="0083046B"/>
    <w:rsid w:val="00830836"/>
    <w:rsid w:val="00830B7C"/>
    <w:rsid w:val="00830BF1"/>
    <w:rsid w:val="008318B2"/>
    <w:rsid w:val="00831F96"/>
    <w:rsid w:val="008321B5"/>
    <w:rsid w:val="008323CB"/>
    <w:rsid w:val="00832A2B"/>
    <w:rsid w:val="00832EE9"/>
    <w:rsid w:val="008332D5"/>
    <w:rsid w:val="0083349E"/>
    <w:rsid w:val="008337A6"/>
    <w:rsid w:val="008339BD"/>
    <w:rsid w:val="00834B01"/>
    <w:rsid w:val="00835248"/>
    <w:rsid w:val="00835CA6"/>
    <w:rsid w:val="00835CB6"/>
    <w:rsid w:val="00835CDB"/>
    <w:rsid w:val="0083604B"/>
    <w:rsid w:val="008366F0"/>
    <w:rsid w:val="00836BF2"/>
    <w:rsid w:val="00836DE1"/>
    <w:rsid w:val="008404DB"/>
    <w:rsid w:val="00840637"/>
    <w:rsid w:val="008408E5"/>
    <w:rsid w:val="00840AC1"/>
    <w:rsid w:val="00840BC1"/>
    <w:rsid w:val="00841252"/>
    <w:rsid w:val="00841F95"/>
    <w:rsid w:val="00842820"/>
    <w:rsid w:val="00842D57"/>
    <w:rsid w:val="00842E7E"/>
    <w:rsid w:val="00842F10"/>
    <w:rsid w:val="0084351E"/>
    <w:rsid w:val="00843ABA"/>
    <w:rsid w:val="00844264"/>
    <w:rsid w:val="0084435A"/>
    <w:rsid w:val="00845C9E"/>
    <w:rsid w:val="00845D1E"/>
    <w:rsid w:val="0084603A"/>
    <w:rsid w:val="00846D95"/>
    <w:rsid w:val="008470B2"/>
    <w:rsid w:val="00847361"/>
    <w:rsid w:val="00847709"/>
    <w:rsid w:val="008506D2"/>
    <w:rsid w:val="008506D7"/>
    <w:rsid w:val="0085117B"/>
    <w:rsid w:val="00851F4A"/>
    <w:rsid w:val="00851F7E"/>
    <w:rsid w:val="00851FAE"/>
    <w:rsid w:val="008522F8"/>
    <w:rsid w:val="0085247F"/>
    <w:rsid w:val="008528F1"/>
    <w:rsid w:val="008537B0"/>
    <w:rsid w:val="00853A4E"/>
    <w:rsid w:val="00854409"/>
    <w:rsid w:val="00855019"/>
    <w:rsid w:val="00855A23"/>
    <w:rsid w:val="0085614A"/>
    <w:rsid w:val="0085660E"/>
    <w:rsid w:val="00856894"/>
    <w:rsid w:val="0085783E"/>
    <w:rsid w:val="00860E61"/>
    <w:rsid w:val="00861250"/>
    <w:rsid w:val="00861A0B"/>
    <w:rsid w:val="008631EF"/>
    <w:rsid w:val="0086324D"/>
    <w:rsid w:val="008633D7"/>
    <w:rsid w:val="00863462"/>
    <w:rsid w:val="00863712"/>
    <w:rsid w:val="00863D2D"/>
    <w:rsid w:val="00863D5E"/>
    <w:rsid w:val="008640EB"/>
    <w:rsid w:val="00864523"/>
    <w:rsid w:val="00864A44"/>
    <w:rsid w:val="008650F5"/>
    <w:rsid w:val="008660C7"/>
    <w:rsid w:val="0086650C"/>
    <w:rsid w:val="00866736"/>
    <w:rsid w:val="0086673D"/>
    <w:rsid w:val="00866E1B"/>
    <w:rsid w:val="008675D3"/>
    <w:rsid w:val="008677C2"/>
    <w:rsid w:val="008678E4"/>
    <w:rsid w:val="008679D5"/>
    <w:rsid w:val="00867AC8"/>
    <w:rsid w:val="0087057B"/>
    <w:rsid w:val="00870FCE"/>
    <w:rsid w:val="00871798"/>
    <w:rsid w:val="00871C96"/>
    <w:rsid w:val="00871F02"/>
    <w:rsid w:val="008722C8"/>
    <w:rsid w:val="00872F8E"/>
    <w:rsid w:val="00873115"/>
    <w:rsid w:val="00873285"/>
    <w:rsid w:val="00873E55"/>
    <w:rsid w:val="00874542"/>
    <w:rsid w:val="00874BC1"/>
    <w:rsid w:val="0087506E"/>
    <w:rsid w:val="00875356"/>
    <w:rsid w:val="00875429"/>
    <w:rsid w:val="008766B1"/>
    <w:rsid w:val="008766D5"/>
    <w:rsid w:val="00876816"/>
    <w:rsid w:val="00876AB4"/>
    <w:rsid w:val="00876D2D"/>
    <w:rsid w:val="008773B5"/>
    <w:rsid w:val="00877D93"/>
    <w:rsid w:val="00880BC2"/>
    <w:rsid w:val="00880E8C"/>
    <w:rsid w:val="008815F0"/>
    <w:rsid w:val="00882347"/>
    <w:rsid w:val="008824B2"/>
    <w:rsid w:val="00884058"/>
    <w:rsid w:val="0088476E"/>
    <w:rsid w:val="00884876"/>
    <w:rsid w:val="00884A5C"/>
    <w:rsid w:val="00884CA8"/>
    <w:rsid w:val="00886365"/>
    <w:rsid w:val="00886AA6"/>
    <w:rsid w:val="00886B8D"/>
    <w:rsid w:val="0088710D"/>
    <w:rsid w:val="0088775A"/>
    <w:rsid w:val="00887AC3"/>
    <w:rsid w:val="00887E2C"/>
    <w:rsid w:val="008904B1"/>
    <w:rsid w:val="0089095E"/>
    <w:rsid w:val="00890EDA"/>
    <w:rsid w:val="008910CD"/>
    <w:rsid w:val="00891FC3"/>
    <w:rsid w:val="00892B47"/>
    <w:rsid w:val="008933E7"/>
    <w:rsid w:val="00894050"/>
    <w:rsid w:val="00894409"/>
    <w:rsid w:val="008947C8"/>
    <w:rsid w:val="00894AB8"/>
    <w:rsid w:val="00894D94"/>
    <w:rsid w:val="008952CA"/>
    <w:rsid w:val="008965DF"/>
    <w:rsid w:val="0089712D"/>
    <w:rsid w:val="00897348"/>
    <w:rsid w:val="008A0C1E"/>
    <w:rsid w:val="008A0DBD"/>
    <w:rsid w:val="008A114A"/>
    <w:rsid w:val="008A1825"/>
    <w:rsid w:val="008A23B0"/>
    <w:rsid w:val="008A30F8"/>
    <w:rsid w:val="008A3A69"/>
    <w:rsid w:val="008A46DE"/>
    <w:rsid w:val="008A5C3D"/>
    <w:rsid w:val="008A5D1D"/>
    <w:rsid w:val="008A6870"/>
    <w:rsid w:val="008A6990"/>
    <w:rsid w:val="008A69FC"/>
    <w:rsid w:val="008A75AC"/>
    <w:rsid w:val="008A766D"/>
    <w:rsid w:val="008B0B5F"/>
    <w:rsid w:val="008B0F13"/>
    <w:rsid w:val="008B14B5"/>
    <w:rsid w:val="008B1FD6"/>
    <w:rsid w:val="008B33AD"/>
    <w:rsid w:val="008B352C"/>
    <w:rsid w:val="008B3945"/>
    <w:rsid w:val="008B4CE4"/>
    <w:rsid w:val="008B5687"/>
    <w:rsid w:val="008B57EF"/>
    <w:rsid w:val="008B597C"/>
    <w:rsid w:val="008B636D"/>
    <w:rsid w:val="008B65F4"/>
    <w:rsid w:val="008B6CA4"/>
    <w:rsid w:val="008B7755"/>
    <w:rsid w:val="008B7C5A"/>
    <w:rsid w:val="008C00AB"/>
    <w:rsid w:val="008C08A2"/>
    <w:rsid w:val="008C0E7F"/>
    <w:rsid w:val="008C112E"/>
    <w:rsid w:val="008C1870"/>
    <w:rsid w:val="008C1A88"/>
    <w:rsid w:val="008C2995"/>
    <w:rsid w:val="008C3546"/>
    <w:rsid w:val="008C3DCC"/>
    <w:rsid w:val="008C5155"/>
    <w:rsid w:val="008C521E"/>
    <w:rsid w:val="008C550E"/>
    <w:rsid w:val="008C5AA5"/>
    <w:rsid w:val="008C7177"/>
    <w:rsid w:val="008C754E"/>
    <w:rsid w:val="008D0542"/>
    <w:rsid w:val="008D0C77"/>
    <w:rsid w:val="008D1015"/>
    <w:rsid w:val="008D138A"/>
    <w:rsid w:val="008D2057"/>
    <w:rsid w:val="008D22AC"/>
    <w:rsid w:val="008D26FA"/>
    <w:rsid w:val="008D3795"/>
    <w:rsid w:val="008D3D18"/>
    <w:rsid w:val="008D3EF0"/>
    <w:rsid w:val="008D4691"/>
    <w:rsid w:val="008D49C5"/>
    <w:rsid w:val="008D4E0C"/>
    <w:rsid w:val="008D5A42"/>
    <w:rsid w:val="008D5F38"/>
    <w:rsid w:val="008D6433"/>
    <w:rsid w:val="008D7043"/>
    <w:rsid w:val="008D77C4"/>
    <w:rsid w:val="008D7CA4"/>
    <w:rsid w:val="008D7E81"/>
    <w:rsid w:val="008E0C49"/>
    <w:rsid w:val="008E1141"/>
    <w:rsid w:val="008E12D2"/>
    <w:rsid w:val="008E144B"/>
    <w:rsid w:val="008E1B63"/>
    <w:rsid w:val="008E224F"/>
    <w:rsid w:val="008E2670"/>
    <w:rsid w:val="008E27AE"/>
    <w:rsid w:val="008E2939"/>
    <w:rsid w:val="008E3327"/>
    <w:rsid w:val="008E378F"/>
    <w:rsid w:val="008E399E"/>
    <w:rsid w:val="008E46DC"/>
    <w:rsid w:val="008E5248"/>
    <w:rsid w:val="008E6101"/>
    <w:rsid w:val="008E67AD"/>
    <w:rsid w:val="008E6B68"/>
    <w:rsid w:val="008E6DB6"/>
    <w:rsid w:val="008E6DE9"/>
    <w:rsid w:val="008E7457"/>
    <w:rsid w:val="008E7BE9"/>
    <w:rsid w:val="008F0AB8"/>
    <w:rsid w:val="008F11B2"/>
    <w:rsid w:val="008F122F"/>
    <w:rsid w:val="008F1F0C"/>
    <w:rsid w:val="008F20B1"/>
    <w:rsid w:val="008F20E5"/>
    <w:rsid w:val="008F25CD"/>
    <w:rsid w:val="008F2BB6"/>
    <w:rsid w:val="008F30F3"/>
    <w:rsid w:val="008F3922"/>
    <w:rsid w:val="008F3F62"/>
    <w:rsid w:val="008F413A"/>
    <w:rsid w:val="008F41DC"/>
    <w:rsid w:val="008F4CC5"/>
    <w:rsid w:val="008F4F35"/>
    <w:rsid w:val="008F55A2"/>
    <w:rsid w:val="008F5BE8"/>
    <w:rsid w:val="008F5FFD"/>
    <w:rsid w:val="008F6C96"/>
    <w:rsid w:val="008F6E05"/>
    <w:rsid w:val="008F7616"/>
    <w:rsid w:val="008F7854"/>
    <w:rsid w:val="008F7A31"/>
    <w:rsid w:val="009009B4"/>
    <w:rsid w:val="009011CA"/>
    <w:rsid w:val="00901226"/>
    <w:rsid w:val="009024F1"/>
    <w:rsid w:val="009027F7"/>
    <w:rsid w:val="00902D22"/>
    <w:rsid w:val="00903BE3"/>
    <w:rsid w:val="0090407A"/>
    <w:rsid w:val="00904184"/>
    <w:rsid w:val="0090450C"/>
    <w:rsid w:val="00904EA3"/>
    <w:rsid w:val="00905C9B"/>
    <w:rsid w:val="00905D12"/>
    <w:rsid w:val="009066E5"/>
    <w:rsid w:val="00906A46"/>
    <w:rsid w:val="00907020"/>
    <w:rsid w:val="0090755E"/>
    <w:rsid w:val="00911095"/>
    <w:rsid w:val="0091115F"/>
    <w:rsid w:val="009111A8"/>
    <w:rsid w:val="00911214"/>
    <w:rsid w:val="00911339"/>
    <w:rsid w:val="009119BD"/>
    <w:rsid w:val="00911B84"/>
    <w:rsid w:val="00911DC0"/>
    <w:rsid w:val="00911FAE"/>
    <w:rsid w:val="0091311B"/>
    <w:rsid w:val="009139C7"/>
    <w:rsid w:val="00913B6D"/>
    <w:rsid w:val="00913C2D"/>
    <w:rsid w:val="00913F4C"/>
    <w:rsid w:val="009141A3"/>
    <w:rsid w:val="0091436B"/>
    <w:rsid w:val="009143A3"/>
    <w:rsid w:val="009166D6"/>
    <w:rsid w:val="00916B0E"/>
    <w:rsid w:val="00916D47"/>
    <w:rsid w:val="00916ED9"/>
    <w:rsid w:val="00916FE1"/>
    <w:rsid w:val="009173C3"/>
    <w:rsid w:val="00917EB6"/>
    <w:rsid w:val="00917EFB"/>
    <w:rsid w:val="00920288"/>
    <w:rsid w:val="009206EC"/>
    <w:rsid w:val="00920A52"/>
    <w:rsid w:val="00920AC9"/>
    <w:rsid w:val="00920E3C"/>
    <w:rsid w:val="00920FF8"/>
    <w:rsid w:val="009215CA"/>
    <w:rsid w:val="00921B62"/>
    <w:rsid w:val="00922575"/>
    <w:rsid w:val="00922E20"/>
    <w:rsid w:val="00923264"/>
    <w:rsid w:val="009233B8"/>
    <w:rsid w:val="00923AB3"/>
    <w:rsid w:val="00924832"/>
    <w:rsid w:val="00924A9D"/>
    <w:rsid w:val="009257B7"/>
    <w:rsid w:val="009261D8"/>
    <w:rsid w:val="00926220"/>
    <w:rsid w:val="009269B7"/>
    <w:rsid w:val="00930473"/>
    <w:rsid w:val="00930E15"/>
    <w:rsid w:val="00930F4A"/>
    <w:rsid w:val="009314D1"/>
    <w:rsid w:val="00931A3C"/>
    <w:rsid w:val="00931D97"/>
    <w:rsid w:val="00931F5B"/>
    <w:rsid w:val="00932488"/>
    <w:rsid w:val="0093384A"/>
    <w:rsid w:val="00934090"/>
    <w:rsid w:val="00934FBD"/>
    <w:rsid w:val="00934FC2"/>
    <w:rsid w:val="009353B4"/>
    <w:rsid w:val="00935482"/>
    <w:rsid w:val="009354CB"/>
    <w:rsid w:val="00935741"/>
    <w:rsid w:val="00936029"/>
    <w:rsid w:val="009360B9"/>
    <w:rsid w:val="0094036E"/>
    <w:rsid w:val="00940892"/>
    <w:rsid w:val="0094108A"/>
    <w:rsid w:val="00941246"/>
    <w:rsid w:val="00941CA2"/>
    <w:rsid w:val="00942076"/>
    <w:rsid w:val="0094229A"/>
    <w:rsid w:val="009427C7"/>
    <w:rsid w:val="0094299F"/>
    <w:rsid w:val="00942DA1"/>
    <w:rsid w:val="00942EC3"/>
    <w:rsid w:val="00942F77"/>
    <w:rsid w:val="00943F2B"/>
    <w:rsid w:val="0094403D"/>
    <w:rsid w:val="009443B9"/>
    <w:rsid w:val="009444C0"/>
    <w:rsid w:val="00944D5D"/>
    <w:rsid w:val="00945814"/>
    <w:rsid w:val="00945BDC"/>
    <w:rsid w:val="00945EDB"/>
    <w:rsid w:val="0094664E"/>
    <w:rsid w:val="00946B04"/>
    <w:rsid w:val="00946F89"/>
    <w:rsid w:val="0094700F"/>
    <w:rsid w:val="009479A2"/>
    <w:rsid w:val="00947A77"/>
    <w:rsid w:val="00950B7B"/>
    <w:rsid w:val="00951AC4"/>
    <w:rsid w:val="00951FDC"/>
    <w:rsid w:val="009520CB"/>
    <w:rsid w:val="00952D37"/>
    <w:rsid w:val="00952F7A"/>
    <w:rsid w:val="00953146"/>
    <w:rsid w:val="00953365"/>
    <w:rsid w:val="009538F0"/>
    <w:rsid w:val="00953B4A"/>
    <w:rsid w:val="00953BA4"/>
    <w:rsid w:val="00953ECC"/>
    <w:rsid w:val="00954134"/>
    <w:rsid w:val="00954D3A"/>
    <w:rsid w:val="00955CAA"/>
    <w:rsid w:val="0095630A"/>
    <w:rsid w:val="0095670C"/>
    <w:rsid w:val="00957424"/>
    <w:rsid w:val="00957B0C"/>
    <w:rsid w:val="00957D04"/>
    <w:rsid w:val="00957FB3"/>
    <w:rsid w:val="009603FA"/>
    <w:rsid w:val="00960648"/>
    <w:rsid w:val="0096070B"/>
    <w:rsid w:val="0096153B"/>
    <w:rsid w:val="0096166F"/>
    <w:rsid w:val="009617D0"/>
    <w:rsid w:val="00961E35"/>
    <w:rsid w:val="009626B1"/>
    <w:rsid w:val="0096283A"/>
    <w:rsid w:val="0096345E"/>
    <w:rsid w:val="00963805"/>
    <w:rsid w:val="009638B7"/>
    <w:rsid w:val="00963920"/>
    <w:rsid w:val="00963AAB"/>
    <w:rsid w:val="009647A8"/>
    <w:rsid w:val="00965189"/>
    <w:rsid w:val="009651A3"/>
    <w:rsid w:val="00965802"/>
    <w:rsid w:val="00965A70"/>
    <w:rsid w:val="00965D2B"/>
    <w:rsid w:val="009668E2"/>
    <w:rsid w:val="00966FDA"/>
    <w:rsid w:val="00967132"/>
    <w:rsid w:val="009673A4"/>
    <w:rsid w:val="009673B3"/>
    <w:rsid w:val="00967922"/>
    <w:rsid w:val="00967AF3"/>
    <w:rsid w:val="00967FF4"/>
    <w:rsid w:val="009706EF"/>
    <w:rsid w:val="00971E91"/>
    <w:rsid w:val="00971F96"/>
    <w:rsid w:val="00972081"/>
    <w:rsid w:val="00973237"/>
    <w:rsid w:val="00973D56"/>
    <w:rsid w:val="00973F95"/>
    <w:rsid w:val="00974451"/>
    <w:rsid w:val="009759BB"/>
    <w:rsid w:val="00975A35"/>
    <w:rsid w:val="00975CA9"/>
    <w:rsid w:val="0097635C"/>
    <w:rsid w:val="0097694F"/>
    <w:rsid w:val="00976EC8"/>
    <w:rsid w:val="00977106"/>
    <w:rsid w:val="0097723D"/>
    <w:rsid w:val="009774C3"/>
    <w:rsid w:val="009775DF"/>
    <w:rsid w:val="00977651"/>
    <w:rsid w:val="00977A58"/>
    <w:rsid w:val="00980297"/>
    <w:rsid w:val="009805F2"/>
    <w:rsid w:val="00980BC1"/>
    <w:rsid w:val="00981112"/>
    <w:rsid w:val="0098239F"/>
    <w:rsid w:val="009823AC"/>
    <w:rsid w:val="009823C3"/>
    <w:rsid w:val="00982B74"/>
    <w:rsid w:val="00982D33"/>
    <w:rsid w:val="00983EA9"/>
    <w:rsid w:val="009842E9"/>
    <w:rsid w:val="00984435"/>
    <w:rsid w:val="00985C9A"/>
    <w:rsid w:val="009861BC"/>
    <w:rsid w:val="00986767"/>
    <w:rsid w:val="00986DED"/>
    <w:rsid w:val="009871FB"/>
    <w:rsid w:val="009876E0"/>
    <w:rsid w:val="00987B9A"/>
    <w:rsid w:val="00990561"/>
    <w:rsid w:val="00990F8D"/>
    <w:rsid w:val="0099114E"/>
    <w:rsid w:val="009918A6"/>
    <w:rsid w:val="009918D1"/>
    <w:rsid w:val="00991EC3"/>
    <w:rsid w:val="00992AA8"/>
    <w:rsid w:val="00992F0F"/>
    <w:rsid w:val="009939C6"/>
    <w:rsid w:val="00994246"/>
    <w:rsid w:val="00994423"/>
    <w:rsid w:val="00994CDE"/>
    <w:rsid w:val="009954AF"/>
    <w:rsid w:val="00995875"/>
    <w:rsid w:val="00995D9D"/>
    <w:rsid w:val="00996628"/>
    <w:rsid w:val="00996936"/>
    <w:rsid w:val="00996C34"/>
    <w:rsid w:val="00996C87"/>
    <w:rsid w:val="00997A8C"/>
    <w:rsid w:val="009A007D"/>
    <w:rsid w:val="009A0101"/>
    <w:rsid w:val="009A0841"/>
    <w:rsid w:val="009A185F"/>
    <w:rsid w:val="009A1E17"/>
    <w:rsid w:val="009A2906"/>
    <w:rsid w:val="009A37E2"/>
    <w:rsid w:val="009A3E58"/>
    <w:rsid w:val="009A49D3"/>
    <w:rsid w:val="009A4C25"/>
    <w:rsid w:val="009A539C"/>
    <w:rsid w:val="009A5861"/>
    <w:rsid w:val="009A5B89"/>
    <w:rsid w:val="009A5D73"/>
    <w:rsid w:val="009A5EFD"/>
    <w:rsid w:val="009A6E5F"/>
    <w:rsid w:val="009A7060"/>
    <w:rsid w:val="009A745E"/>
    <w:rsid w:val="009A7FBF"/>
    <w:rsid w:val="009B0182"/>
    <w:rsid w:val="009B02A3"/>
    <w:rsid w:val="009B09BE"/>
    <w:rsid w:val="009B10DE"/>
    <w:rsid w:val="009B10E5"/>
    <w:rsid w:val="009B1244"/>
    <w:rsid w:val="009B2304"/>
    <w:rsid w:val="009B26C7"/>
    <w:rsid w:val="009B27C2"/>
    <w:rsid w:val="009B2B2A"/>
    <w:rsid w:val="009B2C93"/>
    <w:rsid w:val="009B31F9"/>
    <w:rsid w:val="009B347A"/>
    <w:rsid w:val="009B4957"/>
    <w:rsid w:val="009B4E8A"/>
    <w:rsid w:val="009B4EA5"/>
    <w:rsid w:val="009B513B"/>
    <w:rsid w:val="009B53B5"/>
    <w:rsid w:val="009B7232"/>
    <w:rsid w:val="009B74E4"/>
    <w:rsid w:val="009C0C4C"/>
    <w:rsid w:val="009C147E"/>
    <w:rsid w:val="009C1812"/>
    <w:rsid w:val="009C19F0"/>
    <w:rsid w:val="009C20F4"/>
    <w:rsid w:val="009C2338"/>
    <w:rsid w:val="009C2C14"/>
    <w:rsid w:val="009C2F90"/>
    <w:rsid w:val="009C31AA"/>
    <w:rsid w:val="009C398B"/>
    <w:rsid w:val="009C5998"/>
    <w:rsid w:val="009C5FCC"/>
    <w:rsid w:val="009C64F0"/>
    <w:rsid w:val="009C651C"/>
    <w:rsid w:val="009C6877"/>
    <w:rsid w:val="009C6ED3"/>
    <w:rsid w:val="009D12AF"/>
    <w:rsid w:val="009D14EA"/>
    <w:rsid w:val="009D1A3F"/>
    <w:rsid w:val="009D1BFC"/>
    <w:rsid w:val="009D1C82"/>
    <w:rsid w:val="009D1D38"/>
    <w:rsid w:val="009D1D64"/>
    <w:rsid w:val="009D2276"/>
    <w:rsid w:val="009D2800"/>
    <w:rsid w:val="009D32A9"/>
    <w:rsid w:val="009D3430"/>
    <w:rsid w:val="009D34E9"/>
    <w:rsid w:val="009D3B01"/>
    <w:rsid w:val="009D4C10"/>
    <w:rsid w:val="009D579C"/>
    <w:rsid w:val="009D5DA5"/>
    <w:rsid w:val="009D643E"/>
    <w:rsid w:val="009D6590"/>
    <w:rsid w:val="009D737D"/>
    <w:rsid w:val="009D73FE"/>
    <w:rsid w:val="009D7922"/>
    <w:rsid w:val="009D7C8E"/>
    <w:rsid w:val="009D7E2D"/>
    <w:rsid w:val="009D7E5C"/>
    <w:rsid w:val="009E06F1"/>
    <w:rsid w:val="009E13B8"/>
    <w:rsid w:val="009E1B81"/>
    <w:rsid w:val="009E1F8E"/>
    <w:rsid w:val="009E20CB"/>
    <w:rsid w:val="009E3F59"/>
    <w:rsid w:val="009E3FF8"/>
    <w:rsid w:val="009E4578"/>
    <w:rsid w:val="009E587D"/>
    <w:rsid w:val="009E68C4"/>
    <w:rsid w:val="009E6C40"/>
    <w:rsid w:val="009E764A"/>
    <w:rsid w:val="009E7EFD"/>
    <w:rsid w:val="009F04F2"/>
    <w:rsid w:val="009F1860"/>
    <w:rsid w:val="009F1F92"/>
    <w:rsid w:val="009F31D9"/>
    <w:rsid w:val="009F379A"/>
    <w:rsid w:val="009F39D5"/>
    <w:rsid w:val="009F3A56"/>
    <w:rsid w:val="009F4BC1"/>
    <w:rsid w:val="009F60AA"/>
    <w:rsid w:val="009F65AA"/>
    <w:rsid w:val="009F6CE8"/>
    <w:rsid w:val="009F7063"/>
    <w:rsid w:val="009F74EB"/>
    <w:rsid w:val="009F77B3"/>
    <w:rsid w:val="00A0096F"/>
    <w:rsid w:val="00A00F22"/>
    <w:rsid w:val="00A011D0"/>
    <w:rsid w:val="00A01590"/>
    <w:rsid w:val="00A01611"/>
    <w:rsid w:val="00A01BF8"/>
    <w:rsid w:val="00A03218"/>
    <w:rsid w:val="00A03519"/>
    <w:rsid w:val="00A035D3"/>
    <w:rsid w:val="00A03B6E"/>
    <w:rsid w:val="00A043D5"/>
    <w:rsid w:val="00A0480A"/>
    <w:rsid w:val="00A04AAC"/>
    <w:rsid w:val="00A04ABC"/>
    <w:rsid w:val="00A05307"/>
    <w:rsid w:val="00A0573D"/>
    <w:rsid w:val="00A05C83"/>
    <w:rsid w:val="00A06028"/>
    <w:rsid w:val="00A06ADB"/>
    <w:rsid w:val="00A073CB"/>
    <w:rsid w:val="00A0742C"/>
    <w:rsid w:val="00A1003B"/>
    <w:rsid w:val="00A10422"/>
    <w:rsid w:val="00A10750"/>
    <w:rsid w:val="00A10ECA"/>
    <w:rsid w:val="00A11459"/>
    <w:rsid w:val="00A1215E"/>
    <w:rsid w:val="00A12187"/>
    <w:rsid w:val="00A12909"/>
    <w:rsid w:val="00A1353F"/>
    <w:rsid w:val="00A1359F"/>
    <w:rsid w:val="00A13ADC"/>
    <w:rsid w:val="00A13DFD"/>
    <w:rsid w:val="00A14898"/>
    <w:rsid w:val="00A148E6"/>
    <w:rsid w:val="00A15C00"/>
    <w:rsid w:val="00A15C65"/>
    <w:rsid w:val="00A161F4"/>
    <w:rsid w:val="00A17611"/>
    <w:rsid w:val="00A17B9C"/>
    <w:rsid w:val="00A201C8"/>
    <w:rsid w:val="00A203B9"/>
    <w:rsid w:val="00A20614"/>
    <w:rsid w:val="00A20A17"/>
    <w:rsid w:val="00A20C34"/>
    <w:rsid w:val="00A212BD"/>
    <w:rsid w:val="00A21D4D"/>
    <w:rsid w:val="00A22207"/>
    <w:rsid w:val="00A222ED"/>
    <w:rsid w:val="00A23148"/>
    <w:rsid w:val="00A2346F"/>
    <w:rsid w:val="00A23769"/>
    <w:rsid w:val="00A2390F"/>
    <w:rsid w:val="00A23C55"/>
    <w:rsid w:val="00A24546"/>
    <w:rsid w:val="00A252DA"/>
    <w:rsid w:val="00A256EE"/>
    <w:rsid w:val="00A258C1"/>
    <w:rsid w:val="00A26932"/>
    <w:rsid w:val="00A27674"/>
    <w:rsid w:val="00A2798D"/>
    <w:rsid w:val="00A279C4"/>
    <w:rsid w:val="00A27A20"/>
    <w:rsid w:val="00A27FB8"/>
    <w:rsid w:val="00A30874"/>
    <w:rsid w:val="00A30AB0"/>
    <w:rsid w:val="00A3216E"/>
    <w:rsid w:val="00A32202"/>
    <w:rsid w:val="00A32AE9"/>
    <w:rsid w:val="00A32E36"/>
    <w:rsid w:val="00A3351D"/>
    <w:rsid w:val="00A3381D"/>
    <w:rsid w:val="00A340F3"/>
    <w:rsid w:val="00A34E19"/>
    <w:rsid w:val="00A34EEA"/>
    <w:rsid w:val="00A354F5"/>
    <w:rsid w:val="00A35580"/>
    <w:rsid w:val="00A363BC"/>
    <w:rsid w:val="00A36C7D"/>
    <w:rsid w:val="00A36D7D"/>
    <w:rsid w:val="00A36E80"/>
    <w:rsid w:val="00A36FB8"/>
    <w:rsid w:val="00A3789F"/>
    <w:rsid w:val="00A40216"/>
    <w:rsid w:val="00A403A9"/>
    <w:rsid w:val="00A4075D"/>
    <w:rsid w:val="00A4078F"/>
    <w:rsid w:val="00A408F6"/>
    <w:rsid w:val="00A40A21"/>
    <w:rsid w:val="00A41248"/>
    <w:rsid w:val="00A41AA3"/>
    <w:rsid w:val="00A41B83"/>
    <w:rsid w:val="00A428F2"/>
    <w:rsid w:val="00A42F5A"/>
    <w:rsid w:val="00A4311F"/>
    <w:rsid w:val="00A43D28"/>
    <w:rsid w:val="00A4434F"/>
    <w:rsid w:val="00A44D7E"/>
    <w:rsid w:val="00A465A2"/>
    <w:rsid w:val="00A46F0E"/>
    <w:rsid w:val="00A47A60"/>
    <w:rsid w:val="00A47A79"/>
    <w:rsid w:val="00A50311"/>
    <w:rsid w:val="00A50B6B"/>
    <w:rsid w:val="00A50F1C"/>
    <w:rsid w:val="00A5106D"/>
    <w:rsid w:val="00A51332"/>
    <w:rsid w:val="00A51605"/>
    <w:rsid w:val="00A51C14"/>
    <w:rsid w:val="00A522FD"/>
    <w:rsid w:val="00A52638"/>
    <w:rsid w:val="00A5265D"/>
    <w:rsid w:val="00A527A5"/>
    <w:rsid w:val="00A52BFD"/>
    <w:rsid w:val="00A52C58"/>
    <w:rsid w:val="00A53023"/>
    <w:rsid w:val="00A533C8"/>
    <w:rsid w:val="00A53401"/>
    <w:rsid w:val="00A5397D"/>
    <w:rsid w:val="00A540A9"/>
    <w:rsid w:val="00A54791"/>
    <w:rsid w:val="00A54D46"/>
    <w:rsid w:val="00A553EF"/>
    <w:rsid w:val="00A55883"/>
    <w:rsid w:val="00A558DC"/>
    <w:rsid w:val="00A55D55"/>
    <w:rsid w:val="00A56510"/>
    <w:rsid w:val="00A56D7B"/>
    <w:rsid w:val="00A56F34"/>
    <w:rsid w:val="00A57939"/>
    <w:rsid w:val="00A57A0D"/>
    <w:rsid w:val="00A57A2B"/>
    <w:rsid w:val="00A57DC5"/>
    <w:rsid w:val="00A60E5B"/>
    <w:rsid w:val="00A61EC2"/>
    <w:rsid w:val="00A622CD"/>
    <w:rsid w:val="00A62C92"/>
    <w:rsid w:val="00A62DBF"/>
    <w:rsid w:val="00A62EDB"/>
    <w:rsid w:val="00A6379E"/>
    <w:rsid w:val="00A64233"/>
    <w:rsid w:val="00A643AD"/>
    <w:rsid w:val="00A646E7"/>
    <w:rsid w:val="00A64BBC"/>
    <w:rsid w:val="00A64C0F"/>
    <w:rsid w:val="00A64CF4"/>
    <w:rsid w:val="00A651A7"/>
    <w:rsid w:val="00A65B43"/>
    <w:rsid w:val="00A660A1"/>
    <w:rsid w:val="00A662BF"/>
    <w:rsid w:val="00A66D95"/>
    <w:rsid w:val="00A676B7"/>
    <w:rsid w:val="00A70288"/>
    <w:rsid w:val="00A70EEC"/>
    <w:rsid w:val="00A71478"/>
    <w:rsid w:val="00A7157F"/>
    <w:rsid w:val="00A71B4C"/>
    <w:rsid w:val="00A7222D"/>
    <w:rsid w:val="00A7248A"/>
    <w:rsid w:val="00A724DE"/>
    <w:rsid w:val="00A727D1"/>
    <w:rsid w:val="00A7388A"/>
    <w:rsid w:val="00A747F3"/>
    <w:rsid w:val="00A761F2"/>
    <w:rsid w:val="00A76D56"/>
    <w:rsid w:val="00A7706C"/>
    <w:rsid w:val="00A77166"/>
    <w:rsid w:val="00A77449"/>
    <w:rsid w:val="00A775F2"/>
    <w:rsid w:val="00A776AE"/>
    <w:rsid w:val="00A777D3"/>
    <w:rsid w:val="00A809C1"/>
    <w:rsid w:val="00A80F9A"/>
    <w:rsid w:val="00A81572"/>
    <w:rsid w:val="00A82305"/>
    <w:rsid w:val="00A82674"/>
    <w:rsid w:val="00A83100"/>
    <w:rsid w:val="00A833C0"/>
    <w:rsid w:val="00A83930"/>
    <w:rsid w:val="00A845A4"/>
    <w:rsid w:val="00A8493B"/>
    <w:rsid w:val="00A85387"/>
    <w:rsid w:val="00A854A8"/>
    <w:rsid w:val="00A86559"/>
    <w:rsid w:val="00A86661"/>
    <w:rsid w:val="00A8699D"/>
    <w:rsid w:val="00A87EF1"/>
    <w:rsid w:val="00A87F63"/>
    <w:rsid w:val="00A9061F"/>
    <w:rsid w:val="00A909CB"/>
    <w:rsid w:val="00A910C0"/>
    <w:rsid w:val="00A912F1"/>
    <w:rsid w:val="00A91320"/>
    <w:rsid w:val="00A91881"/>
    <w:rsid w:val="00A9193A"/>
    <w:rsid w:val="00A91D0D"/>
    <w:rsid w:val="00A92A06"/>
    <w:rsid w:val="00A92F19"/>
    <w:rsid w:val="00A92F1C"/>
    <w:rsid w:val="00A92FA3"/>
    <w:rsid w:val="00A930D9"/>
    <w:rsid w:val="00A938AE"/>
    <w:rsid w:val="00A938EA"/>
    <w:rsid w:val="00A93EA3"/>
    <w:rsid w:val="00A9405D"/>
    <w:rsid w:val="00A944F3"/>
    <w:rsid w:val="00A9451F"/>
    <w:rsid w:val="00A94CBD"/>
    <w:rsid w:val="00A9552F"/>
    <w:rsid w:val="00A9577D"/>
    <w:rsid w:val="00A95B69"/>
    <w:rsid w:val="00A96702"/>
    <w:rsid w:val="00A9695F"/>
    <w:rsid w:val="00A969A5"/>
    <w:rsid w:val="00A97291"/>
    <w:rsid w:val="00A976F6"/>
    <w:rsid w:val="00A97860"/>
    <w:rsid w:val="00A97C91"/>
    <w:rsid w:val="00AA0069"/>
    <w:rsid w:val="00AA031E"/>
    <w:rsid w:val="00AA03B0"/>
    <w:rsid w:val="00AA0893"/>
    <w:rsid w:val="00AA0D76"/>
    <w:rsid w:val="00AA12C4"/>
    <w:rsid w:val="00AA1E53"/>
    <w:rsid w:val="00AA201F"/>
    <w:rsid w:val="00AA2021"/>
    <w:rsid w:val="00AA229D"/>
    <w:rsid w:val="00AA22BC"/>
    <w:rsid w:val="00AA22F2"/>
    <w:rsid w:val="00AA25E6"/>
    <w:rsid w:val="00AA2831"/>
    <w:rsid w:val="00AA30CC"/>
    <w:rsid w:val="00AA311D"/>
    <w:rsid w:val="00AA3391"/>
    <w:rsid w:val="00AA3555"/>
    <w:rsid w:val="00AA3587"/>
    <w:rsid w:val="00AA3937"/>
    <w:rsid w:val="00AA3DB3"/>
    <w:rsid w:val="00AA3FF0"/>
    <w:rsid w:val="00AA46E0"/>
    <w:rsid w:val="00AA4F87"/>
    <w:rsid w:val="00AA6018"/>
    <w:rsid w:val="00AA614B"/>
    <w:rsid w:val="00AA67E4"/>
    <w:rsid w:val="00AA7124"/>
    <w:rsid w:val="00AA7932"/>
    <w:rsid w:val="00AA7977"/>
    <w:rsid w:val="00AA7AD2"/>
    <w:rsid w:val="00AB018B"/>
    <w:rsid w:val="00AB14C6"/>
    <w:rsid w:val="00AB1CCD"/>
    <w:rsid w:val="00AB2005"/>
    <w:rsid w:val="00AB231E"/>
    <w:rsid w:val="00AB2364"/>
    <w:rsid w:val="00AB2ACD"/>
    <w:rsid w:val="00AB2DBC"/>
    <w:rsid w:val="00AB332F"/>
    <w:rsid w:val="00AB356C"/>
    <w:rsid w:val="00AB3C4D"/>
    <w:rsid w:val="00AB3EF0"/>
    <w:rsid w:val="00AB430B"/>
    <w:rsid w:val="00AB54AD"/>
    <w:rsid w:val="00AB5880"/>
    <w:rsid w:val="00AB5AA3"/>
    <w:rsid w:val="00AB5AE1"/>
    <w:rsid w:val="00AB63F3"/>
    <w:rsid w:val="00AB6517"/>
    <w:rsid w:val="00AB7288"/>
    <w:rsid w:val="00AC0375"/>
    <w:rsid w:val="00AC047B"/>
    <w:rsid w:val="00AC0774"/>
    <w:rsid w:val="00AC0846"/>
    <w:rsid w:val="00AC1B3E"/>
    <w:rsid w:val="00AC1F17"/>
    <w:rsid w:val="00AC20C3"/>
    <w:rsid w:val="00AC2328"/>
    <w:rsid w:val="00AC2A87"/>
    <w:rsid w:val="00AC2E2F"/>
    <w:rsid w:val="00AC35A7"/>
    <w:rsid w:val="00AC3A7D"/>
    <w:rsid w:val="00AC3B3B"/>
    <w:rsid w:val="00AC3D05"/>
    <w:rsid w:val="00AC3DAD"/>
    <w:rsid w:val="00AC40C0"/>
    <w:rsid w:val="00AC4F2C"/>
    <w:rsid w:val="00AC4FF3"/>
    <w:rsid w:val="00AC5A56"/>
    <w:rsid w:val="00AC6055"/>
    <w:rsid w:val="00AC60EA"/>
    <w:rsid w:val="00AC7854"/>
    <w:rsid w:val="00AD04DF"/>
    <w:rsid w:val="00AD0555"/>
    <w:rsid w:val="00AD0833"/>
    <w:rsid w:val="00AD0891"/>
    <w:rsid w:val="00AD213C"/>
    <w:rsid w:val="00AD2D65"/>
    <w:rsid w:val="00AD304F"/>
    <w:rsid w:val="00AD31DE"/>
    <w:rsid w:val="00AD3312"/>
    <w:rsid w:val="00AD3379"/>
    <w:rsid w:val="00AD3836"/>
    <w:rsid w:val="00AD39B8"/>
    <w:rsid w:val="00AD3F95"/>
    <w:rsid w:val="00AD412C"/>
    <w:rsid w:val="00AD4AC2"/>
    <w:rsid w:val="00AD5A18"/>
    <w:rsid w:val="00AD5E68"/>
    <w:rsid w:val="00AD6478"/>
    <w:rsid w:val="00AD6768"/>
    <w:rsid w:val="00AD7016"/>
    <w:rsid w:val="00AD70A6"/>
    <w:rsid w:val="00AD73D3"/>
    <w:rsid w:val="00AD7544"/>
    <w:rsid w:val="00AD7583"/>
    <w:rsid w:val="00AD79DD"/>
    <w:rsid w:val="00AD7D72"/>
    <w:rsid w:val="00AE0645"/>
    <w:rsid w:val="00AE0840"/>
    <w:rsid w:val="00AE0C9A"/>
    <w:rsid w:val="00AE0E51"/>
    <w:rsid w:val="00AE1740"/>
    <w:rsid w:val="00AE2623"/>
    <w:rsid w:val="00AE4819"/>
    <w:rsid w:val="00AE4B55"/>
    <w:rsid w:val="00AE4DBE"/>
    <w:rsid w:val="00AE513D"/>
    <w:rsid w:val="00AE5AC1"/>
    <w:rsid w:val="00AE5B31"/>
    <w:rsid w:val="00AE5FA7"/>
    <w:rsid w:val="00AE616C"/>
    <w:rsid w:val="00AE6C31"/>
    <w:rsid w:val="00AE70EB"/>
    <w:rsid w:val="00AF05AF"/>
    <w:rsid w:val="00AF12D7"/>
    <w:rsid w:val="00AF13C0"/>
    <w:rsid w:val="00AF1A0A"/>
    <w:rsid w:val="00AF1F03"/>
    <w:rsid w:val="00AF2760"/>
    <w:rsid w:val="00AF35D2"/>
    <w:rsid w:val="00AF3C07"/>
    <w:rsid w:val="00AF415E"/>
    <w:rsid w:val="00AF4215"/>
    <w:rsid w:val="00AF464D"/>
    <w:rsid w:val="00AF49AB"/>
    <w:rsid w:val="00AF4B15"/>
    <w:rsid w:val="00AF4CE1"/>
    <w:rsid w:val="00AF594B"/>
    <w:rsid w:val="00AF5C56"/>
    <w:rsid w:val="00AF6897"/>
    <w:rsid w:val="00AF6E5A"/>
    <w:rsid w:val="00AF6EEC"/>
    <w:rsid w:val="00B000C1"/>
    <w:rsid w:val="00B000D7"/>
    <w:rsid w:val="00B00A72"/>
    <w:rsid w:val="00B00C9F"/>
    <w:rsid w:val="00B00CF5"/>
    <w:rsid w:val="00B00D1B"/>
    <w:rsid w:val="00B011AE"/>
    <w:rsid w:val="00B01EA8"/>
    <w:rsid w:val="00B020B3"/>
    <w:rsid w:val="00B020D8"/>
    <w:rsid w:val="00B02142"/>
    <w:rsid w:val="00B022A2"/>
    <w:rsid w:val="00B02DBE"/>
    <w:rsid w:val="00B02E74"/>
    <w:rsid w:val="00B03220"/>
    <w:rsid w:val="00B03E38"/>
    <w:rsid w:val="00B043A5"/>
    <w:rsid w:val="00B04984"/>
    <w:rsid w:val="00B049CE"/>
    <w:rsid w:val="00B04C92"/>
    <w:rsid w:val="00B05373"/>
    <w:rsid w:val="00B05C7D"/>
    <w:rsid w:val="00B0626E"/>
    <w:rsid w:val="00B0661A"/>
    <w:rsid w:val="00B07792"/>
    <w:rsid w:val="00B102FC"/>
    <w:rsid w:val="00B10328"/>
    <w:rsid w:val="00B1074D"/>
    <w:rsid w:val="00B10F94"/>
    <w:rsid w:val="00B1182B"/>
    <w:rsid w:val="00B11D7B"/>
    <w:rsid w:val="00B1311E"/>
    <w:rsid w:val="00B1348C"/>
    <w:rsid w:val="00B137E0"/>
    <w:rsid w:val="00B1386B"/>
    <w:rsid w:val="00B13A7E"/>
    <w:rsid w:val="00B14161"/>
    <w:rsid w:val="00B1550D"/>
    <w:rsid w:val="00B15718"/>
    <w:rsid w:val="00B16874"/>
    <w:rsid w:val="00B170C3"/>
    <w:rsid w:val="00B17230"/>
    <w:rsid w:val="00B1737F"/>
    <w:rsid w:val="00B20D67"/>
    <w:rsid w:val="00B238C9"/>
    <w:rsid w:val="00B23B87"/>
    <w:rsid w:val="00B23BE0"/>
    <w:rsid w:val="00B24179"/>
    <w:rsid w:val="00B24CFA"/>
    <w:rsid w:val="00B25020"/>
    <w:rsid w:val="00B257DE"/>
    <w:rsid w:val="00B25A8F"/>
    <w:rsid w:val="00B25E30"/>
    <w:rsid w:val="00B25EDA"/>
    <w:rsid w:val="00B2639B"/>
    <w:rsid w:val="00B267DD"/>
    <w:rsid w:val="00B26A28"/>
    <w:rsid w:val="00B26E29"/>
    <w:rsid w:val="00B3007F"/>
    <w:rsid w:val="00B31D8F"/>
    <w:rsid w:val="00B3252E"/>
    <w:rsid w:val="00B3263D"/>
    <w:rsid w:val="00B3344D"/>
    <w:rsid w:val="00B349AE"/>
    <w:rsid w:val="00B34B70"/>
    <w:rsid w:val="00B34EA3"/>
    <w:rsid w:val="00B34EA9"/>
    <w:rsid w:val="00B35435"/>
    <w:rsid w:val="00B354BC"/>
    <w:rsid w:val="00B355D7"/>
    <w:rsid w:val="00B35649"/>
    <w:rsid w:val="00B3641E"/>
    <w:rsid w:val="00B37019"/>
    <w:rsid w:val="00B37EDC"/>
    <w:rsid w:val="00B40195"/>
    <w:rsid w:val="00B40217"/>
    <w:rsid w:val="00B40642"/>
    <w:rsid w:val="00B41DF7"/>
    <w:rsid w:val="00B4234E"/>
    <w:rsid w:val="00B43602"/>
    <w:rsid w:val="00B436A0"/>
    <w:rsid w:val="00B43C56"/>
    <w:rsid w:val="00B43F6E"/>
    <w:rsid w:val="00B440CA"/>
    <w:rsid w:val="00B4444A"/>
    <w:rsid w:val="00B44A04"/>
    <w:rsid w:val="00B450E3"/>
    <w:rsid w:val="00B45295"/>
    <w:rsid w:val="00B456EB"/>
    <w:rsid w:val="00B45746"/>
    <w:rsid w:val="00B461E2"/>
    <w:rsid w:val="00B468CE"/>
    <w:rsid w:val="00B47117"/>
    <w:rsid w:val="00B4725D"/>
    <w:rsid w:val="00B47474"/>
    <w:rsid w:val="00B47E1A"/>
    <w:rsid w:val="00B503D0"/>
    <w:rsid w:val="00B50A4A"/>
    <w:rsid w:val="00B50FD4"/>
    <w:rsid w:val="00B514DA"/>
    <w:rsid w:val="00B52286"/>
    <w:rsid w:val="00B528CA"/>
    <w:rsid w:val="00B530C6"/>
    <w:rsid w:val="00B53967"/>
    <w:rsid w:val="00B53CA6"/>
    <w:rsid w:val="00B53E98"/>
    <w:rsid w:val="00B54126"/>
    <w:rsid w:val="00B541B6"/>
    <w:rsid w:val="00B542F9"/>
    <w:rsid w:val="00B54941"/>
    <w:rsid w:val="00B54BB6"/>
    <w:rsid w:val="00B561A1"/>
    <w:rsid w:val="00B5621B"/>
    <w:rsid w:val="00B5628D"/>
    <w:rsid w:val="00B562AE"/>
    <w:rsid w:val="00B565EC"/>
    <w:rsid w:val="00B5684E"/>
    <w:rsid w:val="00B56ED5"/>
    <w:rsid w:val="00B573F6"/>
    <w:rsid w:val="00B575AB"/>
    <w:rsid w:val="00B5797E"/>
    <w:rsid w:val="00B57AF5"/>
    <w:rsid w:val="00B601EF"/>
    <w:rsid w:val="00B603E8"/>
    <w:rsid w:val="00B61561"/>
    <w:rsid w:val="00B62568"/>
    <w:rsid w:val="00B626D1"/>
    <w:rsid w:val="00B632D9"/>
    <w:rsid w:val="00B639F8"/>
    <w:rsid w:val="00B639FE"/>
    <w:rsid w:val="00B644CC"/>
    <w:rsid w:val="00B649FE"/>
    <w:rsid w:val="00B65C75"/>
    <w:rsid w:val="00B666AC"/>
    <w:rsid w:val="00B66867"/>
    <w:rsid w:val="00B67857"/>
    <w:rsid w:val="00B67AB9"/>
    <w:rsid w:val="00B706CD"/>
    <w:rsid w:val="00B7131D"/>
    <w:rsid w:val="00B71C37"/>
    <w:rsid w:val="00B724C1"/>
    <w:rsid w:val="00B72F64"/>
    <w:rsid w:val="00B731EC"/>
    <w:rsid w:val="00B73C1C"/>
    <w:rsid w:val="00B743C8"/>
    <w:rsid w:val="00B74E5D"/>
    <w:rsid w:val="00B75338"/>
    <w:rsid w:val="00B75A4D"/>
    <w:rsid w:val="00B75BFC"/>
    <w:rsid w:val="00B76C3A"/>
    <w:rsid w:val="00B77042"/>
    <w:rsid w:val="00B774C4"/>
    <w:rsid w:val="00B77580"/>
    <w:rsid w:val="00B77699"/>
    <w:rsid w:val="00B77B31"/>
    <w:rsid w:val="00B8163F"/>
    <w:rsid w:val="00B81BC8"/>
    <w:rsid w:val="00B81DE3"/>
    <w:rsid w:val="00B8217C"/>
    <w:rsid w:val="00B8230B"/>
    <w:rsid w:val="00B82714"/>
    <w:rsid w:val="00B82855"/>
    <w:rsid w:val="00B82FF3"/>
    <w:rsid w:val="00B84072"/>
    <w:rsid w:val="00B841BB"/>
    <w:rsid w:val="00B84951"/>
    <w:rsid w:val="00B85AE2"/>
    <w:rsid w:val="00B86F5F"/>
    <w:rsid w:val="00B872B6"/>
    <w:rsid w:val="00B87515"/>
    <w:rsid w:val="00B903DA"/>
    <w:rsid w:val="00B9045B"/>
    <w:rsid w:val="00B912BB"/>
    <w:rsid w:val="00B915E7"/>
    <w:rsid w:val="00B91679"/>
    <w:rsid w:val="00B918EF"/>
    <w:rsid w:val="00B92982"/>
    <w:rsid w:val="00B92E84"/>
    <w:rsid w:val="00B934ED"/>
    <w:rsid w:val="00B93EA3"/>
    <w:rsid w:val="00B9409F"/>
    <w:rsid w:val="00B9442B"/>
    <w:rsid w:val="00B95165"/>
    <w:rsid w:val="00B9590C"/>
    <w:rsid w:val="00B95C2E"/>
    <w:rsid w:val="00B96272"/>
    <w:rsid w:val="00B96415"/>
    <w:rsid w:val="00B96993"/>
    <w:rsid w:val="00BA007E"/>
    <w:rsid w:val="00BA0087"/>
    <w:rsid w:val="00BA00C6"/>
    <w:rsid w:val="00BA02F8"/>
    <w:rsid w:val="00BA1A32"/>
    <w:rsid w:val="00BA1AA5"/>
    <w:rsid w:val="00BA1CE2"/>
    <w:rsid w:val="00BA20BE"/>
    <w:rsid w:val="00BA23B5"/>
    <w:rsid w:val="00BA260E"/>
    <w:rsid w:val="00BA29E1"/>
    <w:rsid w:val="00BA31B5"/>
    <w:rsid w:val="00BA337C"/>
    <w:rsid w:val="00BA3BB8"/>
    <w:rsid w:val="00BA3D8D"/>
    <w:rsid w:val="00BA3DEB"/>
    <w:rsid w:val="00BA4042"/>
    <w:rsid w:val="00BA4102"/>
    <w:rsid w:val="00BA4230"/>
    <w:rsid w:val="00BA438F"/>
    <w:rsid w:val="00BA45A5"/>
    <w:rsid w:val="00BA5B6E"/>
    <w:rsid w:val="00BA5BCA"/>
    <w:rsid w:val="00BA5FF0"/>
    <w:rsid w:val="00BA6340"/>
    <w:rsid w:val="00BA68A3"/>
    <w:rsid w:val="00BA71D6"/>
    <w:rsid w:val="00BA727B"/>
    <w:rsid w:val="00BA7340"/>
    <w:rsid w:val="00BA7D8E"/>
    <w:rsid w:val="00BB052A"/>
    <w:rsid w:val="00BB0789"/>
    <w:rsid w:val="00BB0BF5"/>
    <w:rsid w:val="00BB0E49"/>
    <w:rsid w:val="00BB139B"/>
    <w:rsid w:val="00BB3EEC"/>
    <w:rsid w:val="00BB49E2"/>
    <w:rsid w:val="00BB4DFE"/>
    <w:rsid w:val="00BB5543"/>
    <w:rsid w:val="00BB5D7D"/>
    <w:rsid w:val="00BB6222"/>
    <w:rsid w:val="00BB640E"/>
    <w:rsid w:val="00BB6DA3"/>
    <w:rsid w:val="00BB7B93"/>
    <w:rsid w:val="00BB7EF3"/>
    <w:rsid w:val="00BB7F19"/>
    <w:rsid w:val="00BC024F"/>
    <w:rsid w:val="00BC0E83"/>
    <w:rsid w:val="00BC0F96"/>
    <w:rsid w:val="00BC12D3"/>
    <w:rsid w:val="00BC1BFA"/>
    <w:rsid w:val="00BC2127"/>
    <w:rsid w:val="00BC297D"/>
    <w:rsid w:val="00BC2A4C"/>
    <w:rsid w:val="00BC2B34"/>
    <w:rsid w:val="00BC31D0"/>
    <w:rsid w:val="00BC3212"/>
    <w:rsid w:val="00BC33F4"/>
    <w:rsid w:val="00BC37F6"/>
    <w:rsid w:val="00BC454A"/>
    <w:rsid w:val="00BC458C"/>
    <w:rsid w:val="00BC5271"/>
    <w:rsid w:val="00BC5321"/>
    <w:rsid w:val="00BC54F5"/>
    <w:rsid w:val="00BC5F80"/>
    <w:rsid w:val="00BC609A"/>
    <w:rsid w:val="00BC63AE"/>
    <w:rsid w:val="00BC6724"/>
    <w:rsid w:val="00BC6E0D"/>
    <w:rsid w:val="00BC7625"/>
    <w:rsid w:val="00BC7F27"/>
    <w:rsid w:val="00BD0225"/>
    <w:rsid w:val="00BD040B"/>
    <w:rsid w:val="00BD06E0"/>
    <w:rsid w:val="00BD0AC0"/>
    <w:rsid w:val="00BD0C52"/>
    <w:rsid w:val="00BD0DAF"/>
    <w:rsid w:val="00BD0F13"/>
    <w:rsid w:val="00BD13EE"/>
    <w:rsid w:val="00BD1F63"/>
    <w:rsid w:val="00BD28A5"/>
    <w:rsid w:val="00BD2E27"/>
    <w:rsid w:val="00BD55A4"/>
    <w:rsid w:val="00BD7F23"/>
    <w:rsid w:val="00BE0582"/>
    <w:rsid w:val="00BE06AA"/>
    <w:rsid w:val="00BE0992"/>
    <w:rsid w:val="00BE0B1E"/>
    <w:rsid w:val="00BE1406"/>
    <w:rsid w:val="00BE14A6"/>
    <w:rsid w:val="00BE162B"/>
    <w:rsid w:val="00BE21DF"/>
    <w:rsid w:val="00BE258F"/>
    <w:rsid w:val="00BE2841"/>
    <w:rsid w:val="00BE29F8"/>
    <w:rsid w:val="00BE3093"/>
    <w:rsid w:val="00BE31DF"/>
    <w:rsid w:val="00BE3686"/>
    <w:rsid w:val="00BE3E5E"/>
    <w:rsid w:val="00BE3FFC"/>
    <w:rsid w:val="00BE4049"/>
    <w:rsid w:val="00BE40BA"/>
    <w:rsid w:val="00BE4316"/>
    <w:rsid w:val="00BE4B38"/>
    <w:rsid w:val="00BE4EC1"/>
    <w:rsid w:val="00BE5E47"/>
    <w:rsid w:val="00BE60AB"/>
    <w:rsid w:val="00BE65FD"/>
    <w:rsid w:val="00BE6B5B"/>
    <w:rsid w:val="00BE6ECC"/>
    <w:rsid w:val="00BE6F43"/>
    <w:rsid w:val="00BE742A"/>
    <w:rsid w:val="00BF0236"/>
    <w:rsid w:val="00BF02C9"/>
    <w:rsid w:val="00BF0A17"/>
    <w:rsid w:val="00BF1552"/>
    <w:rsid w:val="00BF1585"/>
    <w:rsid w:val="00BF1B3A"/>
    <w:rsid w:val="00BF1CB4"/>
    <w:rsid w:val="00BF1D41"/>
    <w:rsid w:val="00BF30AA"/>
    <w:rsid w:val="00BF3544"/>
    <w:rsid w:val="00BF41D1"/>
    <w:rsid w:val="00BF4219"/>
    <w:rsid w:val="00BF45FF"/>
    <w:rsid w:val="00BF48FF"/>
    <w:rsid w:val="00BF49B5"/>
    <w:rsid w:val="00BF500E"/>
    <w:rsid w:val="00BF61E8"/>
    <w:rsid w:val="00BF6932"/>
    <w:rsid w:val="00BF6A1A"/>
    <w:rsid w:val="00BF7317"/>
    <w:rsid w:val="00BF7580"/>
    <w:rsid w:val="00BF79E1"/>
    <w:rsid w:val="00C00270"/>
    <w:rsid w:val="00C00319"/>
    <w:rsid w:val="00C003B7"/>
    <w:rsid w:val="00C005FB"/>
    <w:rsid w:val="00C00DA8"/>
    <w:rsid w:val="00C00EA7"/>
    <w:rsid w:val="00C02A24"/>
    <w:rsid w:val="00C02FC1"/>
    <w:rsid w:val="00C046C2"/>
    <w:rsid w:val="00C05B91"/>
    <w:rsid w:val="00C06BCB"/>
    <w:rsid w:val="00C0732C"/>
    <w:rsid w:val="00C078DB"/>
    <w:rsid w:val="00C108DC"/>
    <w:rsid w:val="00C10BFA"/>
    <w:rsid w:val="00C114A4"/>
    <w:rsid w:val="00C114F5"/>
    <w:rsid w:val="00C11CAD"/>
    <w:rsid w:val="00C123BA"/>
    <w:rsid w:val="00C123EC"/>
    <w:rsid w:val="00C1266E"/>
    <w:rsid w:val="00C12E2D"/>
    <w:rsid w:val="00C1365C"/>
    <w:rsid w:val="00C13CE6"/>
    <w:rsid w:val="00C13E4C"/>
    <w:rsid w:val="00C144DC"/>
    <w:rsid w:val="00C14FC0"/>
    <w:rsid w:val="00C154CD"/>
    <w:rsid w:val="00C15B37"/>
    <w:rsid w:val="00C15C60"/>
    <w:rsid w:val="00C16191"/>
    <w:rsid w:val="00C164B4"/>
    <w:rsid w:val="00C16BC2"/>
    <w:rsid w:val="00C1721C"/>
    <w:rsid w:val="00C178C7"/>
    <w:rsid w:val="00C1791C"/>
    <w:rsid w:val="00C17ACA"/>
    <w:rsid w:val="00C2022C"/>
    <w:rsid w:val="00C207A5"/>
    <w:rsid w:val="00C209AF"/>
    <w:rsid w:val="00C20BDD"/>
    <w:rsid w:val="00C21104"/>
    <w:rsid w:val="00C2166A"/>
    <w:rsid w:val="00C2166F"/>
    <w:rsid w:val="00C21A93"/>
    <w:rsid w:val="00C21AE1"/>
    <w:rsid w:val="00C23C23"/>
    <w:rsid w:val="00C240EF"/>
    <w:rsid w:val="00C24307"/>
    <w:rsid w:val="00C24A2F"/>
    <w:rsid w:val="00C24C1D"/>
    <w:rsid w:val="00C24CD1"/>
    <w:rsid w:val="00C24E33"/>
    <w:rsid w:val="00C25559"/>
    <w:rsid w:val="00C25D8A"/>
    <w:rsid w:val="00C25E1E"/>
    <w:rsid w:val="00C25EE9"/>
    <w:rsid w:val="00C26978"/>
    <w:rsid w:val="00C26A4C"/>
    <w:rsid w:val="00C26B96"/>
    <w:rsid w:val="00C31217"/>
    <w:rsid w:val="00C31BCC"/>
    <w:rsid w:val="00C31FAB"/>
    <w:rsid w:val="00C3216A"/>
    <w:rsid w:val="00C32F8C"/>
    <w:rsid w:val="00C331F1"/>
    <w:rsid w:val="00C333C8"/>
    <w:rsid w:val="00C33948"/>
    <w:rsid w:val="00C33E58"/>
    <w:rsid w:val="00C33FE1"/>
    <w:rsid w:val="00C34009"/>
    <w:rsid w:val="00C34783"/>
    <w:rsid w:val="00C34982"/>
    <w:rsid w:val="00C36568"/>
    <w:rsid w:val="00C369CD"/>
    <w:rsid w:val="00C36D42"/>
    <w:rsid w:val="00C36E18"/>
    <w:rsid w:val="00C37ADB"/>
    <w:rsid w:val="00C37DD4"/>
    <w:rsid w:val="00C40D56"/>
    <w:rsid w:val="00C40F47"/>
    <w:rsid w:val="00C418A6"/>
    <w:rsid w:val="00C418EC"/>
    <w:rsid w:val="00C421C6"/>
    <w:rsid w:val="00C42511"/>
    <w:rsid w:val="00C42999"/>
    <w:rsid w:val="00C43017"/>
    <w:rsid w:val="00C432C6"/>
    <w:rsid w:val="00C43A8F"/>
    <w:rsid w:val="00C44FAE"/>
    <w:rsid w:val="00C459B5"/>
    <w:rsid w:val="00C45B20"/>
    <w:rsid w:val="00C45EAF"/>
    <w:rsid w:val="00C46005"/>
    <w:rsid w:val="00C467E1"/>
    <w:rsid w:val="00C4769C"/>
    <w:rsid w:val="00C477C9"/>
    <w:rsid w:val="00C50649"/>
    <w:rsid w:val="00C50703"/>
    <w:rsid w:val="00C51BB3"/>
    <w:rsid w:val="00C51EE7"/>
    <w:rsid w:val="00C5209C"/>
    <w:rsid w:val="00C52349"/>
    <w:rsid w:val="00C52DF8"/>
    <w:rsid w:val="00C52E9C"/>
    <w:rsid w:val="00C539D4"/>
    <w:rsid w:val="00C54DE0"/>
    <w:rsid w:val="00C552CA"/>
    <w:rsid w:val="00C553F6"/>
    <w:rsid w:val="00C56176"/>
    <w:rsid w:val="00C57CF2"/>
    <w:rsid w:val="00C60584"/>
    <w:rsid w:val="00C615A4"/>
    <w:rsid w:val="00C61C61"/>
    <w:rsid w:val="00C62163"/>
    <w:rsid w:val="00C62ADF"/>
    <w:rsid w:val="00C63088"/>
    <w:rsid w:val="00C63294"/>
    <w:rsid w:val="00C63369"/>
    <w:rsid w:val="00C63395"/>
    <w:rsid w:val="00C63A8A"/>
    <w:rsid w:val="00C63CE6"/>
    <w:rsid w:val="00C64CFD"/>
    <w:rsid w:val="00C65127"/>
    <w:rsid w:val="00C659E0"/>
    <w:rsid w:val="00C664B0"/>
    <w:rsid w:val="00C66BF4"/>
    <w:rsid w:val="00C66CE3"/>
    <w:rsid w:val="00C677DC"/>
    <w:rsid w:val="00C704C5"/>
    <w:rsid w:val="00C70C55"/>
    <w:rsid w:val="00C70E49"/>
    <w:rsid w:val="00C715CF"/>
    <w:rsid w:val="00C719EF"/>
    <w:rsid w:val="00C72020"/>
    <w:rsid w:val="00C7221E"/>
    <w:rsid w:val="00C72732"/>
    <w:rsid w:val="00C729FF"/>
    <w:rsid w:val="00C72A83"/>
    <w:rsid w:val="00C73554"/>
    <w:rsid w:val="00C740FF"/>
    <w:rsid w:val="00C74C5A"/>
    <w:rsid w:val="00C74D92"/>
    <w:rsid w:val="00C752F7"/>
    <w:rsid w:val="00C760A0"/>
    <w:rsid w:val="00C769A6"/>
    <w:rsid w:val="00C7711A"/>
    <w:rsid w:val="00C77380"/>
    <w:rsid w:val="00C77608"/>
    <w:rsid w:val="00C77743"/>
    <w:rsid w:val="00C8060E"/>
    <w:rsid w:val="00C806BB"/>
    <w:rsid w:val="00C80B24"/>
    <w:rsid w:val="00C81328"/>
    <w:rsid w:val="00C813C1"/>
    <w:rsid w:val="00C81683"/>
    <w:rsid w:val="00C82217"/>
    <w:rsid w:val="00C8331E"/>
    <w:rsid w:val="00C83DAC"/>
    <w:rsid w:val="00C840DF"/>
    <w:rsid w:val="00C84432"/>
    <w:rsid w:val="00C853DB"/>
    <w:rsid w:val="00C856FF"/>
    <w:rsid w:val="00C85837"/>
    <w:rsid w:val="00C87161"/>
    <w:rsid w:val="00C87F08"/>
    <w:rsid w:val="00C9044A"/>
    <w:rsid w:val="00C904E8"/>
    <w:rsid w:val="00C90FA6"/>
    <w:rsid w:val="00C90FBD"/>
    <w:rsid w:val="00C91731"/>
    <w:rsid w:val="00C9178E"/>
    <w:rsid w:val="00C91B34"/>
    <w:rsid w:val="00C9307E"/>
    <w:rsid w:val="00C93C39"/>
    <w:rsid w:val="00C93E45"/>
    <w:rsid w:val="00C93EF2"/>
    <w:rsid w:val="00C94008"/>
    <w:rsid w:val="00C947BB"/>
    <w:rsid w:val="00C94A6C"/>
    <w:rsid w:val="00C94E2F"/>
    <w:rsid w:val="00C96088"/>
    <w:rsid w:val="00C964E7"/>
    <w:rsid w:val="00C96C52"/>
    <w:rsid w:val="00C97C8D"/>
    <w:rsid w:val="00CA1597"/>
    <w:rsid w:val="00CA1BAD"/>
    <w:rsid w:val="00CA2AE4"/>
    <w:rsid w:val="00CA3147"/>
    <w:rsid w:val="00CA358B"/>
    <w:rsid w:val="00CA4510"/>
    <w:rsid w:val="00CA47CC"/>
    <w:rsid w:val="00CA4877"/>
    <w:rsid w:val="00CA4D35"/>
    <w:rsid w:val="00CA55BE"/>
    <w:rsid w:val="00CA5BD0"/>
    <w:rsid w:val="00CA605C"/>
    <w:rsid w:val="00CA6164"/>
    <w:rsid w:val="00CA66CB"/>
    <w:rsid w:val="00CA6C81"/>
    <w:rsid w:val="00CA6F10"/>
    <w:rsid w:val="00CA76DB"/>
    <w:rsid w:val="00CA77CB"/>
    <w:rsid w:val="00CA7F4A"/>
    <w:rsid w:val="00CB028D"/>
    <w:rsid w:val="00CB1B93"/>
    <w:rsid w:val="00CB2721"/>
    <w:rsid w:val="00CB3461"/>
    <w:rsid w:val="00CB3C0F"/>
    <w:rsid w:val="00CB3E29"/>
    <w:rsid w:val="00CB3EEC"/>
    <w:rsid w:val="00CB3F67"/>
    <w:rsid w:val="00CB415F"/>
    <w:rsid w:val="00CB4882"/>
    <w:rsid w:val="00CB5282"/>
    <w:rsid w:val="00CB719F"/>
    <w:rsid w:val="00CB73D0"/>
    <w:rsid w:val="00CB7442"/>
    <w:rsid w:val="00CB7477"/>
    <w:rsid w:val="00CB753D"/>
    <w:rsid w:val="00CB7FFB"/>
    <w:rsid w:val="00CC093A"/>
    <w:rsid w:val="00CC284A"/>
    <w:rsid w:val="00CC2CBB"/>
    <w:rsid w:val="00CC2F84"/>
    <w:rsid w:val="00CC34B4"/>
    <w:rsid w:val="00CC3D43"/>
    <w:rsid w:val="00CC4162"/>
    <w:rsid w:val="00CC508E"/>
    <w:rsid w:val="00CC5B33"/>
    <w:rsid w:val="00CC5F53"/>
    <w:rsid w:val="00CC6527"/>
    <w:rsid w:val="00CC6779"/>
    <w:rsid w:val="00CC67AF"/>
    <w:rsid w:val="00CC696D"/>
    <w:rsid w:val="00CC6C03"/>
    <w:rsid w:val="00CC752F"/>
    <w:rsid w:val="00CD03E0"/>
    <w:rsid w:val="00CD048E"/>
    <w:rsid w:val="00CD0A90"/>
    <w:rsid w:val="00CD2694"/>
    <w:rsid w:val="00CD38B1"/>
    <w:rsid w:val="00CD3AF1"/>
    <w:rsid w:val="00CD3D04"/>
    <w:rsid w:val="00CD3D96"/>
    <w:rsid w:val="00CD4216"/>
    <w:rsid w:val="00CD4326"/>
    <w:rsid w:val="00CD45AC"/>
    <w:rsid w:val="00CD4B3F"/>
    <w:rsid w:val="00CD4C6C"/>
    <w:rsid w:val="00CD53C9"/>
    <w:rsid w:val="00CD574E"/>
    <w:rsid w:val="00CD6DB2"/>
    <w:rsid w:val="00CD7FDF"/>
    <w:rsid w:val="00CE0116"/>
    <w:rsid w:val="00CE0229"/>
    <w:rsid w:val="00CE032F"/>
    <w:rsid w:val="00CE1719"/>
    <w:rsid w:val="00CE1906"/>
    <w:rsid w:val="00CE1E75"/>
    <w:rsid w:val="00CE2246"/>
    <w:rsid w:val="00CE263F"/>
    <w:rsid w:val="00CE279C"/>
    <w:rsid w:val="00CE301B"/>
    <w:rsid w:val="00CE30C9"/>
    <w:rsid w:val="00CE379E"/>
    <w:rsid w:val="00CE37A0"/>
    <w:rsid w:val="00CE4703"/>
    <w:rsid w:val="00CE485E"/>
    <w:rsid w:val="00CE5236"/>
    <w:rsid w:val="00CE54AE"/>
    <w:rsid w:val="00CE585C"/>
    <w:rsid w:val="00CE5B1E"/>
    <w:rsid w:val="00CE5DFC"/>
    <w:rsid w:val="00CE6482"/>
    <w:rsid w:val="00CE64A8"/>
    <w:rsid w:val="00CE74BC"/>
    <w:rsid w:val="00CE7DA8"/>
    <w:rsid w:val="00CF0300"/>
    <w:rsid w:val="00CF0470"/>
    <w:rsid w:val="00CF1E93"/>
    <w:rsid w:val="00CF36A4"/>
    <w:rsid w:val="00CF4B13"/>
    <w:rsid w:val="00CF50D1"/>
    <w:rsid w:val="00CF5A18"/>
    <w:rsid w:val="00CF5F6D"/>
    <w:rsid w:val="00CF66E4"/>
    <w:rsid w:val="00CF6F84"/>
    <w:rsid w:val="00CF7A9C"/>
    <w:rsid w:val="00CF7AAB"/>
    <w:rsid w:val="00CF7AD0"/>
    <w:rsid w:val="00CF7F53"/>
    <w:rsid w:val="00D0028A"/>
    <w:rsid w:val="00D008D3"/>
    <w:rsid w:val="00D00D7E"/>
    <w:rsid w:val="00D01C09"/>
    <w:rsid w:val="00D01C88"/>
    <w:rsid w:val="00D01EB2"/>
    <w:rsid w:val="00D02362"/>
    <w:rsid w:val="00D02432"/>
    <w:rsid w:val="00D0268D"/>
    <w:rsid w:val="00D03202"/>
    <w:rsid w:val="00D0326F"/>
    <w:rsid w:val="00D035EE"/>
    <w:rsid w:val="00D037DE"/>
    <w:rsid w:val="00D03B87"/>
    <w:rsid w:val="00D04628"/>
    <w:rsid w:val="00D04A81"/>
    <w:rsid w:val="00D04E9D"/>
    <w:rsid w:val="00D05077"/>
    <w:rsid w:val="00D0545E"/>
    <w:rsid w:val="00D05662"/>
    <w:rsid w:val="00D05732"/>
    <w:rsid w:val="00D05EA2"/>
    <w:rsid w:val="00D06B06"/>
    <w:rsid w:val="00D07010"/>
    <w:rsid w:val="00D07098"/>
    <w:rsid w:val="00D070B2"/>
    <w:rsid w:val="00D071C8"/>
    <w:rsid w:val="00D07DE7"/>
    <w:rsid w:val="00D101F0"/>
    <w:rsid w:val="00D10A25"/>
    <w:rsid w:val="00D10F75"/>
    <w:rsid w:val="00D11143"/>
    <w:rsid w:val="00D11279"/>
    <w:rsid w:val="00D11310"/>
    <w:rsid w:val="00D14694"/>
    <w:rsid w:val="00D147E2"/>
    <w:rsid w:val="00D14831"/>
    <w:rsid w:val="00D14CC0"/>
    <w:rsid w:val="00D15425"/>
    <w:rsid w:val="00D15E4C"/>
    <w:rsid w:val="00D166E3"/>
    <w:rsid w:val="00D169D2"/>
    <w:rsid w:val="00D16AE5"/>
    <w:rsid w:val="00D17074"/>
    <w:rsid w:val="00D17184"/>
    <w:rsid w:val="00D17457"/>
    <w:rsid w:val="00D2011B"/>
    <w:rsid w:val="00D209F3"/>
    <w:rsid w:val="00D20AF6"/>
    <w:rsid w:val="00D21292"/>
    <w:rsid w:val="00D212AF"/>
    <w:rsid w:val="00D21AFB"/>
    <w:rsid w:val="00D22168"/>
    <w:rsid w:val="00D22360"/>
    <w:rsid w:val="00D228EF"/>
    <w:rsid w:val="00D23A65"/>
    <w:rsid w:val="00D23AE1"/>
    <w:rsid w:val="00D23B35"/>
    <w:rsid w:val="00D24058"/>
    <w:rsid w:val="00D248B5"/>
    <w:rsid w:val="00D24B9C"/>
    <w:rsid w:val="00D24C91"/>
    <w:rsid w:val="00D25C46"/>
    <w:rsid w:val="00D25CC6"/>
    <w:rsid w:val="00D260DE"/>
    <w:rsid w:val="00D2694A"/>
    <w:rsid w:val="00D273A8"/>
    <w:rsid w:val="00D277F9"/>
    <w:rsid w:val="00D3031C"/>
    <w:rsid w:val="00D3186D"/>
    <w:rsid w:val="00D3227F"/>
    <w:rsid w:val="00D32655"/>
    <w:rsid w:val="00D32CC0"/>
    <w:rsid w:val="00D32D05"/>
    <w:rsid w:val="00D3438A"/>
    <w:rsid w:val="00D34402"/>
    <w:rsid w:val="00D34608"/>
    <w:rsid w:val="00D34AE0"/>
    <w:rsid w:val="00D34C43"/>
    <w:rsid w:val="00D3526F"/>
    <w:rsid w:val="00D35438"/>
    <w:rsid w:val="00D35C0C"/>
    <w:rsid w:val="00D35E4A"/>
    <w:rsid w:val="00D364D3"/>
    <w:rsid w:val="00D36CB9"/>
    <w:rsid w:val="00D371F2"/>
    <w:rsid w:val="00D37690"/>
    <w:rsid w:val="00D3772C"/>
    <w:rsid w:val="00D37E29"/>
    <w:rsid w:val="00D4012C"/>
    <w:rsid w:val="00D4049E"/>
    <w:rsid w:val="00D40822"/>
    <w:rsid w:val="00D40A12"/>
    <w:rsid w:val="00D41462"/>
    <w:rsid w:val="00D41829"/>
    <w:rsid w:val="00D41AA5"/>
    <w:rsid w:val="00D42856"/>
    <w:rsid w:val="00D42ECC"/>
    <w:rsid w:val="00D43226"/>
    <w:rsid w:val="00D44211"/>
    <w:rsid w:val="00D4485B"/>
    <w:rsid w:val="00D44A8C"/>
    <w:rsid w:val="00D44BDD"/>
    <w:rsid w:val="00D44CB0"/>
    <w:rsid w:val="00D450B0"/>
    <w:rsid w:val="00D45409"/>
    <w:rsid w:val="00D45A72"/>
    <w:rsid w:val="00D45D58"/>
    <w:rsid w:val="00D45E25"/>
    <w:rsid w:val="00D45F65"/>
    <w:rsid w:val="00D4610C"/>
    <w:rsid w:val="00D461B1"/>
    <w:rsid w:val="00D4662E"/>
    <w:rsid w:val="00D46A79"/>
    <w:rsid w:val="00D46EE4"/>
    <w:rsid w:val="00D471B5"/>
    <w:rsid w:val="00D47354"/>
    <w:rsid w:val="00D47589"/>
    <w:rsid w:val="00D47B32"/>
    <w:rsid w:val="00D508D7"/>
    <w:rsid w:val="00D50A85"/>
    <w:rsid w:val="00D50C8D"/>
    <w:rsid w:val="00D50F7C"/>
    <w:rsid w:val="00D52570"/>
    <w:rsid w:val="00D52F99"/>
    <w:rsid w:val="00D5317C"/>
    <w:rsid w:val="00D532C7"/>
    <w:rsid w:val="00D538E1"/>
    <w:rsid w:val="00D53A2F"/>
    <w:rsid w:val="00D5464D"/>
    <w:rsid w:val="00D547B7"/>
    <w:rsid w:val="00D54C7A"/>
    <w:rsid w:val="00D54DDA"/>
    <w:rsid w:val="00D55634"/>
    <w:rsid w:val="00D5565B"/>
    <w:rsid w:val="00D558A1"/>
    <w:rsid w:val="00D55CBA"/>
    <w:rsid w:val="00D55D18"/>
    <w:rsid w:val="00D55F61"/>
    <w:rsid w:val="00D563F3"/>
    <w:rsid w:val="00D56C4F"/>
    <w:rsid w:val="00D56D7D"/>
    <w:rsid w:val="00D5740F"/>
    <w:rsid w:val="00D57540"/>
    <w:rsid w:val="00D609C7"/>
    <w:rsid w:val="00D60BEE"/>
    <w:rsid w:val="00D60E9F"/>
    <w:rsid w:val="00D61265"/>
    <w:rsid w:val="00D614B6"/>
    <w:rsid w:val="00D61526"/>
    <w:rsid w:val="00D61675"/>
    <w:rsid w:val="00D62016"/>
    <w:rsid w:val="00D6201F"/>
    <w:rsid w:val="00D63DF9"/>
    <w:rsid w:val="00D6435B"/>
    <w:rsid w:val="00D64404"/>
    <w:rsid w:val="00D6448B"/>
    <w:rsid w:val="00D64689"/>
    <w:rsid w:val="00D64D9C"/>
    <w:rsid w:val="00D65387"/>
    <w:rsid w:val="00D657F8"/>
    <w:rsid w:val="00D659D2"/>
    <w:rsid w:val="00D65BCB"/>
    <w:rsid w:val="00D65D9F"/>
    <w:rsid w:val="00D65EAE"/>
    <w:rsid w:val="00D65F25"/>
    <w:rsid w:val="00D665E0"/>
    <w:rsid w:val="00D670E5"/>
    <w:rsid w:val="00D6747B"/>
    <w:rsid w:val="00D70823"/>
    <w:rsid w:val="00D70DB7"/>
    <w:rsid w:val="00D7174A"/>
    <w:rsid w:val="00D720E0"/>
    <w:rsid w:val="00D72679"/>
    <w:rsid w:val="00D73E20"/>
    <w:rsid w:val="00D74AE7"/>
    <w:rsid w:val="00D74F5C"/>
    <w:rsid w:val="00D76963"/>
    <w:rsid w:val="00D77732"/>
    <w:rsid w:val="00D7780B"/>
    <w:rsid w:val="00D8157D"/>
    <w:rsid w:val="00D82589"/>
    <w:rsid w:val="00D82978"/>
    <w:rsid w:val="00D82A56"/>
    <w:rsid w:val="00D831A7"/>
    <w:rsid w:val="00D83548"/>
    <w:rsid w:val="00D836E3"/>
    <w:rsid w:val="00D839BA"/>
    <w:rsid w:val="00D83E6E"/>
    <w:rsid w:val="00D85426"/>
    <w:rsid w:val="00D85617"/>
    <w:rsid w:val="00D85DAC"/>
    <w:rsid w:val="00D85E11"/>
    <w:rsid w:val="00D86059"/>
    <w:rsid w:val="00D864AD"/>
    <w:rsid w:val="00D8691F"/>
    <w:rsid w:val="00D86C89"/>
    <w:rsid w:val="00D875AA"/>
    <w:rsid w:val="00D875B0"/>
    <w:rsid w:val="00D87D68"/>
    <w:rsid w:val="00D909D7"/>
    <w:rsid w:val="00D90CF3"/>
    <w:rsid w:val="00D91580"/>
    <w:rsid w:val="00D92749"/>
    <w:rsid w:val="00D92C52"/>
    <w:rsid w:val="00D92ED1"/>
    <w:rsid w:val="00D9348A"/>
    <w:rsid w:val="00D93985"/>
    <w:rsid w:val="00D939B5"/>
    <w:rsid w:val="00D93C21"/>
    <w:rsid w:val="00D94AF3"/>
    <w:rsid w:val="00D95413"/>
    <w:rsid w:val="00D96012"/>
    <w:rsid w:val="00D96DC8"/>
    <w:rsid w:val="00DA0B92"/>
    <w:rsid w:val="00DA0D7F"/>
    <w:rsid w:val="00DA10FF"/>
    <w:rsid w:val="00DA1EE8"/>
    <w:rsid w:val="00DA1FF3"/>
    <w:rsid w:val="00DA25EA"/>
    <w:rsid w:val="00DA2E84"/>
    <w:rsid w:val="00DA4119"/>
    <w:rsid w:val="00DA427F"/>
    <w:rsid w:val="00DA4DAD"/>
    <w:rsid w:val="00DA5D8E"/>
    <w:rsid w:val="00DA6055"/>
    <w:rsid w:val="00DA66F5"/>
    <w:rsid w:val="00DA6E7A"/>
    <w:rsid w:val="00DA6F4D"/>
    <w:rsid w:val="00DA7B0F"/>
    <w:rsid w:val="00DA7CBB"/>
    <w:rsid w:val="00DA7DA1"/>
    <w:rsid w:val="00DA7FFA"/>
    <w:rsid w:val="00DB0732"/>
    <w:rsid w:val="00DB0C37"/>
    <w:rsid w:val="00DB0CF2"/>
    <w:rsid w:val="00DB1FE4"/>
    <w:rsid w:val="00DB2418"/>
    <w:rsid w:val="00DB2D17"/>
    <w:rsid w:val="00DB3489"/>
    <w:rsid w:val="00DB44EE"/>
    <w:rsid w:val="00DB4525"/>
    <w:rsid w:val="00DB45B1"/>
    <w:rsid w:val="00DB5E18"/>
    <w:rsid w:val="00DB7073"/>
    <w:rsid w:val="00DB76AB"/>
    <w:rsid w:val="00DC049E"/>
    <w:rsid w:val="00DC082E"/>
    <w:rsid w:val="00DC1242"/>
    <w:rsid w:val="00DC1620"/>
    <w:rsid w:val="00DC19BC"/>
    <w:rsid w:val="00DC1B27"/>
    <w:rsid w:val="00DC1F8E"/>
    <w:rsid w:val="00DC2312"/>
    <w:rsid w:val="00DC279C"/>
    <w:rsid w:val="00DC280A"/>
    <w:rsid w:val="00DC2B29"/>
    <w:rsid w:val="00DC3248"/>
    <w:rsid w:val="00DC3462"/>
    <w:rsid w:val="00DC34E9"/>
    <w:rsid w:val="00DC3561"/>
    <w:rsid w:val="00DC35F4"/>
    <w:rsid w:val="00DC3779"/>
    <w:rsid w:val="00DC43AD"/>
    <w:rsid w:val="00DC48BE"/>
    <w:rsid w:val="00DC4B73"/>
    <w:rsid w:val="00DC50E9"/>
    <w:rsid w:val="00DC596C"/>
    <w:rsid w:val="00DC60D5"/>
    <w:rsid w:val="00DC65A1"/>
    <w:rsid w:val="00DC6C4F"/>
    <w:rsid w:val="00DC6C65"/>
    <w:rsid w:val="00DC7081"/>
    <w:rsid w:val="00DC736E"/>
    <w:rsid w:val="00DC7A64"/>
    <w:rsid w:val="00DD0985"/>
    <w:rsid w:val="00DD15F7"/>
    <w:rsid w:val="00DD1A9D"/>
    <w:rsid w:val="00DD3B04"/>
    <w:rsid w:val="00DD3DAB"/>
    <w:rsid w:val="00DD4941"/>
    <w:rsid w:val="00DD4B51"/>
    <w:rsid w:val="00DD4D04"/>
    <w:rsid w:val="00DD564E"/>
    <w:rsid w:val="00DD596E"/>
    <w:rsid w:val="00DD6357"/>
    <w:rsid w:val="00DD6438"/>
    <w:rsid w:val="00DD64BE"/>
    <w:rsid w:val="00DD668C"/>
    <w:rsid w:val="00DD6770"/>
    <w:rsid w:val="00DD6AC9"/>
    <w:rsid w:val="00DD6C8D"/>
    <w:rsid w:val="00DD7668"/>
    <w:rsid w:val="00DD7A82"/>
    <w:rsid w:val="00DD7CBA"/>
    <w:rsid w:val="00DE0DD7"/>
    <w:rsid w:val="00DE15EF"/>
    <w:rsid w:val="00DE18EF"/>
    <w:rsid w:val="00DE239A"/>
    <w:rsid w:val="00DE2737"/>
    <w:rsid w:val="00DE3066"/>
    <w:rsid w:val="00DE33B5"/>
    <w:rsid w:val="00DE37CB"/>
    <w:rsid w:val="00DE40E7"/>
    <w:rsid w:val="00DE44BD"/>
    <w:rsid w:val="00DE4541"/>
    <w:rsid w:val="00DE4DC3"/>
    <w:rsid w:val="00DE54A8"/>
    <w:rsid w:val="00DE5558"/>
    <w:rsid w:val="00DE6E52"/>
    <w:rsid w:val="00DE6F8D"/>
    <w:rsid w:val="00DE7074"/>
    <w:rsid w:val="00DE735B"/>
    <w:rsid w:val="00DE74DD"/>
    <w:rsid w:val="00DE77C9"/>
    <w:rsid w:val="00DE78FA"/>
    <w:rsid w:val="00DF1030"/>
    <w:rsid w:val="00DF2BB0"/>
    <w:rsid w:val="00DF2D46"/>
    <w:rsid w:val="00DF3A43"/>
    <w:rsid w:val="00DF3D0C"/>
    <w:rsid w:val="00DF40CF"/>
    <w:rsid w:val="00DF45D2"/>
    <w:rsid w:val="00DF485D"/>
    <w:rsid w:val="00DF4B02"/>
    <w:rsid w:val="00DF54F2"/>
    <w:rsid w:val="00DF5D58"/>
    <w:rsid w:val="00DF5E9C"/>
    <w:rsid w:val="00DF623C"/>
    <w:rsid w:val="00DF6678"/>
    <w:rsid w:val="00DF6FD8"/>
    <w:rsid w:val="00DF6FF7"/>
    <w:rsid w:val="00DF72EB"/>
    <w:rsid w:val="00DF7B33"/>
    <w:rsid w:val="00E000D5"/>
    <w:rsid w:val="00E00716"/>
    <w:rsid w:val="00E009DE"/>
    <w:rsid w:val="00E00E1B"/>
    <w:rsid w:val="00E011FC"/>
    <w:rsid w:val="00E01E69"/>
    <w:rsid w:val="00E01EB6"/>
    <w:rsid w:val="00E025CC"/>
    <w:rsid w:val="00E02808"/>
    <w:rsid w:val="00E02B61"/>
    <w:rsid w:val="00E02D71"/>
    <w:rsid w:val="00E03058"/>
    <w:rsid w:val="00E0388E"/>
    <w:rsid w:val="00E0430B"/>
    <w:rsid w:val="00E04F3C"/>
    <w:rsid w:val="00E0558D"/>
    <w:rsid w:val="00E057A8"/>
    <w:rsid w:val="00E05A1B"/>
    <w:rsid w:val="00E05D72"/>
    <w:rsid w:val="00E065B7"/>
    <w:rsid w:val="00E0661C"/>
    <w:rsid w:val="00E07CA9"/>
    <w:rsid w:val="00E07CEB"/>
    <w:rsid w:val="00E11367"/>
    <w:rsid w:val="00E113C8"/>
    <w:rsid w:val="00E11C8C"/>
    <w:rsid w:val="00E125BF"/>
    <w:rsid w:val="00E12ED7"/>
    <w:rsid w:val="00E1325A"/>
    <w:rsid w:val="00E133F2"/>
    <w:rsid w:val="00E1373F"/>
    <w:rsid w:val="00E13785"/>
    <w:rsid w:val="00E13960"/>
    <w:rsid w:val="00E14010"/>
    <w:rsid w:val="00E14C4F"/>
    <w:rsid w:val="00E15209"/>
    <w:rsid w:val="00E154F7"/>
    <w:rsid w:val="00E159BC"/>
    <w:rsid w:val="00E15B4D"/>
    <w:rsid w:val="00E15CD1"/>
    <w:rsid w:val="00E160FF"/>
    <w:rsid w:val="00E162FA"/>
    <w:rsid w:val="00E165E0"/>
    <w:rsid w:val="00E1684D"/>
    <w:rsid w:val="00E16A0A"/>
    <w:rsid w:val="00E1761B"/>
    <w:rsid w:val="00E17A6E"/>
    <w:rsid w:val="00E202DE"/>
    <w:rsid w:val="00E2047A"/>
    <w:rsid w:val="00E20D1D"/>
    <w:rsid w:val="00E21716"/>
    <w:rsid w:val="00E218BB"/>
    <w:rsid w:val="00E221D2"/>
    <w:rsid w:val="00E224B7"/>
    <w:rsid w:val="00E226FC"/>
    <w:rsid w:val="00E22CF2"/>
    <w:rsid w:val="00E23015"/>
    <w:rsid w:val="00E23488"/>
    <w:rsid w:val="00E23E2E"/>
    <w:rsid w:val="00E23F3B"/>
    <w:rsid w:val="00E24251"/>
    <w:rsid w:val="00E244B5"/>
    <w:rsid w:val="00E245D7"/>
    <w:rsid w:val="00E249FD"/>
    <w:rsid w:val="00E24ADB"/>
    <w:rsid w:val="00E25410"/>
    <w:rsid w:val="00E25A30"/>
    <w:rsid w:val="00E266FC"/>
    <w:rsid w:val="00E26C80"/>
    <w:rsid w:val="00E272DB"/>
    <w:rsid w:val="00E30190"/>
    <w:rsid w:val="00E30B64"/>
    <w:rsid w:val="00E30BEA"/>
    <w:rsid w:val="00E30EC7"/>
    <w:rsid w:val="00E311D1"/>
    <w:rsid w:val="00E31411"/>
    <w:rsid w:val="00E31F84"/>
    <w:rsid w:val="00E32227"/>
    <w:rsid w:val="00E32245"/>
    <w:rsid w:val="00E32B45"/>
    <w:rsid w:val="00E32E90"/>
    <w:rsid w:val="00E32F6C"/>
    <w:rsid w:val="00E33126"/>
    <w:rsid w:val="00E33C9B"/>
    <w:rsid w:val="00E347AA"/>
    <w:rsid w:val="00E34ECE"/>
    <w:rsid w:val="00E3512B"/>
    <w:rsid w:val="00E3622C"/>
    <w:rsid w:val="00E36460"/>
    <w:rsid w:val="00E36478"/>
    <w:rsid w:val="00E36BB4"/>
    <w:rsid w:val="00E36C31"/>
    <w:rsid w:val="00E40B07"/>
    <w:rsid w:val="00E424E9"/>
    <w:rsid w:val="00E428A9"/>
    <w:rsid w:val="00E428EC"/>
    <w:rsid w:val="00E42A66"/>
    <w:rsid w:val="00E42E05"/>
    <w:rsid w:val="00E42E14"/>
    <w:rsid w:val="00E43754"/>
    <w:rsid w:val="00E445F1"/>
    <w:rsid w:val="00E44C44"/>
    <w:rsid w:val="00E44D76"/>
    <w:rsid w:val="00E46368"/>
    <w:rsid w:val="00E464CF"/>
    <w:rsid w:val="00E466B2"/>
    <w:rsid w:val="00E466D8"/>
    <w:rsid w:val="00E47331"/>
    <w:rsid w:val="00E47CE5"/>
    <w:rsid w:val="00E47D71"/>
    <w:rsid w:val="00E50362"/>
    <w:rsid w:val="00E50BE5"/>
    <w:rsid w:val="00E5149A"/>
    <w:rsid w:val="00E514FE"/>
    <w:rsid w:val="00E5150C"/>
    <w:rsid w:val="00E51A57"/>
    <w:rsid w:val="00E51C01"/>
    <w:rsid w:val="00E525F2"/>
    <w:rsid w:val="00E52BAE"/>
    <w:rsid w:val="00E52E4C"/>
    <w:rsid w:val="00E52FBF"/>
    <w:rsid w:val="00E541F7"/>
    <w:rsid w:val="00E54923"/>
    <w:rsid w:val="00E54AA4"/>
    <w:rsid w:val="00E55B3F"/>
    <w:rsid w:val="00E55FC3"/>
    <w:rsid w:val="00E560CB"/>
    <w:rsid w:val="00E5687A"/>
    <w:rsid w:val="00E574BE"/>
    <w:rsid w:val="00E57A90"/>
    <w:rsid w:val="00E57F25"/>
    <w:rsid w:val="00E6091A"/>
    <w:rsid w:val="00E609B3"/>
    <w:rsid w:val="00E6147B"/>
    <w:rsid w:val="00E61E83"/>
    <w:rsid w:val="00E625B0"/>
    <w:rsid w:val="00E62F04"/>
    <w:rsid w:val="00E63351"/>
    <w:rsid w:val="00E63BA4"/>
    <w:rsid w:val="00E6405C"/>
    <w:rsid w:val="00E64126"/>
    <w:rsid w:val="00E644E0"/>
    <w:rsid w:val="00E64B3A"/>
    <w:rsid w:val="00E64C26"/>
    <w:rsid w:val="00E64E2A"/>
    <w:rsid w:val="00E65030"/>
    <w:rsid w:val="00E65116"/>
    <w:rsid w:val="00E66CD0"/>
    <w:rsid w:val="00E67B60"/>
    <w:rsid w:val="00E67D6C"/>
    <w:rsid w:val="00E67E6B"/>
    <w:rsid w:val="00E7044E"/>
    <w:rsid w:val="00E704B4"/>
    <w:rsid w:val="00E7076A"/>
    <w:rsid w:val="00E70A7C"/>
    <w:rsid w:val="00E70E1D"/>
    <w:rsid w:val="00E7109A"/>
    <w:rsid w:val="00E71302"/>
    <w:rsid w:val="00E71335"/>
    <w:rsid w:val="00E713F6"/>
    <w:rsid w:val="00E71A34"/>
    <w:rsid w:val="00E71B6D"/>
    <w:rsid w:val="00E72267"/>
    <w:rsid w:val="00E7227E"/>
    <w:rsid w:val="00E730E0"/>
    <w:rsid w:val="00E73C9A"/>
    <w:rsid w:val="00E7406D"/>
    <w:rsid w:val="00E7484F"/>
    <w:rsid w:val="00E748EB"/>
    <w:rsid w:val="00E75510"/>
    <w:rsid w:val="00E7644F"/>
    <w:rsid w:val="00E7659B"/>
    <w:rsid w:val="00E7677E"/>
    <w:rsid w:val="00E76E3D"/>
    <w:rsid w:val="00E76E7D"/>
    <w:rsid w:val="00E76F4C"/>
    <w:rsid w:val="00E77745"/>
    <w:rsid w:val="00E7785F"/>
    <w:rsid w:val="00E7786C"/>
    <w:rsid w:val="00E77F34"/>
    <w:rsid w:val="00E8007A"/>
    <w:rsid w:val="00E80114"/>
    <w:rsid w:val="00E803D8"/>
    <w:rsid w:val="00E8058C"/>
    <w:rsid w:val="00E80C87"/>
    <w:rsid w:val="00E80F73"/>
    <w:rsid w:val="00E81AFF"/>
    <w:rsid w:val="00E81DDB"/>
    <w:rsid w:val="00E81DDE"/>
    <w:rsid w:val="00E81FA0"/>
    <w:rsid w:val="00E82AB2"/>
    <w:rsid w:val="00E83999"/>
    <w:rsid w:val="00E83E3F"/>
    <w:rsid w:val="00E857A6"/>
    <w:rsid w:val="00E858F3"/>
    <w:rsid w:val="00E8634C"/>
    <w:rsid w:val="00E8673C"/>
    <w:rsid w:val="00E86956"/>
    <w:rsid w:val="00E869C9"/>
    <w:rsid w:val="00E86C0C"/>
    <w:rsid w:val="00E86EC9"/>
    <w:rsid w:val="00E86FDC"/>
    <w:rsid w:val="00E874E7"/>
    <w:rsid w:val="00E87649"/>
    <w:rsid w:val="00E87A32"/>
    <w:rsid w:val="00E9018B"/>
    <w:rsid w:val="00E90391"/>
    <w:rsid w:val="00E90575"/>
    <w:rsid w:val="00E9069D"/>
    <w:rsid w:val="00E9096F"/>
    <w:rsid w:val="00E91318"/>
    <w:rsid w:val="00E91C78"/>
    <w:rsid w:val="00E92DC4"/>
    <w:rsid w:val="00E93247"/>
    <w:rsid w:val="00E9385C"/>
    <w:rsid w:val="00E93DA0"/>
    <w:rsid w:val="00E9423F"/>
    <w:rsid w:val="00E944F4"/>
    <w:rsid w:val="00E948DF"/>
    <w:rsid w:val="00E94A2B"/>
    <w:rsid w:val="00E95ABF"/>
    <w:rsid w:val="00E95D96"/>
    <w:rsid w:val="00E95DFD"/>
    <w:rsid w:val="00E96081"/>
    <w:rsid w:val="00E961F3"/>
    <w:rsid w:val="00E96717"/>
    <w:rsid w:val="00E96F0C"/>
    <w:rsid w:val="00E974C3"/>
    <w:rsid w:val="00E978FA"/>
    <w:rsid w:val="00EA06EC"/>
    <w:rsid w:val="00EA0DD4"/>
    <w:rsid w:val="00EA0F70"/>
    <w:rsid w:val="00EA1BAA"/>
    <w:rsid w:val="00EA2892"/>
    <w:rsid w:val="00EA2E27"/>
    <w:rsid w:val="00EA2EAC"/>
    <w:rsid w:val="00EA3472"/>
    <w:rsid w:val="00EA3749"/>
    <w:rsid w:val="00EA3B49"/>
    <w:rsid w:val="00EA3CBD"/>
    <w:rsid w:val="00EA4F43"/>
    <w:rsid w:val="00EA4FC1"/>
    <w:rsid w:val="00EA4FF1"/>
    <w:rsid w:val="00EA5135"/>
    <w:rsid w:val="00EA5166"/>
    <w:rsid w:val="00EA5694"/>
    <w:rsid w:val="00EA6CE5"/>
    <w:rsid w:val="00EA708F"/>
    <w:rsid w:val="00EA76C5"/>
    <w:rsid w:val="00EB03EC"/>
    <w:rsid w:val="00EB06F3"/>
    <w:rsid w:val="00EB092C"/>
    <w:rsid w:val="00EB1931"/>
    <w:rsid w:val="00EB2126"/>
    <w:rsid w:val="00EB30B7"/>
    <w:rsid w:val="00EB3BED"/>
    <w:rsid w:val="00EB3DE5"/>
    <w:rsid w:val="00EB42F9"/>
    <w:rsid w:val="00EB50B1"/>
    <w:rsid w:val="00EB584E"/>
    <w:rsid w:val="00EB5BF3"/>
    <w:rsid w:val="00EB641F"/>
    <w:rsid w:val="00EB65B8"/>
    <w:rsid w:val="00EB6B29"/>
    <w:rsid w:val="00EB6D5E"/>
    <w:rsid w:val="00EB7103"/>
    <w:rsid w:val="00EB7A3D"/>
    <w:rsid w:val="00EC013A"/>
    <w:rsid w:val="00EC0625"/>
    <w:rsid w:val="00EC0C1E"/>
    <w:rsid w:val="00EC10A0"/>
    <w:rsid w:val="00EC1AA9"/>
    <w:rsid w:val="00EC1BCA"/>
    <w:rsid w:val="00EC21FA"/>
    <w:rsid w:val="00EC220E"/>
    <w:rsid w:val="00EC23BB"/>
    <w:rsid w:val="00EC2BD1"/>
    <w:rsid w:val="00EC3F16"/>
    <w:rsid w:val="00EC4334"/>
    <w:rsid w:val="00EC4C59"/>
    <w:rsid w:val="00EC5297"/>
    <w:rsid w:val="00EC56F2"/>
    <w:rsid w:val="00EC58CB"/>
    <w:rsid w:val="00EC5A41"/>
    <w:rsid w:val="00EC64A2"/>
    <w:rsid w:val="00EC66C7"/>
    <w:rsid w:val="00EC6D93"/>
    <w:rsid w:val="00EC6F56"/>
    <w:rsid w:val="00EC723C"/>
    <w:rsid w:val="00EC77F3"/>
    <w:rsid w:val="00EC7E6C"/>
    <w:rsid w:val="00ED01F2"/>
    <w:rsid w:val="00ED053D"/>
    <w:rsid w:val="00ED0785"/>
    <w:rsid w:val="00ED089B"/>
    <w:rsid w:val="00ED0DEE"/>
    <w:rsid w:val="00ED0EE8"/>
    <w:rsid w:val="00ED1A8C"/>
    <w:rsid w:val="00ED1C0A"/>
    <w:rsid w:val="00ED26B9"/>
    <w:rsid w:val="00ED2757"/>
    <w:rsid w:val="00ED3014"/>
    <w:rsid w:val="00ED30AF"/>
    <w:rsid w:val="00ED3ADF"/>
    <w:rsid w:val="00ED3B47"/>
    <w:rsid w:val="00ED4057"/>
    <w:rsid w:val="00ED48E5"/>
    <w:rsid w:val="00ED4A47"/>
    <w:rsid w:val="00ED4CDC"/>
    <w:rsid w:val="00ED4F89"/>
    <w:rsid w:val="00ED54B6"/>
    <w:rsid w:val="00ED5A7D"/>
    <w:rsid w:val="00ED5B0C"/>
    <w:rsid w:val="00ED5BDA"/>
    <w:rsid w:val="00ED5E20"/>
    <w:rsid w:val="00ED5FFC"/>
    <w:rsid w:val="00ED6C5C"/>
    <w:rsid w:val="00ED6F7C"/>
    <w:rsid w:val="00ED7442"/>
    <w:rsid w:val="00ED744D"/>
    <w:rsid w:val="00EE1C11"/>
    <w:rsid w:val="00EE1C70"/>
    <w:rsid w:val="00EE1CF9"/>
    <w:rsid w:val="00EE2905"/>
    <w:rsid w:val="00EE29C3"/>
    <w:rsid w:val="00EE2C9F"/>
    <w:rsid w:val="00EE326E"/>
    <w:rsid w:val="00EE360E"/>
    <w:rsid w:val="00EE3BF8"/>
    <w:rsid w:val="00EE4296"/>
    <w:rsid w:val="00EE4B24"/>
    <w:rsid w:val="00EE5456"/>
    <w:rsid w:val="00EE6157"/>
    <w:rsid w:val="00EE6A12"/>
    <w:rsid w:val="00EE7089"/>
    <w:rsid w:val="00EE7A24"/>
    <w:rsid w:val="00EE7A29"/>
    <w:rsid w:val="00EE7FCA"/>
    <w:rsid w:val="00EF0248"/>
    <w:rsid w:val="00EF151C"/>
    <w:rsid w:val="00EF17FC"/>
    <w:rsid w:val="00EF271A"/>
    <w:rsid w:val="00EF3355"/>
    <w:rsid w:val="00EF37DA"/>
    <w:rsid w:val="00EF491B"/>
    <w:rsid w:val="00EF4E03"/>
    <w:rsid w:val="00EF4F2C"/>
    <w:rsid w:val="00EF57E5"/>
    <w:rsid w:val="00EF698C"/>
    <w:rsid w:val="00EF73E1"/>
    <w:rsid w:val="00EF7416"/>
    <w:rsid w:val="00EF7474"/>
    <w:rsid w:val="00EF76EB"/>
    <w:rsid w:val="00EF7847"/>
    <w:rsid w:val="00EF7B3B"/>
    <w:rsid w:val="00EF7CF3"/>
    <w:rsid w:val="00EF7F4A"/>
    <w:rsid w:val="00F009C0"/>
    <w:rsid w:val="00F00B02"/>
    <w:rsid w:val="00F00E96"/>
    <w:rsid w:val="00F01038"/>
    <w:rsid w:val="00F01101"/>
    <w:rsid w:val="00F011E3"/>
    <w:rsid w:val="00F01397"/>
    <w:rsid w:val="00F015C6"/>
    <w:rsid w:val="00F02905"/>
    <w:rsid w:val="00F029E9"/>
    <w:rsid w:val="00F0358F"/>
    <w:rsid w:val="00F03A39"/>
    <w:rsid w:val="00F03AB6"/>
    <w:rsid w:val="00F04255"/>
    <w:rsid w:val="00F0444C"/>
    <w:rsid w:val="00F04EE5"/>
    <w:rsid w:val="00F051D1"/>
    <w:rsid w:val="00F05F41"/>
    <w:rsid w:val="00F065FB"/>
    <w:rsid w:val="00F06D1E"/>
    <w:rsid w:val="00F074EF"/>
    <w:rsid w:val="00F0781D"/>
    <w:rsid w:val="00F10AF6"/>
    <w:rsid w:val="00F10C40"/>
    <w:rsid w:val="00F10D23"/>
    <w:rsid w:val="00F114B6"/>
    <w:rsid w:val="00F119AF"/>
    <w:rsid w:val="00F11B06"/>
    <w:rsid w:val="00F11EAE"/>
    <w:rsid w:val="00F135E0"/>
    <w:rsid w:val="00F13DEF"/>
    <w:rsid w:val="00F13E7A"/>
    <w:rsid w:val="00F14DA8"/>
    <w:rsid w:val="00F14EB1"/>
    <w:rsid w:val="00F154AD"/>
    <w:rsid w:val="00F1566C"/>
    <w:rsid w:val="00F16321"/>
    <w:rsid w:val="00F16C5D"/>
    <w:rsid w:val="00F17703"/>
    <w:rsid w:val="00F17713"/>
    <w:rsid w:val="00F177F6"/>
    <w:rsid w:val="00F2076A"/>
    <w:rsid w:val="00F20D9E"/>
    <w:rsid w:val="00F21218"/>
    <w:rsid w:val="00F2138D"/>
    <w:rsid w:val="00F21623"/>
    <w:rsid w:val="00F2188C"/>
    <w:rsid w:val="00F21C81"/>
    <w:rsid w:val="00F21D0C"/>
    <w:rsid w:val="00F22205"/>
    <w:rsid w:val="00F230EB"/>
    <w:rsid w:val="00F234F5"/>
    <w:rsid w:val="00F2442F"/>
    <w:rsid w:val="00F25137"/>
    <w:rsid w:val="00F252CB"/>
    <w:rsid w:val="00F2579C"/>
    <w:rsid w:val="00F25B96"/>
    <w:rsid w:val="00F25F5A"/>
    <w:rsid w:val="00F262FD"/>
    <w:rsid w:val="00F26F20"/>
    <w:rsid w:val="00F279C5"/>
    <w:rsid w:val="00F27F8C"/>
    <w:rsid w:val="00F301C6"/>
    <w:rsid w:val="00F304E4"/>
    <w:rsid w:val="00F30E65"/>
    <w:rsid w:val="00F31B25"/>
    <w:rsid w:val="00F31BF1"/>
    <w:rsid w:val="00F31E84"/>
    <w:rsid w:val="00F31ED3"/>
    <w:rsid w:val="00F321E4"/>
    <w:rsid w:val="00F3266C"/>
    <w:rsid w:val="00F33188"/>
    <w:rsid w:val="00F332ED"/>
    <w:rsid w:val="00F341CA"/>
    <w:rsid w:val="00F345C7"/>
    <w:rsid w:val="00F34B56"/>
    <w:rsid w:val="00F34C5A"/>
    <w:rsid w:val="00F356A5"/>
    <w:rsid w:val="00F359D6"/>
    <w:rsid w:val="00F364AA"/>
    <w:rsid w:val="00F3692C"/>
    <w:rsid w:val="00F36B24"/>
    <w:rsid w:val="00F3704C"/>
    <w:rsid w:val="00F374EE"/>
    <w:rsid w:val="00F37622"/>
    <w:rsid w:val="00F37946"/>
    <w:rsid w:val="00F37A68"/>
    <w:rsid w:val="00F37AF6"/>
    <w:rsid w:val="00F37B90"/>
    <w:rsid w:val="00F37FD3"/>
    <w:rsid w:val="00F40306"/>
    <w:rsid w:val="00F408E6"/>
    <w:rsid w:val="00F40E43"/>
    <w:rsid w:val="00F41990"/>
    <w:rsid w:val="00F41C88"/>
    <w:rsid w:val="00F41ED9"/>
    <w:rsid w:val="00F42010"/>
    <w:rsid w:val="00F42393"/>
    <w:rsid w:val="00F426DD"/>
    <w:rsid w:val="00F42B11"/>
    <w:rsid w:val="00F433D7"/>
    <w:rsid w:val="00F4353B"/>
    <w:rsid w:val="00F457DF"/>
    <w:rsid w:val="00F45AC7"/>
    <w:rsid w:val="00F46926"/>
    <w:rsid w:val="00F46FD7"/>
    <w:rsid w:val="00F47328"/>
    <w:rsid w:val="00F47917"/>
    <w:rsid w:val="00F47E9B"/>
    <w:rsid w:val="00F5014A"/>
    <w:rsid w:val="00F50363"/>
    <w:rsid w:val="00F51381"/>
    <w:rsid w:val="00F5167B"/>
    <w:rsid w:val="00F520C1"/>
    <w:rsid w:val="00F52DFC"/>
    <w:rsid w:val="00F531FC"/>
    <w:rsid w:val="00F5385D"/>
    <w:rsid w:val="00F5397F"/>
    <w:rsid w:val="00F541A9"/>
    <w:rsid w:val="00F5532B"/>
    <w:rsid w:val="00F5604B"/>
    <w:rsid w:val="00F5644A"/>
    <w:rsid w:val="00F56EFC"/>
    <w:rsid w:val="00F57298"/>
    <w:rsid w:val="00F573B7"/>
    <w:rsid w:val="00F574F9"/>
    <w:rsid w:val="00F576C0"/>
    <w:rsid w:val="00F57C3F"/>
    <w:rsid w:val="00F6013A"/>
    <w:rsid w:val="00F601A3"/>
    <w:rsid w:val="00F60E9F"/>
    <w:rsid w:val="00F61DBC"/>
    <w:rsid w:val="00F61E92"/>
    <w:rsid w:val="00F629E1"/>
    <w:rsid w:val="00F62D77"/>
    <w:rsid w:val="00F63E43"/>
    <w:rsid w:val="00F6402E"/>
    <w:rsid w:val="00F640BC"/>
    <w:rsid w:val="00F6433B"/>
    <w:rsid w:val="00F6453D"/>
    <w:rsid w:val="00F64E00"/>
    <w:rsid w:val="00F65787"/>
    <w:rsid w:val="00F660F4"/>
    <w:rsid w:val="00F664A9"/>
    <w:rsid w:val="00F665A0"/>
    <w:rsid w:val="00F67401"/>
    <w:rsid w:val="00F67489"/>
    <w:rsid w:val="00F67831"/>
    <w:rsid w:val="00F67BAE"/>
    <w:rsid w:val="00F67C61"/>
    <w:rsid w:val="00F67D28"/>
    <w:rsid w:val="00F67FF3"/>
    <w:rsid w:val="00F7148A"/>
    <w:rsid w:val="00F72D54"/>
    <w:rsid w:val="00F7314E"/>
    <w:rsid w:val="00F736E2"/>
    <w:rsid w:val="00F7418C"/>
    <w:rsid w:val="00F74CA9"/>
    <w:rsid w:val="00F7515E"/>
    <w:rsid w:val="00F7594A"/>
    <w:rsid w:val="00F75DC7"/>
    <w:rsid w:val="00F76358"/>
    <w:rsid w:val="00F773F4"/>
    <w:rsid w:val="00F7743B"/>
    <w:rsid w:val="00F77492"/>
    <w:rsid w:val="00F77B93"/>
    <w:rsid w:val="00F77C44"/>
    <w:rsid w:val="00F80354"/>
    <w:rsid w:val="00F804F3"/>
    <w:rsid w:val="00F80729"/>
    <w:rsid w:val="00F80A7D"/>
    <w:rsid w:val="00F81227"/>
    <w:rsid w:val="00F821CB"/>
    <w:rsid w:val="00F82388"/>
    <w:rsid w:val="00F8260C"/>
    <w:rsid w:val="00F826BE"/>
    <w:rsid w:val="00F82A01"/>
    <w:rsid w:val="00F837C9"/>
    <w:rsid w:val="00F83FAD"/>
    <w:rsid w:val="00F851FD"/>
    <w:rsid w:val="00F85442"/>
    <w:rsid w:val="00F85C86"/>
    <w:rsid w:val="00F85D15"/>
    <w:rsid w:val="00F85FF3"/>
    <w:rsid w:val="00F86440"/>
    <w:rsid w:val="00F86710"/>
    <w:rsid w:val="00F86BF2"/>
    <w:rsid w:val="00F87BE6"/>
    <w:rsid w:val="00F87F42"/>
    <w:rsid w:val="00F90043"/>
    <w:rsid w:val="00F9004E"/>
    <w:rsid w:val="00F9065A"/>
    <w:rsid w:val="00F908BD"/>
    <w:rsid w:val="00F9099F"/>
    <w:rsid w:val="00F91660"/>
    <w:rsid w:val="00F92941"/>
    <w:rsid w:val="00F92F64"/>
    <w:rsid w:val="00F935B1"/>
    <w:rsid w:val="00F93BA8"/>
    <w:rsid w:val="00F93E6D"/>
    <w:rsid w:val="00F952F7"/>
    <w:rsid w:val="00F95321"/>
    <w:rsid w:val="00F953DB"/>
    <w:rsid w:val="00F9545A"/>
    <w:rsid w:val="00F956B4"/>
    <w:rsid w:val="00F95EFF"/>
    <w:rsid w:val="00F9601A"/>
    <w:rsid w:val="00F96B9A"/>
    <w:rsid w:val="00F970FC"/>
    <w:rsid w:val="00F977D2"/>
    <w:rsid w:val="00F97A75"/>
    <w:rsid w:val="00FA05AB"/>
    <w:rsid w:val="00FA0627"/>
    <w:rsid w:val="00FA0934"/>
    <w:rsid w:val="00FA0DD2"/>
    <w:rsid w:val="00FA17AA"/>
    <w:rsid w:val="00FA241E"/>
    <w:rsid w:val="00FA2481"/>
    <w:rsid w:val="00FA2902"/>
    <w:rsid w:val="00FA2934"/>
    <w:rsid w:val="00FA3340"/>
    <w:rsid w:val="00FA3F38"/>
    <w:rsid w:val="00FA4099"/>
    <w:rsid w:val="00FA4592"/>
    <w:rsid w:val="00FA4ADF"/>
    <w:rsid w:val="00FA4B35"/>
    <w:rsid w:val="00FA4E01"/>
    <w:rsid w:val="00FA4F6C"/>
    <w:rsid w:val="00FA58C8"/>
    <w:rsid w:val="00FA5969"/>
    <w:rsid w:val="00FA5B3B"/>
    <w:rsid w:val="00FA5E45"/>
    <w:rsid w:val="00FA640F"/>
    <w:rsid w:val="00FA6A95"/>
    <w:rsid w:val="00FB0146"/>
    <w:rsid w:val="00FB160A"/>
    <w:rsid w:val="00FB1784"/>
    <w:rsid w:val="00FB17C1"/>
    <w:rsid w:val="00FB17D8"/>
    <w:rsid w:val="00FB30DA"/>
    <w:rsid w:val="00FB3B2F"/>
    <w:rsid w:val="00FB43E8"/>
    <w:rsid w:val="00FB457E"/>
    <w:rsid w:val="00FB540C"/>
    <w:rsid w:val="00FB54B3"/>
    <w:rsid w:val="00FB604B"/>
    <w:rsid w:val="00FB63B1"/>
    <w:rsid w:val="00FB7504"/>
    <w:rsid w:val="00FB780C"/>
    <w:rsid w:val="00FC0215"/>
    <w:rsid w:val="00FC0672"/>
    <w:rsid w:val="00FC096C"/>
    <w:rsid w:val="00FC11EC"/>
    <w:rsid w:val="00FC18F9"/>
    <w:rsid w:val="00FC1DF8"/>
    <w:rsid w:val="00FC1E8F"/>
    <w:rsid w:val="00FC1ECE"/>
    <w:rsid w:val="00FC2441"/>
    <w:rsid w:val="00FC2A4E"/>
    <w:rsid w:val="00FC3970"/>
    <w:rsid w:val="00FC4488"/>
    <w:rsid w:val="00FC4501"/>
    <w:rsid w:val="00FC53B5"/>
    <w:rsid w:val="00FC5D07"/>
    <w:rsid w:val="00FD067F"/>
    <w:rsid w:val="00FD084E"/>
    <w:rsid w:val="00FD0C5E"/>
    <w:rsid w:val="00FD1357"/>
    <w:rsid w:val="00FD17F2"/>
    <w:rsid w:val="00FD199B"/>
    <w:rsid w:val="00FD2319"/>
    <w:rsid w:val="00FD25EC"/>
    <w:rsid w:val="00FD2851"/>
    <w:rsid w:val="00FD2D1E"/>
    <w:rsid w:val="00FD3F02"/>
    <w:rsid w:val="00FD45FE"/>
    <w:rsid w:val="00FD4ABF"/>
    <w:rsid w:val="00FD4D31"/>
    <w:rsid w:val="00FD506B"/>
    <w:rsid w:val="00FD60F3"/>
    <w:rsid w:val="00FD684A"/>
    <w:rsid w:val="00FD690B"/>
    <w:rsid w:val="00FD712C"/>
    <w:rsid w:val="00FD7250"/>
    <w:rsid w:val="00FD76A5"/>
    <w:rsid w:val="00FD779F"/>
    <w:rsid w:val="00FD7E31"/>
    <w:rsid w:val="00FE0657"/>
    <w:rsid w:val="00FE084E"/>
    <w:rsid w:val="00FE112F"/>
    <w:rsid w:val="00FE1555"/>
    <w:rsid w:val="00FE1868"/>
    <w:rsid w:val="00FE238A"/>
    <w:rsid w:val="00FE2A20"/>
    <w:rsid w:val="00FE3683"/>
    <w:rsid w:val="00FE3D49"/>
    <w:rsid w:val="00FE4B1B"/>
    <w:rsid w:val="00FE4D8E"/>
    <w:rsid w:val="00FE5A82"/>
    <w:rsid w:val="00FE5B9C"/>
    <w:rsid w:val="00FE6BB6"/>
    <w:rsid w:val="00FE72FB"/>
    <w:rsid w:val="00FE7377"/>
    <w:rsid w:val="00FE73F4"/>
    <w:rsid w:val="00FE7833"/>
    <w:rsid w:val="00FE788B"/>
    <w:rsid w:val="00FE7A44"/>
    <w:rsid w:val="00FE7F0F"/>
    <w:rsid w:val="00FF026A"/>
    <w:rsid w:val="00FF03B5"/>
    <w:rsid w:val="00FF0A06"/>
    <w:rsid w:val="00FF1167"/>
    <w:rsid w:val="00FF1232"/>
    <w:rsid w:val="00FF1398"/>
    <w:rsid w:val="00FF1864"/>
    <w:rsid w:val="00FF1D51"/>
    <w:rsid w:val="00FF2AE0"/>
    <w:rsid w:val="00FF33E5"/>
    <w:rsid w:val="00FF5477"/>
    <w:rsid w:val="00FF557D"/>
    <w:rsid w:val="00FF5B2E"/>
    <w:rsid w:val="00FF6321"/>
    <w:rsid w:val="00FF6939"/>
    <w:rsid w:val="00FF6F5B"/>
    <w:rsid w:val="00FF74C9"/>
    <w:rsid w:val="00FF7903"/>
    <w:rsid w:val="00FF7F4B"/>
    <w:rsid w:val="015E8A27"/>
    <w:rsid w:val="020CF2E7"/>
    <w:rsid w:val="0212F486"/>
    <w:rsid w:val="026C1BA4"/>
    <w:rsid w:val="037338EA"/>
    <w:rsid w:val="037CCF37"/>
    <w:rsid w:val="03D66336"/>
    <w:rsid w:val="03E09F2F"/>
    <w:rsid w:val="04D406D5"/>
    <w:rsid w:val="04D99CF6"/>
    <w:rsid w:val="0530F314"/>
    <w:rsid w:val="0537BC42"/>
    <w:rsid w:val="0560C013"/>
    <w:rsid w:val="05E131EC"/>
    <w:rsid w:val="05EA5C1C"/>
    <w:rsid w:val="0641213D"/>
    <w:rsid w:val="065309B7"/>
    <w:rsid w:val="06A93502"/>
    <w:rsid w:val="06F7CF34"/>
    <w:rsid w:val="07D5633F"/>
    <w:rsid w:val="086827B9"/>
    <w:rsid w:val="091D9C28"/>
    <w:rsid w:val="09882BD6"/>
    <w:rsid w:val="0A360A70"/>
    <w:rsid w:val="0A770391"/>
    <w:rsid w:val="0AAA14C0"/>
    <w:rsid w:val="0ACAFE1B"/>
    <w:rsid w:val="0AFA0804"/>
    <w:rsid w:val="0B102617"/>
    <w:rsid w:val="0C5BC8AF"/>
    <w:rsid w:val="0CEDD1CC"/>
    <w:rsid w:val="0CEE3A90"/>
    <w:rsid w:val="0D1D0955"/>
    <w:rsid w:val="0DB0A824"/>
    <w:rsid w:val="0DCD6490"/>
    <w:rsid w:val="0E105A68"/>
    <w:rsid w:val="0EA46CD6"/>
    <w:rsid w:val="0EFB1BCC"/>
    <w:rsid w:val="0F1C78B5"/>
    <w:rsid w:val="0F99B56F"/>
    <w:rsid w:val="10129CAA"/>
    <w:rsid w:val="102B0651"/>
    <w:rsid w:val="10374E3C"/>
    <w:rsid w:val="106F079C"/>
    <w:rsid w:val="10C1514A"/>
    <w:rsid w:val="131BA3BA"/>
    <w:rsid w:val="1370125B"/>
    <w:rsid w:val="13791DFC"/>
    <w:rsid w:val="14990573"/>
    <w:rsid w:val="14A289B2"/>
    <w:rsid w:val="14B93EFF"/>
    <w:rsid w:val="14C43870"/>
    <w:rsid w:val="14C8EA9F"/>
    <w:rsid w:val="14DBF3D5"/>
    <w:rsid w:val="155D985F"/>
    <w:rsid w:val="1564E538"/>
    <w:rsid w:val="15BF0C92"/>
    <w:rsid w:val="15CC91F8"/>
    <w:rsid w:val="160E07AA"/>
    <w:rsid w:val="167653C0"/>
    <w:rsid w:val="16A0F919"/>
    <w:rsid w:val="16FD1E8D"/>
    <w:rsid w:val="17AADAA5"/>
    <w:rsid w:val="191C4157"/>
    <w:rsid w:val="1A047602"/>
    <w:rsid w:val="1A0EE34B"/>
    <w:rsid w:val="1A4CEDEB"/>
    <w:rsid w:val="1A9C44B8"/>
    <w:rsid w:val="1B0B6292"/>
    <w:rsid w:val="1B755B24"/>
    <w:rsid w:val="1C095767"/>
    <w:rsid w:val="1C9BD0BE"/>
    <w:rsid w:val="1D56DA53"/>
    <w:rsid w:val="1DFB74FB"/>
    <w:rsid w:val="1E40D428"/>
    <w:rsid w:val="1E96AE99"/>
    <w:rsid w:val="1F513066"/>
    <w:rsid w:val="1F517962"/>
    <w:rsid w:val="205D9551"/>
    <w:rsid w:val="205EA7DE"/>
    <w:rsid w:val="206ED540"/>
    <w:rsid w:val="2074D683"/>
    <w:rsid w:val="208287E3"/>
    <w:rsid w:val="2138CC77"/>
    <w:rsid w:val="21A21B27"/>
    <w:rsid w:val="21C7DA04"/>
    <w:rsid w:val="21D15C41"/>
    <w:rsid w:val="220D424D"/>
    <w:rsid w:val="2214EF11"/>
    <w:rsid w:val="221D6326"/>
    <w:rsid w:val="22E5E703"/>
    <w:rsid w:val="234449BE"/>
    <w:rsid w:val="23898EFF"/>
    <w:rsid w:val="23CBA502"/>
    <w:rsid w:val="23EF267F"/>
    <w:rsid w:val="24C819B1"/>
    <w:rsid w:val="24EDDE27"/>
    <w:rsid w:val="26FD2D1D"/>
    <w:rsid w:val="275291B6"/>
    <w:rsid w:val="275C35F4"/>
    <w:rsid w:val="27A4C350"/>
    <w:rsid w:val="27C0066D"/>
    <w:rsid w:val="27DED5FE"/>
    <w:rsid w:val="289272F2"/>
    <w:rsid w:val="28EEF774"/>
    <w:rsid w:val="290881D7"/>
    <w:rsid w:val="292563C2"/>
    <w:rsid w:val="29CAA66F"/>
    <w:rsid w:val="2A072651"/>
    <w:rsid w:val="2A9478AD"/>
    <w:rsid w:val="2AA5CBCA"/>
    <w:rsid w:val="2AF16883"/>
    <w:rsid w:val="2C07798A"/>
    <w:rsid w:val="2C504709"/>
    <w:rsid w:val="2C88F732"/>
    <w:rsid w:val="2D900E40"/>
    <w:rsid w:val="2E7794C2"/>
    <w:rsid w:val="2EB7F1F2"/>
    <w:rsid w:val="2EF9C075"/>
    <w:rsid w:val="2F6028B9"/>
    <w:rsid w:val="2FB72B43"/>
    <w:rsid w:val="2FD1D2CB"/>
    <w:rsid w:val="2FE08CE4"/>
    <w:rsid w:val="3013366F"/>
    <w:rsid w:val="30B26EA4"/>
    <w:rsid w:val="3100951E"/>
    <w:rsid w:val="313FC794"/>
    <w:rsid w:val="3142A463"/>
    <w:rsid w:val="31ED7875"/>
    <w:rsid w:val="32E3C701"/>
    <w:rsid w:val="32F0C602"/>
    <w:rsid w:val="32F4DD7E"/>
    <w:rsid w:val="3349E1D0"/>
    <w:rsid w:val="33A42170"/>
    <w:rsid w:val="33EC1754"/>
    <w:rsid w:val="34033307"/>
    <w:rsid w:val="34725F9B"/>
    <w:rsid w:val="34A06EE1"/>
    <w:rsid w:val="3627600D"/>
    <w:rsid w:val="36324EE6"/>
    <w:rsid w:val="36790269"/>
    <w:rsid w:val="37305270"/>
    <w:rsid w:val="37401B12"/>
    <w:rsid w:val="3794C693"/>
    <w:rsid w:val="37A2F4AE"/>
    <w:rsid w:val="37F6DABB"/>
    <w:rsid w:val="37FAF32D"/>
    <w:rsid w:val="380B6C94"/>
    <w:rsid w:val="380DAF8D"/>
    <w:rsid w:val="3931740F"/>
    <w:rsid w:val="39AE2583"/>
    <w:rsid w:val="39CDC8FA"/>
    <w:rsid w:val="3A1E4F6F"/>
    <w:rsid w:val="3A23C8EA"/>
    <w:rsid w:val="3A335E1C"/>
    <w:rsid w:val="3B0A80AA"/>
    <w:rsid w:val="3BBE05B4"/>
    <w:rsid w:val="3C242040"/>
    <w:rsid w:val="3C4C7DE4"/>
    <w:rsid w:val="3C9466D2"/>
    <w:rsid w:val="3DE8F257"/>
    <w:rsid w:val="3E8F4C23"/>
    <w:rsid w:val="3EAD657B"/>
    <w:rsid w:val="3F43C795"/>
    <w:rsid w:val="3F51CA2B"/>
    <w:rsid w:val="3F674B70"/>
    <w:rsid w:val="3FB3B973"/>
    <w:rsid w:val="40101CAC"/>
    <w:rsid w:val="4150A4B4"/>
    <w:rsid w:val="416086FF"/>
    <w:rsid w:val="416FD013"/>
    <w:rsid w:val="41DFC5CB"/>
    <w:rsid w:val="4265269D"/>
    <w:rsid w:val="4289D1F2"/>
    <w:rsid w:val="4306B7F6"/>
    <w:rsid w:val="430E1384"/>
    <w:rsid w:val="435347DC"/>
    <w:rsid w:val="43E0EF48"/>
    <w:rsid w:val="440D74B2"/>
    <w:rsid w:val="453FCA0D"/>
    <w:rsid w:val="457E7F96"/>
    <w:rsid w:val="45D13AB7"/>
    <w:rsid w:val="45DE66AD"/>
    <w:rsid w:val="46694E4C"/>
    <w:rsid w:val="466A0AA4"/>
    <w:rsid w:val="4688B714"/>
    <w:rsid w:val="477F39D4"/>
    <w:rsid w:val="47A3506B"/>
    <w:rsid w:val="47A752F5"/>
    <w:rsid w:val="48590785"/>
    <w:rsid w:val="48722588"/>
    <w:rsid w:val="489172CF"/>
    <w:rsid w:val="48DA4F78"/>
    <w:rsid w:val="4A0484BF"/>
    <w:rsid w:val="4A40AF67"/>
    <w:rsid w:val="4A671174"/>
    <w:rsid w:val="4A6EE254"/>
    <w:rsid w:val="4AC59309"/>
    <w:rsid w:val="4C0E9AF7"/>
    <w:rsid w:val="4C973049"/>
    <w:rsid w:val="4CCBD672"/>
    <w:rsid w:val="4D02A54C"/>
    <w:rsid w:val="4E098EFD"/>
    <w:rsid w:val="4E62B93D"/>
    <w:rsid w:val="4E73587F"/>
    <w:rsid w:val="4FDCBF35"/>
    <w:rsid w:val="508389E6"/>
    <w:rsid w:val="50A4D8E3"/>
    <w:rsid w:val="50ED8DAF"/>
    <w:rsid w:val="515B7F96"/>
    <w:rsid w:val="51CE8CCC"/>
    <w:rsid w:val="52017403"/>
    <w:rsid w:val="521AD8CE"/>
    <w:rsid w:val="52803087"/>
    <w:rsid w:val="52F5DD23"/>
    <w:rsid w:val="52F96B56"/>
    <w:rsid w:val="534845AB"/>
    <w:rsid w:val="5464D581"/>
    <w:rsid w:val="548627D2"/>
    <w:rsid w:val="55B35A68"/>
    <w:rsid w:val="55E0516F"/>
    <w:rsid w:val="55E0DA32"/>
    <w:rsid w:val="55F679DC"/>
    <w:rsid w:val="5663654F"/>
    <w:rsid w:val="56F962C2"/>
    <w:rsid w:val="57773BB0"/>
    <w:rsid w:val="57BFDBE3"/>
    <w:rsid w:val="58DC17B8"/>
    <w:rsid w:val="5A57D1AE"/>
    <w:rsid w:val="5B35052F"/>
    <w:rsid w:val="5B885A26"/>
    <w:rsid w:val="5C088D9B"/>
    <w:rsid w:val="5C12735F"/>
    <w:rsid w:val="5C48BB10"/>
    <w:rsid w:val="5C9CF23A"/>
    <w:rsid w:val="5D3E38D8"/>
    <w:rsid w:val="5E03679C"/>
    <w:rsid w:val="5F3B2FB4"/>
    <w:rsid w:val="601F0C3F"/>
    <w:rsid w:val="610090C6"/>
    <w:rsid w:val="618363A1"/>
    <w:rsid w:val="61862F5D"/>
    <w:rsid w:val="61EE517B"/>
    <w:rsid w:val="61F79FC7"/>
    <w:rsid w:val="62216FA0"/>
    <w:rsid w:val="6428C553"/>
    <w:rsid w:val="6436045E"/>
    <w:rsid w:val="6438A9FC"/>
    <w:rsid w:val="64E2FB02"/>
    <w:rsid w:val="64F234C2"/>
    <w:rsid w:val="659EAFDC"/>
    <w:rsid w:val="65DF8120"/>
    <w:rsid w:val="65E55549"/>
    <w:rsid w:val="66191DFB"/>
    <w:rsid w:val="671F4E8F"/>
    <w:rsid w:val="673D0E90"/>
    <w:rsid w:val="67FA6AB5"/>
    <w:rsid w:val="688116DA"/>
    <w:rsid w:val="6943D9C1"/>
    <w:rsid w:val="695BD74B"/>
    <w:rsid w:val="69623FEF"/>
    <w:rsid w:val="696B6860"/>
    <w:rsid w:val="6A003821"/>
    <w:rsid w:val="6A04BBF8"/>
    <w:rsid w:val="6A30FEE1"/>
    <w:rsid w:val="6A4F4F83"/>
    <w:rsid w:val="6A5C24E8"/>
    <w:rsid w:val="6A898FEA"/>
    <w:rsid w:val="6AD9BEAE"/>
    <w:rsid w:val="6AE5073A"/>
    <w:rsid w:val="6B37ACE8"/>
    <w:rsid w:val="6B4D5A83"/>
    <w:rsid w:val="6BCC26E1"/>
    <w:rsid w:val="6BE35EB4"/>
    <w:rsid w:val="6CC6B699"/>
    <w:rsid w:val="6D586B83"/>
    <w:rsid w:val="6DFC2E66"/>
    <w:rsid w:val="6E0A9801"/>
    <w:rsid w:val="6EDEC795"/>
    <w:rsid w:val="6F43A05F"/>
    <w:rsid w:val="6FA1E06E"/>
    <w:rsid w:val="6FAAE81C"/>
    <w:rsid w:val="6FF59391"/>
    <w:rsid w:val="70A51E4B"/>
    <w:rsid w:val="70CC7F31"/>
    <w:rsid w:val="72830251"/>
    <w:rsid w:val="72B436ED"/>
    <w:rsid w:val="731FB822"/>
    <w:rsid w:val="73405E8F"/>
    <w:rsid w:val="741979FA"/>
    <w:rsid w:val="7483BF49"/>
    <w:rsid w:val="74974338"/>
    <w:rsid w:val="74FFF292"/>
    <w:rsid w:val="76425F67"/>
    <w:rsid w:val="77242157"/>
    <w:rsid w:val="773DA3C3"/>
    <w:rsid w:val="789BD248"/>
    <w:rsid w:val="78BA5142"/>
    <w:rsid w:val="79831529"/>
    <w:rsid w:val="7A711C20"/>
    <w:rsid w:val="7B579B33"/>
    <w:rsid w:val="7B783A61"/>
    <w:rsid w:val="7BAF5F2D"/>
    <w:rsid w:val="7C29EDCC"/>
    <w:rsid w:val="7C7A4531"/>
    <w:rsid w:val="7CA3B222"/>
    <w:rsid w:val="7CE79FA0"/>
    <w:rsid w:val="7D09FB8C"/>
    <w:rsid w:val="7D51C5EB"/>
    <w:rsid w:val="7D863526"/>
    <w:rsid w:val="7DC2B2ED"/>
    <w:rsid w:val="7DCADB3B"/>
    <w:rsid w:val="7F054085"/>
    <w:rsid w:val="7F0E57A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3712DD5"/>
  <w15:docId w15:val="{9D950ED6-DE56-4A40-B79C-0AD08138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uiPriority w:val="9"/>
    <w:unhideWhenUsed/>
    <w:qFormat/>
    <w:rsid w:val="00E704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46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66B"/>
  </w:style>
  <w:style w:type="paragraph" w:styleId="Fuzeile">
    <w:name w:val="footer"/>
    <w:basedOn w:val="Standard"/>
    <w:link w:val="FuzeileZchn"/>
    <w:uiPriority w:val="99"/>
    <w:unhideWhenUsed/>
    <w:rsid w:val="005546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66B"/>
  </w:style>
  <w:style w:type="paragraph" w:styleId="Sprechblasentext">
    <w:name w:val="Balloon Text"/>
    <w:basedOn w:val="Standard"/>
    <w:link w:val="SprechblasentextZchn"/>
    <w:uiPriority w:val="99"/>
    <w:semiHidden/>
    <w:unhideWhenUsed/>
    <w:rsid w:val="005546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66B"/>
    <w:rPr>
      <w:rFonts w:ascii="Tahoma" w:hAnsi="Tahoma" w:cs="Tahoma"/>
      <w:sz w:val="16"/>
      <w:szCs w:val="16"/>
    </w:rPr>
  </w:style>
  <w:style w:type="paragraph" w:styleId="StandardWeb">
    <w:name w:val="Normal (Web)"/>
    <w:basedOn w:val="Standard"/>
    <w:uiPriority w:val="99"/>
    <w:semiHidden/>
    <w:unhideWhenUsed/>
    <w:rsid w:val="0055466B"/>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F2138D"/>
    <w:pPr>
      <w:ind w:left="720"/>
      <w:contextualSpacing/>
    </w:pPr>
  </w:style>
  <w:style w:type="table" w:styleId="Tabellenraster">
    <w:name w:val="Table Grid"/>
    <w:basedOn w:val="NormaleTabelle"/>
    <w:uiPriority w:val="59"/>
    <w:rsid w:val="0053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0589A"/>
    <w:rPr>
      <w:sz w:val="16"/>
      <w:szCs w:val="16"/>
    </w:rPr>
  </w:style>
  <w:style w:type="paragraph" w:styleId="Kommentartext">
    <w:name w:val="annotation text"/>
    <w:basedOn w:val="Standard"/>
    <w:link w:val="KommentartextZchn"/>
    <w:uiPriority w:val="99"/>
    <w:semiHidden/>
    <w:unhideWhenUsed/>
    <w:rsid w:val="002058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589A"/>
    <w:rPr>
      <w:sz w:val="20"/>
      <w:szCs w:val="20"/>
    </w:rPr>
  </w:style>
  <w:style w:type="paragraph" w:styleId="Kommentarthema">
    <w:name w:val="annotation subject"/>
    <w:basedOn w:val="Kommentartext"/>
    <w:next w:val="Kommentartext"/>
    <w:link w:val="KommentarthemaZchn"/>
    <w:uiPriority w:val="99"/>
    <w:semiHidden/>
    <w:unhideWhenUsed/>
    <w:rsid w:val="0020589A"/>
    <w:rPr>
      <w:b/>
      <w:bCs/>
    </w:rPr>
  </w:style>
  <w:style w:type="character" w:customStyle="1" w:styleId="KommentarthemaZchn">
    <w:name w:val="Kommentarthema Zchn"/>
    <w:basedOn w:val="KommentartextZchn"/>
    <w:link w:val="Kommentarthema"/>
    <w:uiPriority w:val="99"/>
    <w:semiHidden/>
    <w:rsid w:val="0020589A"/>
    <w:rPr>
      <w:b/>
      <w:bCs/>
      <w:sz w:val="20"/>
      <w:szCs w:val="20"/>
    </w:rPr>
  </w:style>
  <w:style w:type="paragraph" w:styleId="berarbeitung">
    <w:name w:val="Revision"/>
    <w:hidden/>
    <w:uiPriority w:val="99"/>
    <w:semiHidden/>
    <w:rsid w:val="00706DD1"/>
    <w:pPr>
      <w:spacing w:after="0" w:line="240" w:lineRule="auto"/>
    </w:pPr>
  </w:style>
  <w:style w:type="paragraph" w:styleId="Beschriftung">
    <w:name w:val="caption"/>
    <w:basedOn w:val="Standard"/>
    <w:next w:val="Standard"/>
    <w:uiPriority w:val="35"/>
    <w:unhideWhenUsed/>
    <w:qFormat/>
    <w:rsid w:val="00EE7FCA"/>
    <w:pPr>
      <w:spacing w:line="240" w:lineRule="auto"/>
    </w:pPr>
    <w:rPr>
      <w:i/>
      <w:iCs/>
      <w:color w:val="1F497D" w:themeColor="text2"/>
      <w:sz w:val="18"/>
      <w:szCs w:val="18"/>
    </w:rPr>
  </w:style>
  <w:style w:type="character" w:styleId="Hyperlink">
    <w:name w:val="Hyperlink"/>
    <w:basedOn w:val="Absatz-Standardschriftart"/>
    <w:uiPriority w:val="99"/>
    <w:unhideWhenUsed/>
    <w:rPr>
      <w:color w:val="0000FF" w:themeColor="hyperlink"/>
      <w:u w:val="single"/>
    </w:rPr>
  </w:style>
  <w:style w:type="table" w:customStyle="1" w:styleId="TableGrid1">
    <w:name w:val="Table Grid1"/>
    <w:basedOn w:val="NormaleTabelle"/>
    <w:next w:val="Tabellenraster"/>
    <w:uiPriority w:val="59"/>
    <w:rsid w:val="006A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6A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272">
      <w:bodyDiv w:val="1"/>
      <w:marLeft w:val="0"/>
      <w:marRight w:val="0"/>
      <w:marTop w:val="0"/>
      <w:marBottom w:val="0"/>
      <w:divBdr>
        <w:top w:val="none" w:sz="0" w:space="0" w:color="auto"/>
        <w:left w:val="none" w:sz="0" w:space="0" w:color="auto"/>
        <w:bottom w:val="none" w:sz="0" w:space="0" w:color="auto"/>
        <w:right w:val="none" w:sz="0" w:space="0" w:color="auto"/>
      </w:divBdr>
    </w:div>
    <w:div w:id="279410874">
      <w:bodyDiv w:val="1"/>
      <w:marLeft w:val="0"/>
      <w:marRight w:val="0"/>
      <w:marTop w:val="0"/>
      <w:marBottom w:val="0"/>
      <w:divBdr>
        <w:top w:val="none" w:sz="0" w:space="0" w:color="auto"/>
        <w:left w:val="none" w:sz="0" w:space="0" w:color="auto"/>
        <w:bottom w:val="none" w:sz="0" w:space="0" w:color="auto"/>
        <w:right w:val="none" w:sz="0" w:space="0" w:color="auto"/>
      </w:divBdr>
    </w:div>
    <w:div w:id="409624820">
      <w:bodyDiv w:val="1"/>
      <w:marLeft w:val="0"/>
      <w:marRight w:val="0"/>
      <w:marTop w:val="0"/>
      <w:marBottom w:val="0"/>
      <w:divBdr>
        <w:top w:val="none" w:sz="0" w:space="0" w:color="auto"/>
        <w:left w:val="none" w:sz="0" w:space="0" w:color="auto"/>
        <w:bottom w:val="none" w:sz="0" w:space="0" w:color="auto"/>
        <w:right w:val="none" w:sz="0" w:space="0" w:color="auto"/>
      </w:divBdr>
    </w:div>
    <w:div w:id="430125244">
      <w:bodyDiv w:val="1"/>
      <w:marLeft w:val="0"/>
      <w:marRight w:val="0"/>
      <w:marTop w:val="0"/>
      <w:marBottom w:val="0"/>
      <w:divBdr>
        <w:top w:val="none" w:sz="0" w:space="0" w:color="auto"/>
        <w:left w:val="none" w:sz="0" w:space="0" w:color="auto"/>
        <w:bottom w:val="none" w:sz="0" w:space="0" w:color="auto"/>
        <w:right w:val="none" w:sz="0" w:space="0" w:color="auto"/>
      </w:divBdr>
    </w:div>
    <w:div w:id="440225578">
      <w:bodyDiv w:val="1"/>
      <w:marLeft w:val="0"/>
      <w:marRight w:val="0"/>
      <w:marTop w:val="0"/>
      <w:marBottom w:val="0"/>
      <w:divBdr>
        <w:top w:val="none" w:sz="0" w:space="0" w:color="auto"/>
        <w:left w:val="none" w:sz="0" w:space="0" w:color="auto"/>
        <w:bottom w:val="none" w:sz="0" w:space="0" w:color="auto"/>
        <w:right w:val="none" w:sz="0" w:space="0" w:color="auto"/>
      </w:divBdr>
    </w:div>
    <w:div w:id="446898249">
      <w:bodyDiv w:val="1"/>
      <w:marLeft w:val="0"/>
      <w:marRight w:val="0"/>
      <w:marTop w:val="0"/>
      <w:marBottom w:val="0"/>
      <w:divBdr>
        <w:top w:val="none" w:sz="0" w:space="0" w:color="auto"/>
        <w:left w:val="none" w:sz="0" w:space="0" w:color="auto"/>
        <w:bottom w:val="none" w:sz="0" w:space="0" w:color="auto"/>
        <w:right w:val="none" w:sz="0" w:space="0" w:color="auto"/>
      </w:divBdr>
    </w:div>
    <w:div w:id="568033257">
      <w:bodyDiv w:val="1"/>
      <w:marLeft w:val="0"/>
      <w:marRight w:val="0"/>
      <w:marTop w:val="0"/>
      <w:marBottom w:val="0"/>
      <w:divBdr>
        <w:top w:val="none" w:sz="0" w:space="0" w:color="auto"/>
        <w:left w:val="none" w:sz="0" w:space="0" w:color="auto"/>
        <w:bottom w:val="none" w:sz="0" w:space="0" w:color="auto"/>
        <w:right w:val="none" w:sz="0" w:space="0" w:color="auto"/>
      </w:divBdr>
    </w:div>
    <w:div w:id="650409167">
      <w:bodyDiv w:val="1"/>
      <w:marLeft w:val="0"/>
      <w:marRight w:val="0"/>
      <w:marTop w:val="0"/>
      <w:marBottom w:val="0"/>
      <w:divBdr>
        <w:top w:val="none" w:sz="0" w:space="0" w:color="auto"/>
        <w:left w:val="none" w:sz="0" w:space="0" w:color="auto"/>
        <w:bottom w:val="none" w:sz="0" w:space="0" w:color="auto"/>
        <w:right w:val="none" w:sz="0" w:space="0" w:color="auto"/>
      </w:divBdr>
    </w:div>
    <w:div w:id="669065683">
      <w:bodyDiv w:val="1"/>
      <w:marLeft w:val="0"/>
      <w:marRight w:val="0"/>
      <w:marTop w:val="0"/>
      <w:marBottom w:val="0"/>
      <w:divBdr>
        <w:top w:val="none" w:sz="0" w:space="0" w:color="auto"/>
        <w:left w:val="none" w:sz="0" w:space="0" w:color="auto"/>
        <w:bottom w:val="none" w:sz="0" w:space="0" w:color="auto"/>
        <w:right w:val="none" w:sz="0" w:space="0" w:color="auto"/>
      </w:divBdr>
    </w:div>
    <w:div w:id="698774699">
      <w:bodyDiv w:val="1"/>
      <w:marLeft w:val="0"/>
      <w:marRight w:val="0"/>
      <w:marTop w:val="0"/>
      <w:marBottom w:val="0"/>
      <w:divBdr>
        <w:top w:val="none" w:sz="0" w:space="0" w:color="auto"/>
        <w:left w:val="none" w:sz="0" w:space="0" w:color="auto"/>
        <w:bottom w:val="none" w:sz="0" w:space="0" w:color="auto"/>
        <w:right w:val="none" w:sz="0" w:space="0" w:color="auto"/>
      </w:divBdr>
    </w:div>
    <w:div w:id="849413386">
      <w:bodyDiv w:val="1"/>
      <w:marLeft w:val="0"/>
      <w:marRight w:val="0"/>
      <w:marTop w:val="0"/>
      <w:marBottom w:val="0"/>
      <w:divBdr>
        <w:top w:val="none" w:sz="0" w:space="0" w:color="auto"/>
        <w:left w:val="none" w:sz="0" w:space="0" w:color="auto"/>
        <w:bottom w:val="none" w:sz="0" w:space="0" w:color="auto"/>
        <w:right w:val="none" w:sz="0" w:space="0" w:color="auto"/>
      </w:divBdr>
    </w:div>
    <w:div w:id="854080832">
      <w:bodyDiv w:val="1"/>
      <w:marLeft w:val="0"/>
      <w:marRight w:val="0"/>
      <w:marTop w:val="0"/>
      <w:marBottom w:val="0"/>
      <w:divBdr>
        <w:top w:val="none" w:sz="0" w:space="0" w:color="auto"/>
        <w:left w:val="none" w:sz="0" w:space="0" w:color="auto"/>
        <w:bottom w:val="none" w:sz="0" w:space="0" w:color="auto"/>
        <w:right w:val="none" w:sz="0" w:space="0" w:color="auto"/>
      </w:divBdr>
    </w:div>
    <w:div w:id="868493433">
      <w:bodyDiv w:val="1"/>
      <w:marLeft w:val="0"/>
      <w:marRight w:val="0"/>
      <w:marTop w:val="0"/>
      <w:marBottom w:val="0"/>
      <w:divBdr>
        <w:top w:val="none" w:sz="0" w:space="0" w:color="auto"/>
        <w:left w:val="none" w:sz="0" w:space="0" w:color="auto"/>
        <w:bottom w:val="none" w:sz="0" w:space="0" w:color="auto"/>
        <w:right w:val="none" w:sz="0" w:space="0" w:color="auto"/>
      </w:divBdr>
    </w:div>
    <w:div w:id="868832203">
      <w:bodyDiv w:val="1"/>
      <w:marLeft w:val="0"/>
      <w:marRight w:val="0"/>
      <w:marTop w:val="0"/>
      <w:marBottom w:val="0"/>
      <w:divBdr>
        <w:top w:val="none" w:sz="0" w:space="0" w:color="auto"/>
        <w:left w:val="none" w:sz="0" w:space="0" w:color="auto"/>
        <w:bottom w:val="none" w:sz="0" w:space="0" w:color="auto"/>
        <w:right w:val="none" w:sz="0" w:space="0" w:color="auto"/>
      </w:divBdr>
    </w:div>
    <w:div w:id="897399816">
      <w:bodyDiv w:val="1"/>
      <w:marLeft w:val="0"/>
      <w:marRight w:val="0"/>
      <w:marTop w:val="0"/>
      <w:marBottom w:val="0"/>
      <w:divBdr>
        <w:top w:val="none" w:sz="0" w:space="0" w:color="auto"/>
        <w:left w:val="none" w:sz="0" w:space="0" w:color="auto"/>
        <w:bottom w:val="none" w:sz="0" w:space="0" w:color="auto"/>
        <w:right w:val="none" w:sz="0" w:space="0" w:color="auto"/>
      </w:divBdr>
    </w:div>
    <w:div w:id="997731203">
      <w:bodyDiv w:val="1"/>
      <w:marLeft w:val="0"/>
      <w:marRight w:val="0"/>
      <w:marTop w:val="0"/>
      <w:marBottom w:val="0"/>
      <w:divBdr>
        <w:top w:val="none" w:sz="0" w:space="0" w:color="auto"/>
        <w:left w:val="none" w:sz="0" w:space="0" w:color="auto"/>
        <w:bottom w:val="none" w:sz="0" w:space="0" w:color="auto"/>
        <w:right w:val="none" w:sz="0" w:space="0" w:color="auto"/>
      </w:divBdr>
    </w:div>
    <w:div w:id="1027216158">
      <w:bodyDiv w:val="1"/>
      <w:marLeft w:val="0"/>
      <w:marRight w:val="0"/>
      <w:marTop w:val="0"/>
      <w:marBottom w:val="0"/>
      <w:divBdr>
        <w:top w:val="none" w:sz="0" w:space="0" w:color="auto"/>
        <w:left w:val="none" w:sz="0" w:space="0" w:color="auto"/>
        <w:bottom w:val="none" w:sz="0" w:space="0" w:color="auto"/>
        <w:right w:val="none" w:sz="0" w:space="0" w:color="auto"/>
      </w:divBdr>
    </w:div>
    <w:div w:id="1058896788">
      <w:bodyDiv w:val="1"/>
      <w:marLeft w:val="0"/>
      <w:marRight w:val="0"/>
      <w:marTop w:val="0"/>
      <w:marBottom w:val="0"/>
      <w:divBdr>
        <w:top w:val="none" w:sz="0" w:space="0" w:color="auto"/>
        <w:left w:val="none" w:sz="0" w:space="0" w:color="auto"/>
        <w:bottom w:val="none" w:sz="0" w:space="0" w:color="auto"/>
        <w:right w:val="none" w:sz="0" w:space="0" w:color="auto"/>
      </w:divBdr>
    </w:div>
    <w:div w:id="1088387923">
      <w:bodyDiv w:val="1"/>
      <w:marLeft w:val="0"/>
      <w:marRight w:val="0"/>
      <w:marTop w:val="0"/>
      <w:marBottom w:val="0"/>
      <w:divBdr>
        <w:top w:val="none" w:sz="0" w:space="0" w:color="auto"/>
        <w:left w:val="none" w:sz="0" w:space="0" w:color="auto"/>
        <w:bottom w:val="none" w:sz="0" w:space="0" w:color="auto"/>
        <w:right w:val="none" w:sz="0" w:space="0" w:color="auto"/>
      </w:divBdr>
    </w:div>
    <w:div w:id="1103450494">
      <w:bodyDiv w:val="1"/>
      <w:marLeft w:val="0"/>
      <w:marRight w:val="0"/>
      <w:marTop w:val="0"/>
      <w:marBottom w:val="0"/>
      <w:divBdr>
        <w:top w:val="none" w:sz="0" w:space="0" w:color="auto"/>
        <w:left w:val="none" w:sz="0" w:space="0" w:color="auto"/>
        <w:bottom w:val="none" w:sz="0" w:space="0" w:color="auto"/>
        <w:right w:val="none" w:sz="0" w:space="0" w:color="auto"/>
      </w:divBdr>
    </w:div>
    <w:div w:id="1113944513">
      <w:bodyDiv w:val="1"/>
      <w:marLeft w:val="0"/>
      <w:marRight w:val="0"/>
      <w:marTop w:val="0"/>
      <w:marBottom w:val="0"/>
      <w:divBdr>
        <w:top w:val="none" w:sz="0" w:space="0" w:color="auto"/>
        <w:left w:val="none" w:sz="0" w:space="0" w:color="auto"/>
        <w:bottom w:val="none" w:sz="0" w:space="0" w:color="auto"/>
        <w:right w:val="none" w:sz="0" w:space="0" w:color="auto"/>
      </w:divBdr>
    </w:div>
    <w:div w:id="1211503136">
      <w:bodyDiv w:val="1"/>
      <w:marLeft w:val="0"/>
      <w:marRight w:val="0"/>
      <w:marTop w:val="0"/>
      <w:marBottom w:val="0"/>
      <w:divBdr>
        <w:top w:val="none" w:sz="0" w:space="0" w:color="auto"/>
        <w:left w:val="none" w:sz="0" w:space="0" w:color="auto"/>
        <w:bottom w:val="none" w:sz="0" w:space="0" w:color="auto"/>
        <w:right w:val="none" w:sz="0" w:space="0" w:color="auto"/>
      </w:divBdr>
    </w:div>
    <w:div w:id="1222016416">
      <w:bodyDiv w:val="1"/>
      <w:marLeft w:val="0"/>
      <w:marRight w:val="0"/>
      <w:marTop w:val="0"/>
      <w:marBottom w:val="0"/>
      <w:divBdr>
        <w:top w:val="none" w:sz="0" w:space="0" w:color="auto"/>
        <w:left w:val="none" w:sz="0" w:space="0" w:color="auto"/>
        <w:bottom w:val="none" w:sz="0" w:space="0" w:color="auto"/>
        <w:right w:val="none" w:sz="0" w:space="0" w:color="auto"/>
      </w:divBdr>
    </w:div>
    <w:div w:id="1249734038">
      <w:bodyDiv w:val="1"/>
      <w:marLeft w:val="0"/>
      <w:marRight w:val="0"/>
      <w:marTop w:val="0"/>
      <w:marBottom w:val="0"/>
      <w:divBdr>
        <w:top w:val="none" w:sz="0" w:space="0" w:color="auto"/>
        <w:left w:val="none" w:sz="0" w:space="0" w:color="auto"/>
        <w:bottom w:val="none" w:sz="0" w:space="0" w:color="auto"/>
        <w:right w:val="none" w:sz="0" w:space="0" w:color="auto"/>
      </w:divBdr>
    </w:div>
    <w:div w:id="1286543957">
      <w:bodyDiv w:val="1"/>
      <w:marLeft w:val="0"/>
      <w:marRight w:val="0"/>
      <w:marTop w:val="0"/>
      <w:marBottom w:val="0"/>
      <w:divBdr>
        <w:top w:val="none" w:sz="0" w:space="0" w:color="auto"/>
        <w:left w:val="none" w:sz="0" w:space="0" w:color="auto"/>
        <w:bottom w:val="none" w:sz="0" w:space="0" w:color="auto"/>
        <w:right w:val="none" w:sz="0" w:space="0" w:color="auto"/>
      </w:divBdr>
    </w:div>
    <w:div w:id="1332370302">
      <w:bodyDiv w:val="1"/>
      <w:marLeft w:val="0"/>
      <w:marRight w:val="0"/>
      <w:marTop w:val="0"/>
      <w:marBottom w:val="0"/>
      <w:divBdr>
        <w:top w:val="none" w:sz="0" w:space="0" w:color="auto"/>
        <w:left w:val="none" w:sz="0" w:space="0" w:color="auto"/>
        <w:bottom w:val="none" w:sz="0" w:space="0" w:color="auto"/>
        <w:right w:val="none" w:sz="0" w:space="0" w:color="auto"/>
      </w:divBdr>
    </w:div>
    <w:div w:id="1382170349">
      <w:bodyDiv w:val="1"/>
      <w:marLeft w:val="0"/>
      <w:marRight w:val="0"/>
      <w:marTop w:val="0"/>
      <w:marBottom w:val="0"/>
      <w:divBdr>
        <w:top w:val="none" w:sz="0" w:space="0" w:color="auto"/>
        <w:left w:val="none" w:sz="0" w:space="0" w:color="auto"/>
        <w:bottom w:val="none" w:sz="0" w:space="0" w:color="auto"/>
        <w:right w:val="none" w:sz="0" w:space="0" w:color="auto"/>
      </w:divBdr>
    </w:div>
    <w:div w:id="1427457874">
      <w:bodyDiv w:val="1"/>
      <w:marLeft w:val="0"/>
      <w:marRight w:val="0"/>
      <w:marTop w:val="0"/>
      <w:marBottom w:val="0"/>
      <w:divBdr>
        <w:top w:val="none" w:sz="0" w:space="0" w:color="auto"/>
        <w:left w:val="none" w:sz="0" w:space="0" w:color="auto"/>
        <w:bottom w:val="none" w:sz="0" w:space="0" w:color="auto"/>
        <w:right w:val="none" w:sz="0" w:space="0" w:color="auto"/>
      </w:divBdr>
    </w:div>
    <w:div w:id="1458523458">
      <w:bodyDiv w:val="1"/>
      <w:marLeft w:val="0"/>
      <w:marRight w:val="0"/>
      <w:marTop w:val="0"/>
      <w:marBottom w:val="0"/>
      <w:divBdr>
        <w:top w:val="none" w:sz="0" w:space="0" w:color="auto"/>
        <w:left w:val="none" w:sz="0" w:space="0" w:color="auto"/>
        <w:bottom w:val="none" w:sz="0" w:space="0" w:color="auto"/>
        <w:right w:val="none" w:sz="0" w:space="0" w:color="auto"/>
      </w:divBdr>
    </w:div>
    <w:div w:id="1501238258">
      <w:bodyDiv w:val="1"/>
      <w:marLeft w:val="0"/>
      <w:marRight w:val="0"/>
      <w:marTop w:val="0"/>
      <w:marBottom w:val="0"/>
      <w:divBdr>
        <w:top w:val="none" w:sz="0" w:space="0" w:color="auto"/>
        <w:left w:val="none" w:sz="0" w:space="0" w:color="auto"/>
        <w:bottom w:val="none" w:sz="0" w:space="0" w:color="auto"/>
        <w:right w:val="none" w:sz="0" w:space="0" w:color="auto"/>
      </w:divBdr>
    </w:div>
    <w:div w:id="1502961926">
      <w:bodyDiv w:val="1"/>
      <w:marLeft w:val="0"/>
      <w:marRight w:val="0"/>
      <w:marTop w:val="0"/>
      <w:marBottom w:val="0"/>
      <w:divBdr>
        <w:top w:val="none" w:sz="0" w:space="0" w:color="auto"/>
        <w:left w:val="none" w:sz="0" w:space="0" w:color="auto"/>
        <w:bottom w:val="none" w:sz="0" w:space="0" w:color="auto"/>
        <w:right w:val="none" w:sz="0" w:space="0" w:color="auto"/>
      </w:divBdr>
    </w:div>
    <w:div w:id="1535195699">
      <w:bodyDiv w:val="1"/>
      <w:marLeft w:val="0"/>
      <w:marRight w:val="0"/>
      <w:marTop w:val="0"/>
      <w:marBottom w:val="0"/>
      <w:divBdr>
        <w:top w:val="none" w:sz="0" w:space="0" w:color="auto"/>
        <w:left w:val="none" w:sz="0" w:space="0" w:color="auto"/>
        <w:bottom w:val="none" w:sz="0" w:space="0" w:color="auto"/>
        <w:right w:val="none" w:sz="0" w:space="0" w:color="auto"/>
      </w:divBdr>
    </w:div>
    <w:div w:id="1551532008">
      <w:bodyDiv w:val="1"/>
      <w:marLeft w:val="0"/>
      <w:marRight w:val="0"/>
      <w:marTop w:val="0"/>
      <w:marBottom w:val="0"/>
      <w:divBdr>
        <w:top w:val="none" w:sz="0" w:space="0" w:color="auto"/>
        <w:left w:val="none" w:sz="0" w:space="0" w:color="auto"/>
        <w:bottom w:val="none" w:sz="0" w:space="0" w:color="auto"/>
        <w:right w:val="none" w:sz="0" w:space="0" w:color="auto"/>
      </w:divBdr>
    </w:div>
    <w:div w:id="1577982764">
      <w:bodyDiv w:val="1"/>
      <w:marLeft w:val="0"/>
      <w:marRight w:val="0"/>
      <w:marTop w:val="0"/>
      <w:marBottom w:val="0"/>
      <w:divBdr>
        <w:top w:val="none" w:sz="0" w:space="0" w:color="auto"/>
        <w:left w:val="none" w:sz="0" w:space="0" w:color="auto"/>
        <w:bottom w:val="none" w:sz="0" w:space="0" w:color="auto"/>
        <w:right w:val="none" w:sz="0" w:space="0" w:color="auto"/>
      </w:divBdr>
    </w:div>
    <w:div w:id="1621106288">
      <w:bodyDiv w:val="1"/>
      <w:marLeft w:val="0"/>
      <w:marRight w:val="0"/>
      <w:marTop w:val="0"/>
      <w:marBottom w:val="0"/>
      <w:divBdr>
        <w:top w:val="none" w:sz="0" w:space="0" w:color="auto"/>
        <w:left w:val="none" w:sz="0" w:space="0" w:color="auto"/>
        <w:bottom w:val="none" w:sz="0" w:space="0" w:color="auto"/>
        <w:right w:val="none" w:sz="0" w:space="0" w:color="auto"/>
      </w:divBdr>
    </w:div>
    <w:div w:id="1673289118">
      <w:bodyDiv w:val="1"/>
      <w:marLeft w:val="0"/>
      <w:marRight w:val="0"/>
      <w:marTop w:val="0"/>
      <w:marBottom w:val="0"/>
      <w:divBdr>
        <w:top w:val="none" w:sz="0" w:space="0" w:color="auto"/>
        <w:left w:val="none" w:sz="0" w:space="0" w:color="auto"/>
        <w:bottom w:val="none" w:sz="0" w:space="0" w:color="auto"/>
        <w:right w:val="none" w:sz="0" w:space="0" w:color="auto"/>
      </w:divBdr>
    </w:div>
    <w:div w:id="1706322647">
      <w:bodyDiv w:val="1"/>
      <w:marLeft w:val="0"/>
      <w:marRight w:val="0"/>
      <w:marTop w:val="0"/>
      <w:marBottom w:val="0"/>
      <w:divBdr>
        <w:top w:val="none" w:sz="0" w:space="0" w:color="auto"/>
        <w:left w:val="none" w:sz="0" w:space="0" w:color="auto"/>
        <w:bottom w:val="none" w:sz="0" w:space="0" w:color="auto"/>
        <w:right w:val="none" w:sz="0" w:space="0" w:color="auto"/>
      </w:divBdr>
    </w:div>
    <w:div w:id="1941789588">
      <w:bodyDiv w:val="1"/>
      <w:marLeft w:val="0"/>
      <w:marRight w:val="0"/>
      <w:marTop w:val="0"/>
      <w:marBottom w:val="0"/>
      <w:divBdr>
        <w:top w:val="none" w:sz="0" w:space="0" w:color="auto"/>
        <w:left w:val="none" w:sz="0" w:space="0" w:color="auto"/>
        <w:bottom w:val="none" w:sz="0" w:space="0" w:color="auto"/>
        <w:right w:val="none" w:sz="0" w:space="0" w:color="auto"/>
      </w:divBdr>
    </w:div>
    <w:div w:id="2026398064">
      <w:bodyDiv w:val="1"/>
      <w:marLeft w:val="0"/>
      <w:marRight w:val="0"/>
      <w:marTop w:val="0"/>
      <w:marBottom w:val="0"/>
      <w:divBdr>
        <w:top w:val="none" w:sz="0" w:space="0" w:color="auto"/>
        <w:left w:val="none" w:sz="0" w:space="0" w:color="auto"/>
        <w:bottom w:val="none" w:sz="0" w:space="0" w:color="auto"/>
        <w:right w:val="none" w:sz="0" w:space="0" w:color="auto"/>
      </w:divBdr>
    </w:div>
    <w:div w:id="2052798895">
      <w:bodyDiv w:val="1"/>
      <w:marLeft w:val="0"/>
      <w:marRight w:val="0"/>
      <w:marTop w:val="0"/>
      <w:marBottom w:val="0"/>
      <w:divBdr>
        <w:top w:val="none" w:sz="0" w:space="0" w:color="auto"/>
        <w:left w:val="none" w:sz="0" w:space="0" w:color="auto"/>
        <w:bottom w:val="none" w:sz="0" w:space="0" w:color="auto"/>
        <w:right w:val="none" w:sz="0" w:space="0" w:color="auto"/>
      </w:divBdr>
    </w:div>
    <w:div w:id="2119762753">
      <w:bodyDiv w:val="1"/>
      <w:marLeft w:val="0"/>
      <w:marRight w:val="0"/>
      <w:marTop w:val="0"/>
      <w:marBottom w:val="0"/>
      <w:divBdr>
        <w:top w:val="none" w:sz="0" w:space="0" w:color="auto"/>
        <w:left w:val="none" w:sz="0" w:space="0" w:color="auto"/>
        <w:bottom w:val="none" w:sz="0" w:space="0" w:color="auto"/>
        <w:right w:val="none" w:sz="0" w:space="0" w:color="auto"/>
      </w:divBdr>
    </w:div>
    <w:div w:id="2129935200">
      <w:bodyDiv w:val="1"/>
      <w:marLeft w:val="0"/>
      <w:marRight w:val="0"/>
      <w:marTop w:val="0"/>
      <w:marBottom w:val="0"/>
      <w:divBdr>
        <w:top w:val="none" w:sz="0" w:space="0" w:color="auto"/>
        <w:left w:val="none" w:sz="0" w:space="0" w:color="auto"/>
        <w:bottom w:val="none" w:sz="0" w:space="0" w:color="auto"/>
        <w:right w:val="none" w:sz="0" w:space="0" w:color="auto"/>
      </w:divBdr>
    </w:div>
    <w:div w:id="21300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ermanpropertypartners.de/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BAB600A8422041A037925D28679900" ma:contentTypeVersion="2" ma:contentTypeDescription="Create a new document." ma:contentTypeScope="" ma:versionID="4083af1045b198b09fbbe4df61974d40">
  <xsd:schema xmlns:xsd="http://www.w3.org/2001/XMLSchema" xmlns:xs="http://www.w3.org/2001/XMLSchema" xmlns:p="http://schemas.microsoft.com/office/2006/metadata/properties" xmlns:ns2="84aed6d6-a926-4909-ae89-377442fd3b88" targetNamespace="http://schemas.microsoft.com/office/2006/metadata/properties" ma:root="true" ma:fieldsID="f00d88e617b7a6063480a0bbcc67154e" ns2:_="">
    <xsd:import namespace="84aed6d6-a926-4909-ae89-377442fd3b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ed6d6-a926-4909-ae89-377442fd3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F8E6C-18B5-4F44-8B1B-3F6669F1BA9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4aed6d6-a926-4909-ae89-377442fd3b88"/>
    <ds:schemaRef ds:uri="http://www.w3.org/XML/1998/namespace"/>
    <ds:schemaRef ds:uri="http://purl.org/dc/dcmitype/"/>
  </ds:schemaRefs>
</ds:datastoreItem>
</file>

<file path=customXml/itemProps2.xml><?xml version="1.0" encoding="utf-8"?>
<ds:datastoreItem xmlns:ds="http://schemas.openxmlformats.org/officeDocument/2006/customXml" ds:itemID="{81A3B13D-27BB-443A-979E-27D2839E9E84}">
  <ds:schemaRefs>
    <ds:schemaRef ds:uri="http://schemas.microsoft.com/sharepoint/v3/contenttype/forms"/>
  </ds:schemaRefs>
</ds:datastoreItem>
</file>

<file path=customXml/itemProps3.xml><?xml version="1.0" encoding="utf-8"?>
<ds:datastoreItem xmlns:ds="http://schemas.openxmlformats.org/officeDocument/2006/customXml" ds:itemID="{0F8E9623-C258-44D3-A308-E166C3FCB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ed6d6-a926-4909-ae89-377442fd3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05C1E5-30DC-4D28-A98F-17E892F2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6639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Grossmann &amp; Berger GmbH</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Alicia Hölandt</dc:creator>
  <cp:keywords/>
  <cp:lastModifiedBy>Berit Friedrich</cp:lastModifiedBy>
  <cp:revision>35</cp:revision>
  <cp:lastPrinted>2020-12-30T12:20:00Z</cp:lastPrinted>
  <dcterms:created xsi:type="dcterms:W3CDTF">2021-06-30T07:29:00Z</dcterms:created>
  <dcterms:modified xsi:type="dcterms:W3CDTF">2021-07-01T16:40:00Z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0x01010015BAB600A8422041A037925D28679900</vt:lpwstr>
  </property>
</Properties>
</file>