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0F4A" w14:textId="7F7B0F8A" w:rsidR="00FB4C43" w:rsidRDefault="00FB4C43" w:rsidP="00FB4C43">
      <w:pPr>
        <w:spacing w:line="360" w:lineRule="auto"/>
        <w:jc w:val="both"/>
        <w:rPr>
          <w:rFonts w:ascii="Arial" w:hAnsi="Arial" w:cs="Arial"/>
          <w:bCs/>
          <w:u w:val="single"/>
        </w:rPr>
      </w:pPr>
      <w:r>
        <w:rPr>
          <w:rFonts w:ascii="Arial" w:hAnsi="Arial" w:cs="Arial"/>
          <w:bCs/>
          <w:u w:val="single"/>
        </w:rPr>
        <w:t xml:space="preserve">LAMILUX Composites: </w:t>
      </w:r>
      <w:r w:rsidR="00E5761B">
        <w:rPr>
          <w:rFonts w:ascii="Arial" w:hAnsi="Arial" w:cs="Arial"/>
          <w:bCs/>
          <w:u w:val="single"/>
        </w:rPr>
        <w:t>Profimaterial für den Lebensmitteltran</w:t>
      </w:r>
      <w:r w:rsidR="00574D2E">
        <w:rPr>
          <w:rFonts w:ascii="Arial" w:hAnsi="Arial" w:cs="Arial"/>
          <w:bCs/>
          <w:u w:val="single"/>
        </w:rPr>
        <w:t>sport</w:t>
      </w:r>
    </w:p>
    <w:p w14:paraId="35A4636C" w14:textId="77777777" w:rsidR="00FB4C43" w:rsidRDefault="00FB4C43" w:rsidP="00FB4C43">
      <w:pPr>
        <w:spacing w:line="360" w:lineRule="auto"/>
        <w:jc w:val="both"/>
        <w:rPr>
          <w:rFonts w:ascii="Arial" w:hAnsi="Arial" w:cs="Arial"/>
          <w:bCs/>
          <w:sz w:val="22"/>
          <w:szCs w:val="22"/>
          <w:u w:val="single"/>
        </w:rPr>
      </w:pPr>
    </w:p>
    <w:p w14:paraId="7E870265" w14:textId="77777777" w:rsidR="00FB4C43" w:rsidRPr="00574D2E" w:rsidRDefault="00FB4C43" w:rsidP="00574D2E">
      <w:pPr>
        <w:rPr>
          <w:sz w:val="52"/>
          <w:szCs w:val="52"/>
        </w:rPr>
      </w:pPr>
      <w:r w:rsidRPr="00574D2E">
        <w:rPr>
          <w:rFonts w:ascii="Arial" w:hAnsi="Arial" w:cs="Arial"/>
          <w:b/>
          <w:bCs/>
          <w:sz w:val="48"/>
          <w:szCs w:val="48"/>
        </w:rPr>
        <w:t>Verbesserte Kühlketten von Lebensmitteln mit Composites</w:t>
      </w:r>
    </w:p>
    <w:p w14:paraId="1C73C691" w14:textId="77777777" w:rsidR="00FB4C43" w:rsidRDefault="00FB4C43" w:rsidP="00FB4C43">
      <w:pPr>
        <w:spacing w:line="360" w:lineRule="auto"/>
        <w:jc w:val="both"/>
        <w:rPr>
          <w:rFonts w:ascii="Arial" w:hAnsi="Arial" w:cs="Arial"/>
          <w:bCs/>
          <w:sz w:val="22"/>
          <w:szCs w:val="22"/>
        </w:rPr>
      </w:pPr>
    </w:p>
    <w:p w14:paraId="2095757B" w14:textId="350B05BA" w:rsidR="00FB4C43" w:rsidRPr="00574D2E" w:rsidRDefault="00FB4C43" w:rsidP="00FB4C43">
      <w:pPr>
        <w:spacing w:line="360" w:lineRule="auto"/>
        <w:jc w:val="both"/>
        <w:rPr>
          <w:rFonts w:ascii="Arial" w:hAnsi="Arial" w:cs="Arial"/>
          <w:b/>
          <w:sz w:val="22"/>
          <w:szCs w:val="22"/>
        </w:rPr>
      </w:pPr>
      <w:r w:rsidRPr="00574D2E">
        <w:rPr>
          <w:rFonts w:ascii="Arial" w:hAnsi="Arial" w:cs="Arial"/>
          <w:b/>
          <w:sz w:val="22"/>
          <w:szCs w:val="22"/>
        </w:rPr>
        <w:t>Um Lebensmittel wie Frischwaren und Gefriergut vor dem Verderben zu schützen, bedarf es eines durchgängigen, temperaturgeführten Systems. LAMILUX Composites werden in allen Phasen der Verarbeitungs- und Kühlkette eingesetzt, beispielsweise als Deckschichten von Wänden in Verarbeitungs- und Lagerräumen sowie Lkw-Kühlaufbauten und Kühlzellen.</w:t>
      </w:r>
      <w:r w:rsidR="00E62A53">
        <w:rPr>
          <w:rFonts w:ascii="Arial" w:hAnsi="Arial" w:cs="Arial"/>
          <w:b/>
          <w:sz w:val="22"/>
          <w:szCs w:val="22"/>
        </w:rPr>
        <w:t xml:space="preserve"> Dort sorgen sie für Lebensmittelechtheit und optimierte thermische Isolierung.</w:t>
      </w:r>
    </w:p>
    <w:p w14:paraId="20C8AA21" w14:textId="77777777" w:rsidR="00FB4C43" w:rsidRDefault="00FB4C43" w:rsidP="00FB4C43">
      <w:pPr>
        <w:spacing w:line="360" w:lineRule="auto"/>
        <w:jc w:val="both"/>
        <w:rPr>
          <w:rFonts w:ascii="Arial" w:hAnsi="Arial" w:cs="Arial"/>
          <w:bCs/>
          <w:sz w:val="22"/>
          <w:szCs w:val="22"/>
        </w:rPr>
      </w:pPr>
    </w:p>
    <w:p w14:paraId="4D33818A" w14:textId="77777777" w:rsidR="00FB4C43" w:rsidRDefault="00FB4C43" w:rsidP="00FB4C43">
      <w:pPr>
        <w:spacing w:line="360" w:lineRule="auto"/>
        <w:jc w:val="both"/>
        <w:rPr>
          <w:rFonts w:ascii="Arial" w:hAnsi="Arial" w:cs="Arial"/>
          <w:b/>
          <w:bCs/>
          <w:sz w:val="22"/>
          <w:szCs w:val="22"/>
        </w:rPr>
      </w:pPr>
      <w:r>
        <w:rPr>
          <w:rFonts w:ascii="Arial" w:hAnsi="Arial" w:cs="Arial"/>
          <w:b/>
          <w:bCs/>
          <w:sz w:val="22"/>
          <w:szCs w:val="22"/>
        </w:rPr>
        <w:t>Lebensmittelecht und wärmedämmend</w:t>
      </w:r>
    </w:p>
    <w:p w14:paraId="4BFD64E6" w14:textId="77777777" w:rsidR="00FB4C43" w:rsidRDefault="00FB4C43" w:rsidP="00FB4C43">
      <w:pPr>
        <w:spacing w:line="360" w:lineRule="auto"/>
        <w:jc w:val="both"/>
        <w:rPr>
          <w:rFonts w:ascii="Arial" w:hAnsi="Arial" w:cs="Arial"/>
          <w:bCs/>
          <w:sz w:val="22"/>
          <w:szCs w:val="22"/>
        </w:rPr>
      </w:pPr>
    </w:p>
    <w:p w14:paraId="53149642" w14:textId="248B9462" w:rsidR="00FB4C43" w:rsidRDefault="00FB4C43" w:rsidP="00FB4C43">
      <w:pPr>
        <w:spacing w:line="360" w:lineRule="auto"/>
        <w:jc w:val="both"/>
        <w:rPr>
          <w:rFonts w:ascii="Arial" w:hAnsi="Arial" w:cs="Arial"/>
          <w:bCs/>
          <w:sz w:val="22"/>
          <w:szCs w:val="22"/>
        </w:rPr>
      </w:pPr>
      <w:r>
        <w:rPr>
          <w:rFonts w:ascii="Arial" w:hAnsi="Arial" w:cs="Arial"/>
          <w:bCs/>
          <w:sz w:val="22"/>
          <w:szCs w:val="22"/>
        </w:rPr>
        <w:t>Zu den wichtigsten Vorteilen von G</w:t>
      </w:r>
      <w:r w:rsidR="00C16107">
        <w:rPr>
          <w:rFonts w:ascii="Arial" w:hAnsi="Arial" w:cs="Arial"/>
          <w:bCs/>
          <w:sz w:val="22"/>
          <w:szCs w:val="22"/>
        </w:rPr>
        <w:t>FK</w:t>
      </w:r>
      <w:r>
        <w:rPr>
          <w:rFonts w:ascii="Arial" w:hAnsi="Arial" w:cs="Arial"/>
          <w:bCs/>
          <w:sz w:val="22"/>
          <w:szCs w:val="22"/>
        </w:rPr>
        <w:t xml:space="preserve"> für die Lebensmittelindustrie zählen ihre versiegelten, porenfreien und leicht zu reinigenden Oberflächen. Das garantiert die Einhaltung nationaler und internationaler Hygienevorschriften. Prüfzeugnisse belegen außerdem die Lebensmittelechtheit der Verbundwerkstoffe, gute thermische Isolierwerte und geringe Wärmeausdehnung garantieren einen sicheren Einsatz im Kühlprozess von Lebensmittel. Als mit einer Schaumschicht gefüllten Sandwichkonstruktion eingesetzt, entfalten die faserverstärkten Kunststoffe ihre herausragende Isolationswirkung: Ein knapp 60 Millimeter starkes Wandelement hat die gleiche Isolationswirkung wie eine 400 Millimeter dicke Wand aus Hohlziegeln.</w:t>
      </w:r>
    </w:p>
    <w:p w14:paraId="57D53F7C" w14:textId="77777777" w:rsidR="00FB4C43" w:rsidRDefault="00FB4C43" w:rsidP="00FB4C43">
      <w:pPr>
        <w:spacing w:line="360" w:lineRule="auto"/>
        <w:jc w:val="both"/>
        <w:rPr>
          <w:rFonts w:ascii="Arial" w:hAnsi="Arial" w:cs="Arial"/>
          <w:bCs/>
          <w:sz w:val="22"/>
          <w:szCs w:val="22"/>
        </w:rPr>
      </w:pPr>
    </w:p>
    <w:p w14:paraId="2AF16C43" w14:textId="77777777" w:rsidR="00FB4C43" w:rsidRDefault="00FB4C43" w:rsidP="00FB4C43">
      <w:pPr>
        <w:spacing w:line="360" w:lineRule="auto"/>
        <w:jc w:val="both"/>
        <w:rPr>
          <w:rFonts w:ascii="Arial" w:hAnsi="Arial" w:cs="Arial"/>
          <w:b/>
          <w:bCs/>
          <w:sz w:val="22"/>
          <w:szCs w:val="22"/>
        </w:rPr>
      </w:pPr>
      <w:r>
        <w:rPr>
          <w:rFonts w:ascii="Arial" w:hAnsi="Arial" w:cs="Arial"/>
          <w:b/>
          <w:bCs/>
          <w:sz w:val="22"/>
          <w:szCs w:val="22"/>
        </w:rPr>
        <w:t>Robust und energieeffizient in Kühlcontainern</w:t>
      </w:r>
    </w:p>
    <w:p w14:paraId="0AD3159E" w14:textId="77777777" w:rsidR="00FB4C43" w:rsidRDefault="00FB4C43" w:rsidP="00FB4C43">
      <w:pPr>
        <w:spacing w:line="360" w:lineRule="auto"/>
        <w:jc w:val="both"/>
        <w:rPr>
          <w:rFonts w:ascii="Arial" w:hAnsi="Arial" w:cs="Arial"/>
          <w:bCs/>
          <w:sz w:val="22"/>
          <w:szCs w:val="22"/>
        </w:rPr>
      </w:pPr>
    </w:p>
    <w:p w14:paraId="5EF1089E" w14:textId="77777777" w:rsidR="00FB4C43" w:rsidRDefault="00FB4C43" w:rsidP="00FB4C43">
      <w:pPr>
        <w:spacing w:line="360" w:lineRule="auto"/>
        <w:jc w:val="both"/>
        <w:rPr>
          <w:rFonts w:ascii="Arial" w:hAnsi="Arial" w:cs="Arial"/>
          <w:bCs/>
          <w:sz w:val="22"/>
          <w:szCs w:val="22"/>
        </w:rPr>
      </w:pPr>
      <w:r>
        <w:rPr>
          <w:rFonts w:ascii="Arial" w:hAnsi="Arial" w:cs="Arial"/>
          <w:bCs/>
          <w:sz w:val="22"/>
          <w:szCs w:val="22"/>
        </w:rPr>
        <w:lastRenderedPageBreak/>
        <w:t>Kühlcontainer sind starken mechanischen Belastungen ausgesetzt, sowohl beim Beladen als auch beim Transport. Dabei müssen die niedrigen Temperaturen unter einem möglichst geringen Energieverbrauch über einen sehr langen Zeitraum aufrechterhalten werden. LAMILUX Composites sorgen für einen sicheren und energieeffizienten Lebensmitteltransport in Kühlcontainern.</w:t>
      </w:r>
    </w:p>
    <w:p w14:paraId="5FE47468" w14:textId="77777777" w:rsidR="00FB4C43" w:rsidRDefault="00FB4C43" w:rsidP="00FB4C43">
      <w:pPr>
        <w:spacing w:line="360" w:lineRule="auto"/>
        <w:jc w:val="both"/>
        <w:rPr>
          <w:rFonts w:ascii="Arial" w:hAnsi="Arial" w:cs="Arial"/>
          <w:bCs/>
          <w:sz w:val="22"/>
          <w:szCs w:val="22"/>
        </w:rPr>
      </w:pPr>
    </w:p>
    <w:p w14:paraId="5A529FE8" w14:textId="77777777" w:rsidR="00FB4C43" w:rsidRDefault="00FB4C43" w:rsidP="00FB4C43">
      <w:pPr>
        <w:spacing w:line="360" w:lineRule="auto"/>
        <w:jc w:val="both"/>
        <w:rPr>
          <w:rFonts w:ascii="Arial" w:hAnsi="Arial" w:cs="Arial"/>
          <w:bCs/>
          <w:sz w:val="22"/>
          <w:szCs w:val="22"/>
        </w:rPr>
      </w:pPr>
      <w:r>
        <w:rPr>
          <w:rFonts w:ascii="Arial" w:hAnsi="Arial" w:cs="Arial"/>
          <w:bCs/>
          <w:sz w:val="22"/>
          <w:szCs w:val="22"/>
        </w:rPr>
        <w:t>Die Faserverstärkten Kunststoffe mit einer extremen Robustheit gegen Stöße bilden die Wandverkleidung auf der Innenseite der Kühlcontainer. Dort sorgen sie aufgrund ihrer aussteifenden Wirkung auch für die hohe Stabilität der gesamten Containerkonstruktion. Hervorzuheben sind auch die hervorragenden thermischen Isolationseigenschaften und die geringe Wärmeausdehnung des Materials aufgrund des hohen Fasergehaltes. LAMILUX Composites zeichnen sich zudem durch ihre Langlebigkeit gegenüber UV- und Witterungseinflüssen sowie durch ihre chemische Resistenz aus.</w:t>
      </w:r>
    </w:p>
    <w:p w14:paraId="2ECD773A" w14:textId="77777777" w:rsidR="00FB4C43" w:rsidRDefault="00FB4C43" w:rsidP="00FB4C43">
      <w:pPr>
        <w:spacing w:line="360" w:lineRule="auto"/>
        <w:jc w:val="both"/>
        <w:rPr>
          <w:rFonts w:ascii="Arial" w:hAnsi="Arial" w:cs="Arial"/>
          <w:bCs/>
          <w:sz w:val="22"/>
          <w:szCs w:val="22"/>
        </w:rPr>
      </w:pPr>
    </w:p>
    <w:p w14:paraId="1B63ADC9" w14:textId="77777777" w:rsidR="00FB4C43" w:rsidRDefault="00FB4C43" w:rsidP="00FB4C43">
      <w:pPr>
        <w:spacing w:line="360" w:lineRule="auto"/>
        <w:jc w:val="both"/>
        <w:rPr>
          <w:rFonts w:ascii="Arial" w:hAnsi="Arial" w:cs="Arial"/>
          <w:b/>
          <w:bCs/>
          <w:sz w:val="22"/>
          <w:szCs w:val="22"/>
        </w:rPr>
      </w:pPr>
      <w:r>
        <w:rPr>
          <w:rFonts w:ascii="Arial" w:hAnsi="Arial" w:cs="Arial"/>
          <w:b/>
          <w:bCs/>
          <w:sz w:val="22"/>
          <w:szCs w:val="22"/>
        </w:rPr>
        <w:t>Die LAMILUX-Allrounder für die Kühlbranche</w:t>
      </w:r>
    </w:p>
    <w:p w14:paraId="5A0EB6F5" w14:textId="77777777" w:rsidR="00FB4C43" w:rsidRDefault="00FB4C43" w:rsidP="00FB4C43">
      <w:pPr>
        <w:spacing w:line="360" w:lineRule="auto"/>
        <w:jc w:val="both"/>
        <w:rPr>
          <w:rFonts w:ascii="Arial" w:hAnsi="Arial" w:cs="Arial"/>
          <w:bCs/>
          <w:sz w:val="22"/>
          <w:szCs w:val="22"/>
        </w:rPr>
      </w:pPr>
    </w:p>
    <w:p w14:paraId="018DC507" w14:textId="77777777" w:rsidR="00FB4C43" w:rsidRPr="007C5FDF" w:rsidRDefault="00FB4C43" w:rsidP="00FB4C43">
      <w:pPr>
        <w:spacing w:line="360" w:lineRule="auto"/>
        <w:jc w:val="both"/>
        <w:rPr>
          <w:rFonts w:ascii="Arial" w:hAnsi="Arial" w:cs="Arial"/>
          <w:bCs/>
          <w:sz w:val="22"/>
          <w:szCs w:val="22"/>
          <w:u w:val="single"/>
        </w:rPr>
      </w:pPr>
      <w:r w:rsidRPr="007C5FDF">
        <w:rPr>
          <w:rFonts w:ascii="Arial" w:hAnsi="Arial" w:cs="Arial"/>
          <w:bCs/>
          <w:sz w:val="22"/>
          <w:szCs w:val="22"/>
          <w:u w:val="single"/>
        </w:rPr>
        <w:t xml:space="preserve">LAMILUX HACCP </w:t>
      </w:r>
      <w:proofErr w:type="spellStart"/>
      <w:r w:rsidRPr="007C5FDF">
        <w:rPr>
          <w:rFonts w:ascii="Arial" w:hAnsi="Arial" w:cs="Arial"/>
          <w:bCs/>
          <w:sz w:val="22"/>
          <w:szCs w:val="22"/>
          <w:u w:val="single"/>
        </w:rPr>
        <w:t>Gelcoat</w:t>
      </w:r>
      <w:proofErr w:type="spellEnd"/>
    </w:p>
    <w:p w14:paraId="36CC3FDC" w14:textId="77777777" w:rsidR="00FB4C43" w:rsidRDefault="00FB4C43" w:rsidP="00FB4C43">
      <w:pPr>
        <w:spacing w:line="360" w:lineRule="auto"/>
        <w:jc w:val="both"/>
        <w:rPr>
          <w:rFonts w:ascii="Arial" w:hAnsi="Arial" w:cs="Arial"/>
          <w:bCs/>
          <w:sz w:val="22"/>
          <w:szCs w:val="22"/>
        </w:rPr>
      </w:pPr>
      <w:r>
        <w:rPr>
          <w:rFonts w:ascii="Arial" w:hAnsi="Arial" w:cs="Arial"/>
          <w:bCs/>
          <w:sz w:val="22"/>
          <w:szCs w:val="22"/>
        </w:rPr>
        <w:t xml:space="preserve">LAMILUX hat speziell für den direkten und unbefristeten Langzeitkontakt von Frischfleisch unter Kühlbedingungen eine spezielle Oberfläche entwickelt: den LAMILUX HACCP </w:t>
      </w:r>
      <w:proofErr w:type="spellStart"/>
      <w:r>
        <w:rPr>
          <w:rFonts w:ascii="Arial" w:hAnsi="Arial" w:cs="Arial"/>
          <w:bCs/>
          <w:sz w:val="22"/>
          <w:szCs w:val="22"/>
        </w:rPr>
        <w:t>Gelcoat</w:t>
      </w:r>
      <w:proofErr w:type="spellEnd"/>
      <w:r>
        <w:rPr>
          <w:rFonts w:ascii="Arial" w:hAnsi="Arial" w:cs="Arial"/>
          <w:bCs/>
          <w:sz w:val="22"/>
          <w:szCs w:val="22"/>
        </w:rPr>
        <w:t>, welcher mit nahezu jedem LAMILUX Produkt kombiniert werden kann. Vom attraktiven Allrounder bis hin zum State-</w:t>
      </w:r>
      <w:proofErr w:type="spellStart"/>
      <w:r>
        <w:rPr>
          <w:rFonts w:ascii="Arial" w:hAnsi="Arial" w:cs="Arial"/>
          <w:bCs/>
          <w:sz w:val="22"/>
          <w:szCs w:val="22"/>
        </w:rPr>
        <w:t>of</w:t>
      </w:r>
      <w:proofErr w:type="spellEnd"/>
      <w:r>
        <w:rPr>
          <w:rFonts w:ascii="Arial" w:hAnsi="Arial" w:cs="Arial"/>
          <w:bCs/>
          <w:sz w:val="22"/>
          <w:szCs w:val="22"/>
        </w:rPr>
        <w:t>-</w:t>
      </w:r>
      <w:proofErr w:type="spellStart"/>
      <w:r>
        <w:rPr>
          <w:rFonts w:ascii="Arial" w:hAnsi="Arial" w:cs="Arial"/>
          <w:bCs/>
          <w:sz w:val="22"/>
          <w:szCs w:val="22"/>
        </w:rPr>
        <w:t>the</w:t>
      </w:r>
      <w:proofErr w:type="spellEnd"/>
      <w:r>
        <w:rPr>
          <w:rFonts w:ascii="Arial" w:hAnsi="Arial" w:cs="Arial"/>
          <w:bCs/>
          <w:sz w:val="22"/>
          <w:szCs w:val="22"/>
        </w:rPr>
        <w:t>-Art Hochleistungswerkstoff – für alle Bereiche der Kühl- und Lebensmittelkette stehen optimale Lösungen bereit. Durch die Prüfungen nach EG Nr.1935/2004 und dem Deutschen Lebensmittel- und Futtermittelcode ist eine Zertifizierung nach HACCP durchführbar.</w:t>
      </w:r>
    </w:p>
    <w:p w14:paraId="54BABC1B" w14:textId="77777777" w:rsidR="00FB4C43" w:rsidRDefault="00FB4C43" w:rsidP="00FB4C43">
      <w:pPr>
        <w:spacing w:line="360" w:lineRule="auto"/>
        <w:jc w:val="both"/>
        <w:rPr>
          <w:rFonts w:ascii="Arial" w:hAnsi="Arial" w:cs="Arial"/>
          <w:bCs/>
          <w:sz w:val="22"/>
          <w:szCs w:val="22"/>
        </w:rPr>
      </w:pPr>
    </w:p>
    <w:p w14:paraId="1ACF2D4E" w14:textId="77777777" w:rsidR="00FB4C43" w:rsidRPr="007C5FDF" w:rsidRDefault="00FB4C43" w:rsidP="00FB4C43">
      <w:pPr>
        <w:spacing w:line="360" w:lineRule="auto"/>
        <w:jc w:val="both"/>
        <w:rPr>
          <w:rFonts w:ascii="Arial" w:hAnsi="Arial" w:cs="Arial"/>
          <w:sz w:val="22"/>
          <w:szCs w:val="22"/>
          <w:u w:val="single"/>
        </w:rPr>
      </w:pPr>
      <w:r w:rsidRPr="007C5FDF">
        <w:rPr>
          <w:rFonts w:ascii="Arial" w:hAnsi="Arial" w:cs="Arial"/>
          <w:sz w:val="22"/>
          <w:szCs w:val="22"/>
          <w:u w:val="single"/>
        </w:rPr>
        <w:lastRenderedPageBreak/>
        <w:t xml:space="preserve">LAMILUX High Impact </w:t>
      </w:r>
      <w:proofErr w:type="spellStart"/>
      <w:r w:rsidRPr="007C5FDF">
        <w:rPr>
          <w:rFonts w:ascii="Arial" w:hAnsi="Arial" w:cs="Arial"/>
          <w:sz w:val="22"/>
          <w:szCs w:val="22"/>
          <w:u w:val="single"/>
        </w:rPr>
        <w:t>AntiBac</w:t>
      </w:r>
      <w:proofErr w:type="spellEnd"/>
    </w:p>
    <w:p w14:paraId="1909C67B" w14:textId="1206DD5F" w:rsidR="00FB4C43" w:rsidRDefault="00FB4C43" w:rsidP="00FB4C43">
      <w:pPr>
        <w:spacing w:line="360" w:lineRule="auto"/>
        <w:jc w:val="both"/>
        <w:rPr>
          <w:rFonts w:ascii="Arial" w:hAnsi="Arial" w:cs="Arial"/>
          <w:bCs/>
          <w:sz w:val="22"/>
          <w:szCs w:val="22"/>
        </w:rPr>
      </w:pPr>
      <w:r>
        <w:rPr>
          <w:rFonts w:ascii="Arial" w:hAnsi="Arial" w:cs="Arial"/>
          <w:bCs/>
          <w:sz w:val="22"/>
          <w:szCs w:val="22"/>
        </w:rPr>
        <w:t xml:space="preserve">Das Material ist widerstandsfähiger und schlagfester als vergleichbare Verbundwerkstoffe, optisch ansprechend und leicht. Zudem ist seine Oberfläche mit Nanosilber versiegelt. Dadurch entsteht eine antimikrobakterielle Wirkung. </w:t>
      </w:r>
      <w:r w:rsidR="00E87DF2">
        <w:rPr>
          <w:rFonts w:ascii="Arial" w:hAnsi="Arial" w:cs="Arial"/>
          <w:bCs/>
          <w:sz w:val="22"/>
          <w:szCs w:val="22"/>
        </w:rPr>
        <w:t>Dank der glatten Oberfläche ist auch die Reinigung unkompliziert.</w:t>
      </w:r>
    </w:p>
    <w:p w14:paraId="2710188E" w14:textId="77777777" w:rsidR="00FB4C43" w:rsidRDefault="00FB4C43" w:rsidP="00FB4C43">
      <w:pPr>
        <w:spacing w:line="360" w:lineRule="auto"/>
        <w:jc w:val="both"/>
        <w:rPr>
          <w:rFonts w:ascii="Arial" w:hAnsi="Arial" w:cs="Arial"/>
          <w:bCs/>
          <w:sz w:val="22"/>
          <w:szCs w:val="22"/>
        </w:rPr>
      </w:pPr>
    </w:p>
    <w:p w14:paraId="2F8AB815" w14:textId="77777777" w:rsidR="00FB4C43" w:rsidRPr="007C5FDF" w:rsidRDefault="00FB4C43" w:rsidP="00FB4C43">
      <w:pPr>
        <w:spacing w:line="360" w:lineRule="auto"/>
        <w:jc w:val="both"/>
        <w:rPr>
          <w:rFonts w:ascii="Arial" w:hAnsi="Arial" w:cs="Arial"/>
          <w:sz w:val="22"/>
          <w:szCs w:val="22"/>
          <w:u w:val="single"/>
        </w:rPr>
      </w:pPr>
      <w:r w:rsidRPr="007C5FDF">
        <w:rPr>
          <w:rFonts w:ascii="Arial" w:hAnsi="Arial" w:cs="Arial"/>
          <w:sz w:val="22"/>
          <w:szCs w:val="22"/>
          <w:u w:val="single"/>
        </w:rPr>
        <w:t xml:space="preserve">LAMILUX Gewebe </w:t>
      </w:r>
      <w:proofErr w:type="spellStart"/>
      <w:r w:rsidRPr="007C5FDF">
        <w:rPr>
          <w:rFonts w:ascii="Arial" w:hAnsi="Arial" w:cs="Arial"/>
          <w:sz w:val="22"/>
          <w:szCs w:val="22"/>
          <w:u w:val="single"/>
        </w:rPr>
        <w:t>Gelcoat</w:t>
      </w:r>
      <w:proofErr w:type="spellEnd"/>
    </w:p>
    <w:p w14:paraId="77C4D5D1" w14:textId="77777777" w:rsidR="00FB4C43" w:rsidRDefault="00FB4C43" w:rsidP="00FB4C43">
      <w:pPr>
        <w:spacing w:line="360" w:lineRule="auto"/>
        <w:jc w:val="both"/>
        <w:rPr>
          <w:rFonts w:ascii="Arial" w:hAnsi="Arial" w:cs="Arial"/>
          <w:bCs/>
          <w:sz w:val="22"/>
          <w:szCs w:val="22"/>
        </w:rPr>
      </w:pPr>
      <w:r>
        <w:rPr>
          <w:rFonts w:ascii="Arial" w:hAnsi="Arial" w:cs="Arial"/>
          <w:bCs/>
          <w:sz w:val="22"/>
          <w:szCs w:val="22"/>
        </w:rPr>
        <w:t xml:space="preserve">Seine Oberfläche kann optional mit einer </w:t>
      </w:r>
      <w:proofErr w:type="spellStart"/>
      <w:r>
        <w:rPr>
          <w:rFonts w:ascii="Arial" w:hAnsi="Arial" w:cs="Arial"/>
          <w:bCs/>
          <w:sz w:val="22"/>
          <w:szCs w:val="22"/>
        </w:rPr>
        <w:t>Gelcoatschicht</w:t>
      </w:r>
      <w:proofErr w:type="spellEnd"/>
      <w:r>
        <w:rPr>
          <w:rFonts w:ascii="Arial" w:hAnsi="Arial" w:cs="Arial"/>
          <w:bCs/>
          <w:sz w:val="22"/>
          <w:szCs w:val="22"/>
        </w:rPr>
        <w:t xml:space="preserve"> versiegelt werden. Dadurch wird die Sichtbarkeit der Gewebestruktur vermindert. Das Material ist besonders UV- und witterungsbeständig und wird deshalb vor allem in den äußeren Seitenwänden von Kühlfahrzeugen verbaut.</w:t>
      </w:r>
    </w:p>
    <w:p w14:paraId="554BAB1C" w14:textId="77777777" w:rsidR="00FB4C43" w:rsidRDefault="00FB4C43" w:rsidP="00FB4C43">
      <w:pPr>
        <w:spacing w:line="360" w:lineRule="auto"/>
        <w:jc w:val="both"/>
        <w:rPr>
          <w:rFonts w:ascii="Arial" w:hAnsi="Arial" w:cs="Arial"/>
          <w:bCs/>
          <w:sz w:val="22"/>
          <w:szCs w:val="22"/>
        </w:rPr>
      </w:pPr>
    </w:p>
    <w:p w14:paraId="52F0387F" w14:textId="1A63A25D" w:rsidR="00FB4C43" w:rsidRPr="007C5FDF" w:rsidRDefault="00FB4C43" w:rsidP="00FB4C43">
      <w:pPr>
        <w:spacing w:line="360" w:lineRule="auto"/>
        <w:jc w:val="both"/>
        <w:rPr>
          <w:rFonts w:ascii="Arial" w:hAnsi="Arial" w:cs="Arial"/>
          <w:sz w:val="22"/>
          <w:szCs w:val="22"/>
          <w:u w:val="single"/>
        </w:rPr>
      </w:pPr>
      <w:r w:rsidRPr="007C5FDF">
        <w:rPr>
          <w:rFonts w:ascii="Arial" w:hAnsi="Arial" w:cs="Arial"/>
          <w:sz w:val="22"/>
          <w:szCs w:val="22"/>
          <w:u w:val="single"/>
        </w:rPr>
        <w:t xml:space="preserve">LAMILUX </w:t>
      </w:r>
      <w:r w:rsidR="00E87DF2">
        <w:rPr>
          <w:rFonts w:ascii="Arial" w:hAnsi="Arial" w:cs="Arial"/>
          <w:sz w:val="22"/>
          <w:szCs w:val="22"/>
          <w:u w:val="single"/>
        </w:rPr>
        <w:t>SUNSATION®</w:t>
      </w:r>
    </w:p>
    <w:p w14:paraId="3B6C021A" w14:textId="60A36B61" w:rsidR="00E87DF2" w:rsidRPr="007542A7" w:rsidRDefault="00E87DF2" w:rsidP="00E87DF2">
      <w:pPr>
        <w:spacing w:line="360" w:lineRule="auto"/>
        <w:jc w:val="both"/>
        <w:rPr>
          <w:rFonts w:ascii="Arial" w:hAnsi="Arial" w:cs="Arial"/>
          <w:color w:val="000000" w:themeColor="text1"/>
          <w:sz w:val="22"/>
          <w:szCs w:val="22"/>
        </w:rPr>
      </w:pPr>
      <w:r w:rsidRPr="007542A7">
        <w:rPr>
          <w:rFonts w:ascii="Arial" w:hAnsi="Arial" w:cs="Arial"/>
          <w:color w:val="000000" w:themeColor="text1"/>
          <w:sz w:val="22"/>
          <w:szCs w:val="22"/>
        </w:rPr>
        <w:t xml:space="preserve">In der äußeren Seitenwand verbaut, überzeugt </w:t>
      </w:r>
      <w:r>
        <w:rPr>
          <w:rFonts w:ascii="Arial" w:hAnsi="Arial" w:cs="Arial"/>
          <w:color w:val="000000" w:themeColor="text1"/>
          <w:sz w:val="22"/>
          <w:szCs w:val="22"/>
        </w:rPr>
        <w:t>auch in Kühltransportern</w:t>
      </w:r>
      <w:r w:rsidRPr="007542A7">
        <w:rPr>
          <w:rFonts w:ascii="Arial" w:hAnsi="Arial" w:cs="Arial"/>
          <w:color w:val="000000" w:themeColor="text1"/>
          <w:sz w:val="22"/>
          <w:szCs w:val="22"/>
        </w:rPr>
        <w:t xml:space="preserve"> LAMILUX SUNSATION®. Die neuartige </w:t>
      </w:r>
      <w:proofErr w:type="spellStart"/>
      <w:r w:rsidRPr="007542A7">
        <w:rPr>
          <w:rFonts w:ascii="Arial" w:hAnsi="Arial" w:cs="Arial"/>
          <w:color w:val="000000" w:themeColor="text1"/>
          <w:sz w:val="22"/>
          <w:szCs w:val="22"/>
        </w:rPr>
        <w:t>Gelcoat</w:t>
      </w:r>
      <w:proofErr w:type="spellEnd"/>
      <w:r w:rsidRPr="007542A7">
        <w:rPr>
          <w:rFonts w:ascii="Arial" w:hAnsi="Arial" w:cs="Arial"/>
          <w:color w:val="000000" w:themeColor="text1"/>
          <w:sz w:val="22"/>
          <w:szCs w:val="22"/>
        </w:rPr>
        <w:t>-Technologi</w:t>
      </w:r>
      <w:r>
        <w:rPr>
          <w:rFonts w:ascii="Arial" w:hAnsi="Arial" w:cs="Arial"/>
          <w:color w:val="000000" w:themeColor="text1"/>
          <w:sz w:val="22"/>
          <w:szCs w:val="22"/>
        </w:rPr>
        <w:t>e hat eine</w:t>
      </w:r>
      <w:r w:rsidRPr="007542A7">
        <w:rPr>
          <w:rFonts w:ascii="Arial" w:hAnsi="Arial" w:cs="Arial"/>
          <w:color w:val="000000" w:themeColor="text1"/>
          <w:sz w:val="22"/>
          <w:szCs w:val="22"/>
        </w:rPr>
        <w:t xml:space="preserve"> 20-fach bessere UV-Beständigkeit gegenüber den bisherigen am Markt erhältlichen </w:t>
      </w:r>
      <w:proofErr w:type="spellStart"/>
      <w:r w:rsidRPr="007542A7">
        <w:rPr>
          <w:rFonts w:ascii="Arial" w:hAnsi="Arial" w:cs="Arial"/>
          <w:color w:val="000000" w:themeColor="text1"/>
          <w:sz w:val="22"/>
          <w:szCs w:val="22"/>
        </w:rPr>
        <w:t>Gelcoats</w:t>
      </w:r>
      <w:proofErr w:type="spellEnd"/>
      <w:r>
        <w:rPr>
          <w:rFonts w:ascii="Arial" w:hAnsi="Arial" w:cs="Arial"/>
          <w:color w:val="000000" w:themeColor="text1"/>
          <w:sz w:val="22"/>
          <w:szCs w:val="22"/>
        </w:rPr>
        <w:t>.</w:t>
      </w:r>
      <w:r w:rsidRPr="007542A7">
        <w:rPr>
          <w:rFonts w:ascii="Arial" w:hAnsi="Arial" w:cs="Arial"/>
          <w:color w:val="000000" w:themeColor="text1"/>
          <w:sz w:val="22"/>
          <w:szCs w:val="22"/>
        </w:rPr>
        <w:t xml:space="preserve"> Extreme Farb- und Glanzbeständigkeit und kein Farbunterschied beim Abziehen von Aufklebern auf Oberflächen: LAMILUX SUNSATION® setzt neue Maßstäbe beim Qualitätsstandard von glasfaserverstärkten Kunststoffen. Ein zusätzliches Plus: die neuartige Technologie kann mit fast allen LAMILUX Produkten kombiniert werden.</w:t>
      </w:r>
    </w:p>
    <w:p w14:paraId="44325464" w14:textId="59DC5585" w:rsidR="00E87DF2" w:rsidRDefault="00E87DF2" w:rsidP="00FB4C43">
      <w:pPr>
        <w:spacing w:line="360" w:lineRule="auto"/>
        <w:jc w:val="both"/>
        <w:rPr>
          <w:rFonts w:ascii="Arial" w:hAnsi="Arial" w:cs="Arial"/>
          <w:bCs/>
          <w:sz w:val="22"/>
          <w:szCs w:val="22"/>
        </w:rPr>
      </w:pPr>
    </w:p>
    <w:p w14:paraId="74C9BD4F" w14:textId="6CD060F9" w:rsidR="00E87DF2" w:rsidRDefault="00E87DF2" w:rsidP="00FB4C43">
      <w:pPr>
        <w:spacing w:line="360" w:lineRule="auto"/>
        <w:jc w:val="both"/>
        <w:rPr>
          <w:rFonts w:ascii="Arial" w:hAnsi="Arial" w:cs="Arial"/>
          <w:bCs/>
          <w:sz w:val="22"/>
          <w:szCs w:val="22"/>
          <w:u w:val="single"/>
        </w:rPr>
      </w:pPr>
      <w:r w:rsidRPr="00E87DF2">
        <w:rPr>
          <w:rFonts w:ascii="Arial" w:hAnsi="Arial" w:cs="Arial"/>
          <w:bCs/>
          <w:sz w:val="22"/>
          <w:szCs w:val="22"/>
          <w:u w:val="single"/>
        </w:rPr>
        <w:t>LAMILUX Anti Slip</w:t>
      </w:r>
    </w:p>
    <w:p w14:paraId="11251B9C" w14:textId="524A82AE" w:rsidR="00E87DF2" w:rsidRPr="00E87DF2" w:rsidRDefault="00E87DF2" w:rsidP="00FB4C43">
      <w:pPr>
        <w:spacing w:line="360" w:lineRule="auto"/>
        <w:jc w:val="both"/>
        <w:rPr>
          <w:rFonts w:ascii="Arial" w:hAnsi="Arial" w:cs="Arial"/>
          <w:bCs/>
          <w:sz w:val="22"/>
          <w:szCs w:val="22"/>
          <w:u w:val="single"/>
        </w:rPr>
      </w:pPr>
      <w:r w:rsidRPr="007542A7">
        <w:rPr>
          <w:rFonts w:ascii="Arial" w:hAnsi="Arial" w:cs="Arial"/>
          <w:color w:val="000000" w:themeColor="text1"/>
          <w:sz w:val="22"/>
          <w:szCs w:val="22"/>
        </w:rPr>
        <w:t xml:space="preserve">Für Rutschhemmung und Lärmschutz sorgt LAMILUX Anti Slip. Der </w:t>
      </w:r>
      <w:proofErr w:type="gramStart"/>
      <w:r w:rsidRPr="007542A7">
        <w:rPr>
          <w:rFonts w:ascii="Arial" w:hAnsi="Arial" w:cs="Arial"/>
          <w:color w:val="000000" w:themeColor="text1"/>
          <w:sz w:val="22"/>
          <w:szCs w:val="22"/>
        </w:rPr>
        <w:t>extrem robuste</w:t>
      </w:r>
      <w:proofErr w:type="gramEnd"/>
      <w:r w:rsidRPr="007542A7">
        <w:rPr>
          <w:rFonts w:ascii="Arial" w:hAnsi="Arial" w:cs="Arial"/>
          <w:color w:val="000000" w:themeColor="text1"/>
          <w:sz w:val="22"/>
          <w:szCs w:val="22"/>
        </w:rPr>
        <w:t xml:space="preserve"> Verbund aus Harz und Glasfasern, auf dessen Oberfläche bereits während des </w:t>
      </w:r>
      <w:proofErr w:type="spellStart"/>
      <w:r w:rsidRPr="007542A7">
        <w:rPr>
          <w:rFonts w:ascii="Arial" w:hAnsi="Arial" w:cs="Arial"/>
          <w:color w:val="000000" w:themeColor="text1"/>
          <w:sz w:val="22"/>
          <w:szCs w:val="22"/>
        </w:rPr>
        <w:t>Laminiervorgangs</w:t>
      </w:r>
      <w:proofErr w:type="spellEnd"/>
      <w:r w:rsidRPr="007542A7">
        <w:rPr>
          <w:rFonts w:ascii="Arial" w:hAnsi="Arial" w:cs="Arial"/>
          <w:color w:val="000000" w:themeColor="text1"/>
          <w:sz w:val="22"/>
          <w:szCs w:val="22"/>
        </w:rPr>
        <w:t xml:space="preserve"> eine Schicht aus Quarzsand oder Granitgranulat aufgebracht wird, bewirkt, dass Waren nicht verrutschen und verhindert auf diese Weise Schäden am Fahrzeug sowie an den transportierten </w:t>
      </w:r>
      <w:r w:rsidRPr="007542A7">
        <w:rPr>
          <w:rFonts w:ascii="Arial" w:hAnsi="Arial" w:cs="Arial"/>
          <w:color w:val="000000" w:themeColor="text1"/>
          <w:sz w:val="22"/>
          <w:szCs w:val="22"/>
        </w:rPr>
        <w:lastRenderedPageBreak/>
        <w:t xml:space="preserve">Gütern. Das Material hat noch einen weiteren Produktnutzen: Rollgeräusche beim Be- und Entladen </w:t>
      </w:r>
      <w:r w:rsidR="00793F46">
        <w:rPr>
          <w:rFonts w:ascii="Arial" w:hAnsi="Arial" w:cs="Arial"/>
          <w:color w:val="000000" w:themeColor="text1"/>
          <w:sz w:val="22"/>
          <w:szCs w:val="22"/>
        </w:rPr>
        <w:t xml:space="preserve">minimiert LAMILUX Anti Slip </w:t>
      </w:r>
      <w:r w:rsidRPr="007542A7">
        <w:rPr>
          <w:rFonts w:ascii="Arial" w:hAnsi="Arial" w:cs="Arial"/>
          <w:color w:val="000000" w:themeColor="text1"/>
          <w:sz w:val="22"/>
          <w:szCs w:val="22"/>
        </w:rPr>
        <w:t xml:space="preserve">erheblich, sodass Schallschutzwerte unterhalb von 60 </w:t>
      </w:r>
      <w:proofErr w:type="spellStart"/>
      <w:r w:rsidRPr="007542A7">
        <w:rPr>
          <w:rFonts w:ascii="Arial" w:hAnsi="Arial" w:cs="Arial"/>
          <w:color w:val="000000" w:themeColor="text1"/>
          <w:sz w:val="22"/>
          <w:szCs w:val="22"/>
        </w:rPr>
        <w:t>db</w:t>
      </w:r>
      <w:proofErr w:type="spellEnd"/>
      <w:r w:rsidRPr="007542A7">
        <w:rPr>
          <w:rFonts w:ascii="Arial" w:hAnsi="Arial" w:cs="Arial"/>
          <w:color w:val="000000" w:themeColor="text1"/>
          <w:sz w:val="22"/>
          <w:szCs w:val="22"/>
        </w:rPr>
        <w:t>(A) erreicht werden. Somit werden die Lärmemissionen erheblich gesenkt und es sind Ladevorgänge rund um die Uhr sowie in Lärmschutzzonen möglich.</w:t>
      </w:r>
    </w:p>
    <w:p w14:paraId="73E6FD8C" w14:textId="77777777" w:rsidR="00FB4C43" w:rsidRDefault="00FB4C43" w:rsidP="00FB4C43">
      <w:pPr>
        <w:spacing w:line="360" w:lineRule="auto"/>
        <w:jc w:val="both"/>
        <w:rPr>
          <w:rFonts w:ascii="Arial" w:hAnsi="Arial" w:cs="Arial"/>
          <w:bCs/>
          <w:sz w:val="22"/>
          <w:szCs w:val="22"/>
        </w:rPr>
      </w:pPr>
    </w:p>
    <w:p w14:paraId="7F99CF27" w14:textId="77777777" w:rsidR="00FB4C43" w:rsidRDefault="00FB4C43" w:rsidP="00FB4C43">
      <w:pPr>
        <w:spacing w:line="360" w:lineRule="auto"/>
        <w:jc w:val="both"/>
        <w:rPr>
          <w:rFonts w:ascii="Arial" w:hAnsi="Arial" w:cs="Arial"/>
          <w:sz w:val="22"/>
          <w:szCs w:val="22"/>
        </w:rPr>
      </w:pPr>
      <w:r>
        <w:rPr>
          <w:rFonts w:ascii="Arial" w:hAnsi="Arial" w:cs="Arial"/>
          <w:sz w:val="22"/>
          <w:szCs w:val="22"/>
        </w:rPr>
        <w:t>…</w:t>
      </w:r>
    </w:p>
    <w:p w14:paraId="4AAD0F91" w14:textId="77777777" w:rsidR="00FB4C43" w:rsidRDefault="00FB4C43" w:rsidP="00FB4C43">
      <w:pPr>
        <w:spacing w:line="360" w:lineRule="auto"/>
        <w:jc w:val="both"/>
        <w:rPr>
          <w:rFonts w:ascii="Arial" w:hAnsi="Arial" w:cs="Arial"/>
          <w:sz w:val="22"/>
          <w:szCs w:val="22"/>
        </w:rPr>
      </w:pPr>
    </w:p>
    <w:p w14:paraId="6C3B0604" w14:textId="77777777" w:rsidR="00FB4C43" w:rsidRDefault="00E11F9E" w:rsidP="00FB4C43">
      <w:pPr>
        <w:spacing w:line="360" w:lineRule="auto"/>
        <w:jc w:val="both"/>
        <w:rPr>
          <w:rFonts w:ascii="Arial" w:hAnsi="Arial" w:cs="Arial"/>
          <w:sz w:val="22"/>
          <w:szCs w:val="22"/>
        </w:rPr>
      </w:pPr>
      <w:hyperlink r:id="rId7" w:history="1">
        <w:r w:rsidR="00FB4C43">
          <w:rPr>
            <w:rStyle w:val="Hyperlink"/>
            <w:rFonts w:ascii="Arial" w:hAnsi="Arial" w:cs="Arial"/>
            <w:sz w:val="22"/>
            <w:szCs w:val="22"/>
          </w:rPr>
          <w:t>www.lamilux.de</w:t>
        </w:r>
      </w:hyperlink>
    </w:p>
    <w:p w14:paraId="2F62A736" w14:textId="77777777" w:rsidR="00FB4C43" w:rsidRDefault="00FB4C43" w:rsidP="00FB4C43">
      <w:pPr>
        <w:spacing w:line="360" w:lineRule="auto"/>
        <w:jc w:val="both"/>
        <w:rPr>
          <w:rFonts w:ascii="Arial" w:hAnsi="Arial" w:cs="Arial"/>
        </w:rPr>
      </w:pPr>
    </w:p>
    <w:p w14:paraId="76B5A1D9" w14:textId="77777777" w:rsidR="00FB4C43" w:rsidRDefault="00FB4C43" w:rsidP="00FB4C43">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Über die LAMILUX Composites GmbH</w:t>
      </w:r>
    </w:p>
    <w:p w14:paraId="411422D2" w14:textId="436924E2" w:rsidR="00E22333" w:rsidRPr="00FB4C43" w:rsidRDefault="00FB4C43" w:rsidP="00FB4C43">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Seit rund 70 Jahren produziert die LAMILUX Composites GmbH faserverstärkte Kunststoffe. Aufgrund seines technologisch herausragenden, kontinuierlichen Herstellungsverfahrens, den großen Fertigungskapazitäten und der breiten Produktpalette ist das mittelständische Unternehmen der europaweit führende Produzent. LAMILUX beliefert rund um den Globus Kunden aus den Bereichen Fahrzeug-, Wohnmobil- und </w:t>
      </w:r>
      <w:proofErr w:type="spellStart"/>
      <w:r>
        <w:rPr>
          <w:rFonts w:ascii="Arial" w:hAnsi="Arial" w:cs="Arial"/>
          <w:color w:val="000000" w:themeColor="text1"/>
          <w:sz w:val="22"/>
          <w:szCs w:val="22"/>
        </w:rPr>
        <w:t>Caravanbau</w:t>
      </w:r>
      <w:proofErr w:type="spellEnd"/>
      <w:r>
        <w:rPr>
          <w:rFonts w:ascii="Arial" w:hAnsi="Arial" w:cs="Arial"/>
          <w:color w:val="000000" w:themeColor="text1"/>
          <w:sz w:val="22"/>
          <w:szCs w:val="22"/>
        </w:rPr>
        <w:t>, Kühlhaus- und Kühlzellenbau, der Bauindustrie sowie zahlreicher weiterer Industriesegmente. Mit rund 1300 Beschäftigten hat LAMILUX 2021 einen Umsatz von 335 Millionen Euro erwirtschaftet. Der Sitz der familiengeführten Firma befindet sich in Rehau, Bayern.</w:t>
      </w:r>
    </w:p>
    <w:sectPr w:rsidR="00E22333" w:rsidRPr="00FB4C43"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FF77" w14:textId="77777777" w:rsidR="00005947" w:rsidRDefault="00005947" w:rsidP="00D52FF7">
      <w:r>
        <w:separator/>
      </w:r>
    </w:p>
  </w:endnote>
  <w:endnote w:type="continuationSeparator" w:id="0">
    <w:p w14:paraId="201C1D96" w14:textId="77777777" w:rsidR="00005947" w:rsidRDefault="00005947"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E11F9E"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E11F9E"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FBFA" w14:textId="77777777" w:rsidR="00005947" w:rsidRDefault="00005947" w:rsidP="00D52FF7">
      <w:r>
        <w:separator/>
      </w:r>
    </w:p>
  </w:footnote>
  <w:footnote w:type="continuationSeparator" w:id="0">
    <w:p w14:paraId="16D2C99F" w14:textId="77777777" w:rsidR="00005947" w:rsidRDefault="00005947"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34BFB4F2"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E11F9E">
      <w:rPr>
        <w:rFonts w:ascii="Arial" w:hAnsi="Arial" w:cs="Arial"/>
      </w:rPr>
      <w:t>21. Juli</w:t>
    </w:r>
    <w:r w:rsidR="00E22333">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E11F9E">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745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8D2"/>
    <w:rsid w:val="00002E18"/>
    <w:rsid w:val="00005947"/>
    <w:rsid w:val="000147ED"/>
    <w:rsid w:val="00056167"/>
    <w:rsid w:val="00060BC4"/>
    <w:rsid w:val="00062629"/>
    <w:rsid w:val="00064CE6"/>
    <w:rsid w:val="000677D7"/>
    <w:rsid w:val="00072172"/>
    <w:rsid w:val="00080CA8"/>
    <w:rsid w:val="00085551"/>
    <w:rsid w:val="000A23F6"/>
    <w:rsid w:val="000C2B7C"/>
    <w:rsid w:val="000C559E"/>
    <w:rsid w:val="000D27A2"/>
    <w:rsid w:val="000D560D"/>
    <w:rsid w:val="000F14A4"/>
    <w:rsid w:val="000F77A3"/>
    <w:rsid w:val="00103AA4"/>
    <w:rsid w:val="00115807"/>
    <w:rsid w:val="00123815"/>
    <w:rsid w:val="0013140D"/>
    <w:rsid w:val="00133A37"/>
    <w:rsid w:val="0013787B"/>
    <w:rsid w:val="00137FE0"/>
    <w:rsid w:val="0015277D"/>
    <w:rsid w:val="00154757"/>
    <w:rsid w:val="00155270"/>
    <w:rsid w:val="00157050"/>
    <w:rsid w:val="00160915"/>
    <w:rsid w:val="001651E0"/>
    <w:rsid w:val="001662CB"/>
    <w:rsid w:val="00172B9E"/>
    <w:rsid w:val="00182B58"/>
    <w:rsid w:val="00182F4E"/>
    <w:rsid w:val="00196946"/>
    <w:rsid w:val="001A311E"/>
    <w:rsid w:val="001A49BD"/>
    <w:rsid w:val="001A4E89"/>
    <w:rsid w:val="001A6AA2"/>
    <w:rsid w:val="001B3C93"/>
    <w:rsid w:val="001C0E04"/>
    <w:rsid w:val="001D0D1F"/>
    <w:rsid w:val="001D224F"/>
    <w:rsid w:val="001E14A6"/>
    <w:rsid w:val="001E31F0"/>
    <w:rsid w:val="001E654C"/>
    <w:rsid w:val="001F6D1A"/>
    <w:rsid w:val="002001B5"/>
    <w:rsid w:val="00215F11"/>
    <w:rsid w:val="00224D18"/>
    <w:rsid w:val="00233A1B"/>
    <w:rsid w:val="002477B1"/>
    <w:rsid w:val="00256BC5"/>
    <w:rsid w:val="00260A16"/>
    <w:rsid w:val="00262466"/>
    <w:rsid w:val="00263E2E"/>
    <w:rsid w:val="0026560F"/>
    <w:rsid w:val="00273D54"/>
    <w:rsid w:val="00280290"/>
    <w:rsid w:val="00297D1B"/>
    <w:rsid w:val="00297F1E"/>
    <w:rsid w:val="002A24DC"/>
    <w:rsid w:val="002A27EA"/>
    <w:rsid w:val="002A373B"/>
    <w:rsid w:val="002B1DC2"/>
    <w:rsid w:val="002B2607"/>
    <w:rsid w:val="002B35BD"/>
    <w:rsid w:val="002B378A"/>
    <w:rsid w:val="002D5624"/>
    <w:rsid w:val="002D56C6"/>
    <w:rsid w:val="00302D48"/>
    <w:rsid w:val="003234CE"/>
    <w:rsid w:val="003274D7"/>
    <w:rsid w:val="003312A7"/>
    <w:rsid w:val="003411CB"/>
    <w:rsid w:val="00342F02"/>
    <w:rsid w:val="00345495"/>
    <w:rsid w:val="00347440"/>
    <w:rsid w:val="00350577"/>
    <w:rsid w:val="00354558"/>
    <w:rsid w:val="00365D3F"/>
    <w:rsid w:val="0036719A"/>
    <w:rsid w:val="003746A2"/>
    <w:rsid w:val="00380D90"/>
    <w:rsid w:val="00382F90"/>
    <w:rsid w:val="00384B77"/>
    <w:rsid w:val="00387BA3"/>
    <w:rsid w:val="00390FA8"/>
    <w:rsid w:val="003A1A79"/>
    <w:rsid w:val="003A7B55"/>
    <w:rsid w:val="003A7C31"/>
    <w:rsid w:val="003B4AAB"/>
    <w:rsid w:val="003B571A"/>
    <w:rsid w:val="003B65B0"/>
    <w:rsid w:val="003C17EA"/>
    <w:rsid w:val="003C647D"/>
    <w:rsid w:val="003C73D2"/>
    <w:rsid w:val="00401883"/>
    <w:rsid w:val="00402BDE"/>
    <w:rsid w:val="0040391C"/>
    <w:rsid w:val="004067DD"/>
    <w:rsid w:val="00411068"/>
    <w:rsid w:val="00423556"/>
    <w:rsid w:val="004353BF"/>
    <w:rsid w:val="004366F4"/>
    <w:rsid w:val="0044025A"/>
    <w:rsid w:val="00455774"/>
    <w:rsid w:val="0046080D"/>
    <w:rsid w:val="00460D05"/>
    <w:rsid w:val="004664EE"/>
    <w:rsid w:val="00477FA1"/>
    <w:rsid w:val="00483EBD"/>
    <w:rsid w:val="004843F3"/>
    <w:rsid w:val="00491C64"/>
    <w:rsid w:val="00491FDB"/>
    <w:rsid w:val="00497177"/>
    <w:rsid w:val="004A4455"/>
    <w:rsid w:val="004B340A"/>
    <w:rsid w:val="004C4972"/>
    <w:rsid w:val="004C76A8"/>
    <w:rsid w:val="004E079E"/>
    <w:rsid w:val="004E0AC9"/>
    <w:rsid w:val="004E49C1"/>
    <w:rsid w:val="004F2009"/>
    <w:rsid w:val="004F596F"/>
    <w:rsid w:val="00500234"/>
    <w:rsid w:val="00506911"/>
    <w:rsid w:val="005075C4"/>
    <w:rsid w:val="00521744"/>
    <w:rsid w:val="00524852"/>
    <w:rsid w:val="005363AE"/>
    <w:rsid w:val="00557B1E"/>
    <w:rsid w:val="005620EB"/>
    <w:rsid w:val="00573478"/>
    <w:rsid w:val="00574D2E"/>
    <w:rsid w:val="0058298C"/>
    <w:rsid w:val="00584198"/>
    <w:rsid w:val="00590732"/>
    <w:rsid w:val="00594A52"/>
    <w:rsid w:val="0059530D"/>
    <w:rsid w:val="005961C2"/>
    <w:rsid w:val="005A3599"/>
    <w:rsid w:val="005B1218"/>
    <w:rsid w:val="005B50F9"/>
    <w:rsid w:val="005B54D3"/>
    <w:rsid w:val="005C0943"/>
    <w:rsid w:val="005C7F11"/>
    <w:rsid w:val="005D4B5D"/>
    <w:rsid w:val="005D4F98"/>
    <w:rsid w:val="005D57E4"/>
    <w:rsid w:val="005D7110"/>
    <w:rsid w:val="005D719D"/>
    <w:rsid w:val="005E7EE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B6879"/>
    <w:rsid w:val="006C2043"/>
    <w:rsid w:val="006C32FE"/>
    <w:rsid w:val="006C7C4D"/>
    <w:rsid w:val="006D0853"/>
    <w:rsid w:val="007215FB"/>
    <w:rsid w:val="00724A6B"/>
    <w:rsid w:val="00731591"/>
    <w:rsid w:val="00744DD2"/>
    <w:rsid w:val="00751907"/>
    <w:rsid w:val="00753C46"/>
    <w:rsid w:val="00755CED"/>
    <w:rsid w:val="00755E6A"/>
    <w:rsid w:val="00761767"/>
    <w:rsid w:val="00764350"/>
    <w:rsid w:val="00783661"/>
    <w:rsid w:val="0079159D"/>
    <w:rsid w:val="00793BD5"/>
    <w:rsid w:val="00793F46"/>
    <w:rsid w:val="00795D07"/>
    <w:rsid w:val="007B1865"/>
    <w:rsid w:val="007C4273"/>
    <w:rsid w:val="007C5FDF"/>
    <w:rsid w:val="007C6052"/>
    <w:rsid w:val="007D677D"/>
    <w:rsid w:val="007E0C13"/>
    <w:rsid w:val="00800556"/>
    <w:rsid w:val="008051B0"/>
    <w:rsid w:val="00815E7C"/>
    <w:rsid w:val="00820876"/>
    <w:rsid w:val="00824079"/>
    <w:rsid w:val="00824B49"/>
    <w:rsid w:val="00830831"/>
    <w:rsid w:val="00842D74"/>
    <w:rsid w:val="0086446A"/>
    <w:rsid w:val="00874044"/>
    <w:rsid w:val="00883276"/>
    <w:rsid w:val="00885B0B"/>
    <w:rsid w:val="008B3D98"/>
    <w:rsid w:val="008D0BD1"/>
    <w:rsid w:val="008D172E"/>
    <w:rsid w:val="008D58B4"/>
    <w:rsid w:val="008D6A0C"/>
    <w:rsid w:val="008E220A"/>
    <w:rsid w:val="008E66E4"/>
    <w:rsid w:val="008E6F6A"/>
    <w:rsid w:val="008E7967"/>
    <w:rsid w:val="00900115"/>
    <w:rsid w:val="009014C0"/>
    <w:rsid w:val="009107C6"/>
    <w:rsid w:val="009225A7"/>
    <w:rsid w:val="0092338E"/>
    <w:rsid w:val="009242B2"/>
    <w:rsid w:val="00925760"/>
    <w:rsid w:val="00930C5B"/>
    <w:rsid w:val="00937614"/>
    <w:rsid w:val="009518A3"/>
    <w:rsid w:val="00955805"/>
    <w:rsid w:val="00971DF7"/>
    <w:rsid w:val="00972419"/>
    <w:rsid w:val="00972EAE"/>
    <w:rsid w:val="00975A39"/>
    <w:rsid w:val="009760A1"/>
    <w:rsid w:val="00976B22"/>
    <w:rsid w:val="00982081"/>
    <w:rsid w:val="00991C21"/>
    <w:rsid w:val="009A240E"/>
    <w:rsid w:val="009A3CEE"/>
    <w:rsid w:val="009B6B27"/>
    <w:rsid w:val="009B7157"/>
    <w:rsid w:val="009C077B"/>
    <w:rsid w:val="009C2D61"/>
    <w:rsid w:val="009C5D47"/>
    <w:rsid w:val="009C6D6D"/>
    <w:rsid w:val="009C78F4"/>
    <w:rsid w:val="009D057A"/>
    <w:rsid w:val="009D1176"/>
    <w:rsid w:val="009D61FE"/>
    <w:rsid w:val="009E0D1F"/>
    <w:rsid w:val="009E60D8"/>
    <w:rsid w:val="009E6283"/>
    <w:rsid w:val="009F3F74"/>
    <w:rsid w:val="00A02584"/>
    <w:rsid w:val="00A10873"/>
    <w:rsid w:val="00A14256"/>
    <w:rsid w:val="00A21BA1"/>
    <w:rsid w:val="00A23B2B"/>
    <w:rsid w:val="00A246BC"/>
    <w:rsid w:val="00A31F9C"/>
    <w:rsid w:val="00A46C13"/>
    <w:rsid w:val="00A46FC6"/>
    <w:rsid w:val="00A474A8"/>
    <w:rsid w:val="00A476A6"/>
    <w:rsid w:val="00A64B78"/>
    <w:rsid w:val="00A65D28"/>
    <w:rsid w:val="00A740FB"/>
    <w:rsid w:val="00A81808"/>
    <w:rsid w:val="00A9065D"/>
    <w:rsid w:val="00A97D5A"/>
    <w:rsid w:val="00AB2ED5"/>
    <w:rsid w:val="00AC19F6"/>
    <w:rsid w:val="00AC36BF"/>
    <w:rsid w:val="00AD7EAE"/>
    <w:rsid w:val="00AE0976"/>
    <w:rsid w:val="00B13199"/>
    <w:rsid w:val="00B15ED4"/>
    <w:rsid w:val="00B213D6"/>
    <w:rsid w:val="00B362C6"/>
    <w:rsid w:val="00B40F5A"/>
    <w:rsid w:val="00B51434"/>
    <w:rsid w:val="00B51FDD"/>
    <w:rsid w:val="00B53882"/>
    <w:rsid w:val="00B56E45"/>
    <w:rsid w:val="00B67E12"/>
    <w:rsid w:val="00BB47EB"/>
    <w:rsid w:val="00BC09D4"/>
    <w:rsid w:val="00BD1638"/>
    <w:rsid w:val="00BD4B20"/>
    <w:rsid w:val="00BD7388"/>
    <w:rsid w:val="00BF2589"/>
    <w:rsid w:val="00BF60E7"/>
    <w:rsid w:val="00C007E9"/>
    <w:rsid w:val="00C04799"/>
    <w:rsid w:val="00C16107"/>
    <w:rsid w:val="00C30AAF"/>
    <w:rsid w:val="00C349C2"/>
    <w:rsid w:val="00C42648"/>
    <w:rsid w:val="00C50810"/>
    <w:rsid w:val="00C5783A"/>
    <w:rsid w:val="00C64692"/>
    <w:rsid w:val="00C6729F"/>
    <w:rsid w:val="00C816E8"/>
    <w:rsid w:val="00C94BE4"/>
    <w:rsid w:val="00CB1CC7"/>
    <w:rsid w:val="00CB41B6"/>
    <w:rsid w:val="00CB553C"/>
    <w:rsid w:val="00CB6D8B"/>
    <w:rsid w:val="00CD16BC"/>
    <w:rsid w:val="00CD3F3A"/>
    <w:rsid w:val="00CE0D56"/>
    <w:rsid w:val="00CF154E"/>
    <w:rsid w:val="00CF6903"/>
    <w:rsid w:val="00D1701D"/>
    <w:rsid w:val="00D319B3"/>
    <w:rsid w:val="00D32787"/>
    <w:rsid w:val="00D336D8"/>
    <w:rsid w:val="00D35DDE"/>
    <w:rsid w:val="00D507EF"/>
    <w:rsid w:val="00D52FF7"/>
    <w:rsid w:val="00D746E3"/>
    <w:rsid w:val="00D861BD"/>
    <w:rsid w:val="00D9247C"/>
    <w:rsid w:val="00D96EB7"/>
    <w:rsid w:val="00DA5C0A"/>
    <w:rsid w:val="00DB104A"/>
    <w:rsid w:val="00DB3D05"/>
    <w:rsid w:val="00DB40B6"/>
    <w:rsid w:val="00DB5C6D"/>
    <w:rsid w:val="00DD1675"/>
    <w:rsid w:val="00DE71A6"/>
    <w:rsid w:val="00DF494F"/>
    <w:rsid w:val="00DF59D8"/>
    <w:rsid w:val="00E06F6B"/>
    <w:rsid w:val="00E11F9E"/>
    <w:rsid w:val="00E16486"/>
    <w:rsid w:val="00E22333"/>
    <w:rsid w:val="00E23AC9"/>
    <w:rsid w:val="00E23E62"/>
    <w:rsid w:val="00E23E6D"/>
    <w:rsid w:val="00E246FE"/>
    <w:rsid w:val="00E25423"/>
    <w:rsid w:val="00E25DBA"/>
    <w:rsid w:val="00E27064"/>
    <w:rsid w:val="00E440DA"/>
    <w:rsid w:val="00E5761B"/>
    <w:rsid w:val="00E608B6"/>
    <w:rsid w:val="00E62A53"/>
    <w:rsid w:val="00E64C32"/>
    <w:rsid w:val="00E7003F"/>
    <w:rsid w:val="00E710A4"/>
    <w:rsid w:val="00E716A6"/>
    <w:rsid w:val="00E724E6"/>
    <w:rsid w:val="00E72FAA"/>
    <w:rsid w:val="00E73B03"/>
    <w:rsid w:val="00E87DF2"/>
    <w:rsid w:val="00E92649"/>
    <w:rsid w:val="00EA32C7"/>
    <w:rsid w:val="00EA6F9F"/>
    <w:rsid w:val="00ED1D2F"/>
    <w:rsid w:val="00ED1ECA"/>
    <w:rsid w:val="00EE2D68"/>
    <w:rsid w:val="00EF015A"/>
    <w:rsid w:val="00EF419C"/>
    <w:rsid w:val="00EF74DE"/>
    <w:rsid w:val="00F11C67"/>
    <w:rsid w:val="00F15EBA"/>
    <w:rsid w:val="00F209EE"/>
    <w:rsid w:val="00F269C2"/>
    <w:rsid w:val="00F40A6A"/>
    <w:rsid w:val="00F44EF5"/>
    <w:rsid w:val="00F47A31"/>
    <w:rsid w:val="00F65CE8"/>
    <w:rsid w:val="00F703B5"/>
    <w:rsid w:val="00F70511"/>
    <w:rsid w:val="00F766A9"/>
    <w:rsid w:val="00F82E6C"/>
    <w:rsid w:val="00F93A77"/>
    <w:rsid w:val="00F96EC7"/>
    <w:rsid w:val="00FA2D59"/>
    <w:rsid w:val="00FA63DD"/>
    <w:rsid w:val="00FA71F3"/>
    <w:rsid w:val="00FB3C12"/>
    <w:rsid w:val="00FB4C43"/>
    <w:rsid w:val="00FB6222"/>
    <w:rsid w:val="00FC1840"/>
    <w:rsid w:val="00FC2CA8"/>
    <w:rsid w:val="00FE15F6"/>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1268538222">
      <w:bodyDiv w:val="1"/>
      <w:marLeft w:val="0"/>
      <w:marRight w:val="0"/>
      <w:marTop w:val="0"/>
      <w:marBottom w:val="0"/>
      <w:divBdr>
        <w:top w:val="none" w:sz="0" w:space="0" w:color="auto"/>
        <w:left w:val="none" w:sz="0" w:space="0" w:color="auto"/>
        <w:bottom w:val="none" w:sz="0" w:space="0" w:color="auto"/>
        <w:right w:val="none" w:sz="0" w:space="0" w:color="auto"/>
      </w:divBdr>
    </w:div>
    <w:div w:id="1472675998">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milu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156</cp:revision>
  <cp:lastPrinted>2023-07-20T11:09:00Z</cp:lastPrinted>
  <dcterms:created xsi:type="dcterms:W3CDTF">2022-01-27T09:31:00Z</dcterms:created>
  <dcterms:modified xsi:type="dcterms:W3CDTF">2023-07-20T11:09:00Z</dcterms:modified>
</cp:coreProperties>
</file>