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E728" w14:textId="714434CD" w:rsidR="00CA79D7" w:rsidRPr="006456EA" w:rsidRDefault="00161817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top-7-</w:t>
      </w:r>
      <w:r w:rsidR="00530455">
        <w:rPr>
          <w:rFonts w:ascii="Source Sans Pro" w:hAnsi="Source Sans Pro" w:cs="Source Sans Pro"/>
          <w:caps/>
          <w:color w:val="0086A8"/>
          <w:sz w:val="22"/>
          <w:szCs w:val="22"/>
        </w:rPr>
        <w:t>Industrie-</w:t>
      </w:r>
      <w:r w:rsidR="00D80BE8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  <w:r w:rsidR="00530455">
        <w:rPr>
          <w:rFonts w:ascii="Source Sans Pro" w:hAnsi="Source Sans Pro" w:cs="Source Sans Pro"/>
          <w:caps/>
          <w:color w:val="0086A8"/>
          <w:sz w:val="22"/>
          <w:szCs w:val="22"/>
        </w:rPr>
        <w:t>und logistikmÄ</w:t>
      </w:r>
      <w:r w:rsidR="00EB0C34">
        <w:rPr>
          <w:rFonts w:ascii="Source Sans Pro" w:hAnsi="Source Sans Pro" w:cs="Source Sans Pro"/>
          <w:caps/>
          <w:color w:val="0086A8"/>
          <w:sz w:val="22"/>
          <w:szCs w:val="22"/>
        </w:rPr>
        <w:t>rkt</w:t>
      </w:r>
      <w:r w:rsidR="00530455">
        <w:rPr>
          <w:rFonts w:ascii="Source Sans Pro" w:hAnsi="Source Sans Pro" w:cs="Source Sans Pro"/>
          <w:caps/>
          <w:color w:val="0086A8"/>
          <w:sz w:val="22"/>
          <w:szCs w:val="22"/>
        </w:rPr>
        <w:t>e</w:t>
      </w:r>
      <w:r w:rsidR="006C7D7B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  <w:r w:rsidR="00CA79D7" w:rsidRPr="006456E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45EC360F" w14:textId="09C8C449" w:rsidR="006C7D7B" w:rsidRDefault="00E07769" w:rsidP="00864461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Source Sans Pro"/>
          <w:sz w:val="18"/>
          <w:szCs w:val="22"/>
        </w:rPr>
      </w:pPr>
      <w:r>
        <w:rPr>
          <w:rFonts w:ascii="Source Sans Pro" w:hAnsi="Source Sans Pro" w:cs="Source Sans Pro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AE2866E" wp14:editId="0AEF4C8F">
            <wp:simplePos x="0" y="0"/>
            <wp:positionH relativeFrom="margin">
              <wp:align>left</wp:align>
            </wp:positionH>
            <wp:positionV relativeFrom="paragraph">
              <wp:posOffset>408940</wp:posOffset>
            </wp:positionV>
            <wp:extent cx="2689860" cy="268986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25A">
        <w:rPr>
          <w:rFonts w:ascii="Source Sans Pro" w:hAnsi="Source Sans Pro" w:cs="Source Sans Pro"/>
          <w:sz w:val="36"/>
          <w:szCs w:val="36"/>
        </w:rPr>
        <w:t xml:space="preserve">Positive Investmentperspektive für Logistikobjekte </w:t>
      </w:r>
    </w:p>
    <w:p w14:paraId="6EF3F7BE" w14:textId="77FF1832" w:rsidR="006C7D7B" w:rsidRDefault="006C7D7B" w:rsidP="00864461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Source Sans Pro"/>
          <w:sz w:val="18"/>
          <w:szCs w:val="22"/>
        </w:rPr>
      </w:pPr>
    </w:p>
    <w:p w14:paraId="0E01F861" w14:textId="43ACDDDC" w:rsidR="006C7D7B" w:rsidRPr="007959C9" w:rsidRDefault="00962CFF" w:rsidP="0023708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sz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1</w:t>
      </w:r>
      <w:r w:rsidR="00196178">
        <w:rPr>
          <w:rFonts w:ascii="Source Sans Pro" w:hAnsi="Source Sans Pro" w:cs="Source Sans Pro"/>
          <w:color w:val="0087A8"/>
          <w:sz w:val="22"/>
          <w:szCs w:val="22"/>
        </w:rPr>
        <w:t>5</w:t>
      </w:r>
      <w:r w:rsidR="006C7D7B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6C7D7B">
        <w:rPr>
          <w:rFonts w:ascii="Source Sans Pro" w:hAnsi="Source Sans Pro" w:cs="Source Sans Pro"/>
          <w:color w:val="0087A8"/>
          <w:sz w:val="22"/>
          <w:szCs w:val="22"/>
        </w:rPr>
        <w:t>Februar</w:t>
      </w:r>
      <w:r w:rsidR="006C7D7B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196178">
        <w:rPr>
          <w:rFonts w:ascii="Source Sans Pro" w:hAnsi="Source Sans Pro" w:cs="Source Sans Pro"/>
          <w:color w:val="0087A8"/>
          <w:sz w:val="22"/>
          <w:szCs w:val="22"/>
        </w:rPr>
        <w:t>4</w:t>
      </w:r>
      <w:r w:rsidR="006C7D7B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6C7D7B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  <w:r w:rsidR="000A7F2C">
        <w:rPr>
          <w:rFonts w:ascii="Source Sans Pro" w:hAnsi="Source Sans Pro" w:cs="Source Sans Pro"/>
          <w:color w:val="auto"/>
          <w:sz w:val="22"/>
          <w:szCs w:val="22"/>
        </w:rPr>
        <w:t xml:space="preserve">Die </w:t>
      </w:r>
      <w:r w:rsidR="006D712E">
        <w:rPr>
          <w:rFonts w:ascii="Source Sans Pro" w:hAnsi="Source Sans Pro" w:cs="Source Sans Pro"/>
          <w:color w:val="auto"/>
          <w:sz w:val="22"/>
          <w:szCs w:val="22"/>
        </w:rPr>
        <w:t xml:space="preserve">schlechte Konjunktur und </w:t>
      </w:r>
      <w:r w:rsidR="000A7F2C">
        <w:rPr>
          <w:rFonts w:ascii="Source Sans Pro" w:hAnsi="Source Sans Pro" w:cs="Source Sans Pro"/>
          <w:color w:val="auto"/>
          <w:sz w:val="22"/>
          <w:szCs w:val="22"/>
        </w:rPr>
        <w:t>anhaltende</w:t>
      </w:r>
      <w:r w:rsidR="00A47C46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A7F2C" w:rsidRPr="005A2D3A">
        <w:rPr>
          <w:rFonts w:ascii="Source Sans Pro" w:hAnsi="Source Sans Pro" w:cs="Source Sans Pro"/>
          <w:color w:val="auto"/>
          <w:sz w:val="22"/>
          <w:szCs w:val="22"/>
        </w:rPr>
        <w:t>Ungewissheit</w:t>
      </w:r>
      <w:r w:rsidR="000A7F2C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A47C46">
        <w:rPr>
          <w:rFonts w:ascii="Source Sans Pro" w:hAnsi="Source Sans Pro" w:cs="Source Sans Pro"/>
          <w:color w:val="auto"/>
          <w:sz w:val="22"/>
          <w:szCs w:val="22"/>
        </w:rPr>
        <w:t xml:space="preserve">über die </w:t>
      </w:r>
      <w:r w:rsidR="006D712E">
        <w:rPr>
          <w:rFonts w:ascii="Source Sans Pro" w:hAnsi="Source Sans Pro" w:cs="Source Sans Pro"/>
          <w:color w:val="auto"/>
          <w:sz w:val="22"/>
          <w:szCs w:val="22"/>
        </w:rPr>
        <w:t xml:space="preserve">weitere </w:t>
      </w:r>
      <w:r w:rsidR="00A47C46">
        <w:rPr>
          <w:rFonts w:ascii="Source Sans Pro" w:hAnsi="Source Sans Pro" w:cs="Source Sans Pro"/>
          <w:color w:val="auto"/>
          <w:sz w:val="22"/>
          <w:szCs w:val="22"/>
        </w:rPr>
        <w:t>wirtschaftliche Entwicklun</w:t>
      </w:r>
      <w:r w:rsidR="00BF0CAB">
        <w:rPr>
          <w:rFonts w:ascii="Source Sans Pro" w:hAnsi="Source Sans Pro" w:cs="Source Sans Pro"/>
          <w:color w:val="auto"/>
          <w:sz w:val="22"/>
          <w:szCs w:val="22"/>
        </w:rPr>
        <w:t>g</w:t>
      </w:r>
      <w:r w:rsidR="00A47C46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A7F2C">
        <w:rPr>
          <w:rFonts w:ascii="Source Sans Pro" w:hAnsi="Source Sans Pro" w:cs="Source Sans Pro"/>
          <w:color w:val="auto"/>
          <w:sz w:val="22"/>
          <w:szCs w:val="22"/>
        </w:rPr>
        <w:t>sorgte</w:t>
      </w:r>
      <w:r w:rsidR="006D712E">
        <w:rPr>
          <w:rFonts w:ascii="Source Sans Pro" w:hAnsi="Source Sans Pro" w:cs="Source Sans Pro"/>
          <w:color w:val="auto"/>
          <w:sz w:val="22"/>
          <w:szCs w:val="22"/>
        </w:rPr>
        <w:t>n</w:t>
      </w:r>
      <w:r w:rsidR="000A7F2C">
        <w:rPr>
          <w:rFonts w:ascii="Source Sans Pro" w:hAnsi="Source Sans Pro" w:cs="Source Sans Pro"/>
          <w:color w:val="auto"/>
          <w:sz w:val="22"/>
          <w:szCs w:val="22"/>
        </w:rPr>
        <w:t xml:space="preserve"> 2023 für ein rückläufiges Umsatzgeschehen an den</w:t>
      </w:r>
      <w:r w:rsidR="00262C87" w:rsidRPr="00262C87">
        <w:rPr>
          <w:rFonts w:ascii="Source Sans Pro" w:hAnsi="Source Sans Pro" w:cs="Arial"/>
          <w:sz w:val="22"/>
        </w:rPr>
        <w:t xml:space="preserve"> Top-7-Märkte</w:t>
      </w:r>
      <w:r w:rsidR="000A7F2C">
        <w:rPr>
          <w:rFonts w:ascii="Source Sans Pro" w:hAnsi="Source Sans Pro" w:cs="Arial"/>
          <w:sz w:val="22"/>
        </w:rPr>
        <w:t>n</w:t>
      </w:r>
      <w:r w:rsidR="00262C87" w:rsidRPr="00262C87">
        <w:rPr>
          <w:rFonts w:ascii="Source Sans Pro" w:hAnsi="Source Sans Pro" w:cs="Arial"/>
          <w:sz w:val="22"/>
        </w:rPr>
        <w:t xml:space="preserve"> für Industrie- und Logistikimmobilien</w:t>
      </w:r>
      <w:r w:rsidR="000A7F2C">
        <w:rPr>
          <w:rFonts w:ascii="Source Sans Pro" w:hAnsi="Source Sans Pro" w:cs="Arial"/>
          <w:sz w:val="22"/>
        </w:rPr>
        <w:t>.</w:t>
      </w:r>
      <w:r w:rsidR="00A47C46">
        <w:rPr>
          <w:rFonts w:ascii="Source Sans Pro" w:hAnsi="Source Sans Pro" w:cs="Arial"/>
          <w:sz w:val="22"/>
        </w:rPr>
        <w:t xml:space="preserve"> </w:t>
      </w:r>
      <w:r w:rsidR="00E609C2">
        <w:rPr>
          <w:rFonts w:ascii="Source Sans Pro" w:hAnsi="Source Sans Pro" w:cs="Arial"/>
          <w:sz w:val="22"/>
        </w:rPr>
        <w:t xml:space="preserve">Der </w:t>
      </w:r>
      <w:r w:rsidR="00AC696F" w:rsidRPr="00196178">
        <w:rPr>
          <w:rFonts w:ascii="Source Sans Pro" w:hAnsi="Source Sans Pro" w:cs="Arial"/>
          <w:color w:val="auto"/>
          <w:sz w:val="22"/>
          <w:szCs w:val="20"/>
        </w:rPr>
        <w:t>Flächenumsatz auf dem Vermietungsmarkt</w:t>
      </w:r>
      <w:r w:rsidR="00261C34">
        <w:rPr>
          <w:rFonts w:ascii="Source Sans Pro" w:hAnsi="Source Sans Pro" w:cs="Arial"/>
          <w:color w:val="auto"/>
          <w:sz w:val="22"/>
          <w:szCs w:val="20"/>
        </w:rPr>
        <w:t xml:space="preserve"> lag mit </w:t>
      </w:r>
      <w:r w:rsidR="00E609C2">
        <w:rPr>
          <w:rFonts w:ascii="Source Sans Pro" w:hAnsi="Source Sans Pro" w:cs="Arial"/>
          <w:color w:val="auto"/>
          <w:sz w:val="22"/>
          <w:szCs w:val="20"/>
        </w:rPr>
        <w:t xml:space="preserve">rund </w:t>
      </w:r>
      <w:r w:rsidR="00261C34">
        <w:rPr>
          <w:rFonts w:ascii="Source Sans Pro" w:hAnsi="Source Sans Pro" w:cs="Arial"/>
          <w:color w:val="auto"/>
          <w:sz w:val="22"/>
          <w:szCs w:val="20"/>
        </w:rPr>
        <w:t>1,9</w:t>
      </w:r>
      <w:r w:rsidR="008268CF">
        <w:rPr>
          <w:rFonts w:ascii="Source Sans Pro" w:hAnsi="Source Sans Pro" w:cs="Arial"/>
          <w:color w:val="auto"/>
          <w:sz w:val="22"/>
          <w:szCs w:val="20"/>
        </w:rPr>
        <w:t>5</w:t>
      </w:r>
      <w:r w:rsidR="00261C34">
        <w:rPr>
          <w:rFonts w:ascii="Source Sans Pro" w:hAnsi="Source Sans Pro" w:cs="Arial"/>
          <w:color w:val="auto"/>
          <w:sz w:val="22"/>
          <w:szCs w:val="20"/>
        </w:rPr>
        <w:t xml:space="preserve"> Mio. </w:t>
      </w:r>
      <w:r w:rsidR="00261C34" w:rsidRPr="00261C34">
        <w:rPr>
          <w:rFonts w:ascii="Source Sans Pro" w:hAnsi="Source Sans Pro" w:cs="Arial"/>
          <w:color w:val="auto"/>
          <w:sz w:val="22"/>
          <w:szCs w:val="20"/>
        </w:rPr>
        <w:t>m²</w:t>
      </w:r>
      <w:r w:rsidR="00261C34">
        <w:rPr>
          <w:rFonts w:ascii="Source Sans Pro" w:hAnsi="Source Sans Pro" w:cs="Arial"/>
          <w:color w:val="auto"/>
          <w:sz w:val="22"/>
          <w:szCs w:val="20"/>
        </w:rPr>
        <w:t xml:space="preserve"> </w:t>
      </w:r>
      <w:r w:rsidR="00E609C2">
        <w:rPr>
          <w:rFonts w:ascii="Source Sans Pro" w:hAnsi="Source Sans Pro" w:cs="Arial"/>
          <w:color w:val="auto"/>
          <w:sz w:val="22"/>
          <w:szCs w:val="20"/>
        </w:rPr>
        <w:t>etwa</w:t>
      </w:r>
      <w:r w:rsidR="00261C34">
        <w:rPr>
          <w:rFonts w:ascii="Source Sans Pro" w:hAnsi="Source Sans Pro" w:cs="Arial"/>
          <w:color w:val="auto"/>
          <w:sz w:val="22"/>
          <w:szCs w:val="20"/>
        </w:rPr>
        <w:t xml:space="preserve"> 30 % unter dem Vorjahresergebnis</w:t>
      </w:r>
      <w:r w:rsidR="00E609C2">
        <w:rPr>
          <w:rFonts w:ascii="Source Sans Pro" w:hAnsi="Source Sans Pro" w:cs="Arial"/>
          <w:color w:val="auto"/>
          <w:sz w:val="22"/>
          <w:szCs w:val="20"/>
        </w:rPr>
        <w:t>. Auch d</w:t>
      </w:r>
      <w:r w:rsidR="00814CEF" w:rsidRPr="00196178">
        <w:rPr>
          <w:rFonts w:ascii="Source Sans Pro" w:hAnsi="Source Sans Pro" w:cs="Arial"/>
          <w:color w:val="auto"/>
          <w:sz w:val="22"/>
          <w:szCs w:val="20"/>
        </w:rPr>
        <w:t>as</w:t>
      </w:r>
      <w:r w:rsidR="00814CEF" w:rsidRPr="00196178">
        <w:rPr>
          <w:rFonts w:ascii="Source Sans Pro" w:hAnsi="Source Sans Pro" w:cs="Arial"/>
          <w:sz w:val="22"/>
        </w:rPr>
        <w:t xml:space="preserve"> Top-7-Transaktionsvolumen für Industrie- und Logistikimmobilien </w:t>
      </w:r>
      <w:r w:rsidR="00E609C2">
        <w:rPr>
          <w:rFonts w:ascii="Source Sans Pro" w:hAnsi="Source Sans Pro" w:cs="Arial"/>
          <w:sz w:val="22"/>
        </w:rPr>
        <w:t>sank um etwa 22 % auf rund</w:t>
      </w:r>
      <w:r w:rsidR="00261C34" w:rsidRPr="00261C34">
        <w:rPr>
          <w:rFonts w:ascii="Source Sans Pro" w:hAnsi="Source Sans Pro" w:cs="Arial"/>
          <w:sz w:val="22"/>
        </w:rPr>
        <w:t xml:space="preserve"> 1,77 Mrd. </w:t>
      </w:r>
      <w:r w:rsidR="00E609C2">
        <w:rPr>
          <w:rFonts w:ascii="Source Sans Pro" w:hAnsi="Source Sans Pro" w:cs="Arial"/>
          <w:sz w:val="22"/>
        </w:rPr>
        <w:t>€. Beide Ergebnisse verfehlten d</w:t>
      </w:r>
      <w:r w:rsidR="00A47C46">
        <w:rPr>
          <w:rFonts w:ascii="Source Sans Pro" w:hAnsi="Source Sans Pro" w:cs="Arial"/>
          <w:sz w:val="22"/>
        </w:rPr>
        <w:t xml:space="preserve">ie </w:t>
      </w:r>
      <w:r w:rsidR="00E609C2">
        <w:rPr>
          <w:rFonts w:ascii="Source Sans Pro" w:hAnsi="Source Sans Pro" w:cs="Arial"/>
          <w:sz w:val="22"/>
        </w:rPr>
        <w:t>Fünf-Jahres-Mittel.</w:t>
      </w:r>
      <w:r w:rsidR="00484520">
        <w:rPr>
          <w:rFonts w:ascii="Source Sans Pro" w:hAnsi="Source Sans Pro" w:cs="Arial"/>
          <w:sz w:val="22"/>
        </w:rPr>
        <w:t xml:space="preserve"> </w:t>
      </w:r>
      <w:r w:rsidR="004A64EE" w:rsidRPr="00962CFF">
        <w:rPr>
          <w:rFonts w:ascii="Source Sans Pro" w:hAnsi="Source Sans Pro" w:cs="Arial"/>
          <w:i/>
          <w:sz w:val="22"/>
        </w:rPr>
        <w:t>„</w:t>
      </w:r>
      <w:r w:rsidR="00E609C2">
        <w:rPr>
          <w:rFonts w:ascii="Source Sans Pro" w:hAnsi="Source Sans Pro" w:cs="Arial"/>
          <w:i/>
          <w:sz w:val="22"/>
        </w:rPr>
        <w:t xml:space="preserve">Bedingt durch </w:t>
      </w:r>
      <w:r w:rsidR="00A47C46" w:rsidRPr="00A47C46">
        <w:rPr>
          <w:rFonts w:ascii="Source Sans Pro" w:hAnsi="Source Sans Pro" w:cs="Arial"/>
          <w:i/>
          <w:sz w:val="22"/>
        </w:rPr>
        <w:t xml:space="preserve">das </w:t>
      </w:r>
      <w:r w:rsidR="00A47C46" w:rsidRPr="00A47C46">
        <w:rPr>
          <w:rFonts w:ascii="Source Sans Pro" w:hAnsi="Source Sans Pro" w:cs="Source Sans Pro"/>
          <w:i/>
          <w:sz w:val="22"/>
          <w:szCs w:val="22"/>
        </w:rPr>
        <w:t>herausfordernde konjunkturelle Umfeld</w:t>
      </w:r>
      <w:r w:rsidR="00A47C46">
        <w:rPr>
          <w:rFonts w:ascii="Source Sans Pro" w:hAnsi="Source Sans Pro" w:cs="Source Sans Pro"/>
          <w:iCs/>
          <w:sz w:val="22"/>
          <w:szCs w:val="22"/>
        </w:rPr>
        <w:t xml:space="preserve"> </w:t>
      </w:r>
      <w:r w:rsidR="00E609C2" w:rsidRPr="00484520">
        <w:rPr>
          <w:rFonts w:ascii="Source Sans Pro" w:hAnsi="Source Sans Pro" w:cs="Arial"/>
          <w:i/>
          <w:sz w:val="22"/>
        </w:rPr>
        <w:t xml:space="preserve">ist die Flächennachfrage aktuell </w:t>
      </w:r>
      <w:r w:rsidR="00F13CEB">
        <w:rPr>
          <w:rFonts w:ascii="Source Sans Pro" w:hAnsi="Source Sans Pro" w:cs="Arial"/>
          <w:i/>
          <w:sz w:val="22"/>
        </w:rPr>
        <w:t>an den meisten</w:t>
      </w:r>
      <w:r w:rsidR="00E609C2" w:rsidRPr="00484520">
        <w:rPr>
          <w:rFonts w:ascii="Source Sans Pro" w:hAnsi="Source Sans Pro" w:cs="Arial"/>
          <w:i/>
          <w:sz w:val="22"/>
        </w:rPr>
        <w:t xml:space="preserve"> Top-7-Märkten verhalten. </w:t>
      </w:r>
      <w:r w:rsidR="00E609C2" w:rsidRPr="00793057">
        <w:rPr>
          <w:rFonts w:ascii="Source Sans Pro" w:hAnsi="Source Sans Pro" w:cs="Arial"/>
          <w:i/>
          <w:sz w:val="22"/>
        </w:rPr>
        <w:t xml:space="preserve">Dennoch überwiegt sie gegenüber dem Angebot, insbesondere im Neubausegment. </w:t>
      </w:r>
      <w:r w:rsidR="00B46F77" w:rsidRPr="00793057">
        <w:rPr>
          <w:rFonts w:ascii="Source Sans Pro" w:hAnsi="Source Sans Pro" w:cs="Arial"/>
          <w:i/>
          <w:sz w:val="22"/>
        </w:rPr>
        <w:t>Es mangelt</w:t>
      </w:r>
      <w:r w:rsidR="00484520" w:rsidRPr="00793057">
        <w:rPr>
          <w:rFonts w:ascii="Source Sans Pro" w:hAnsi="Source Sans Pro" w:cs="Arial"/>
          <w:i/>
          <w:sz w:val="22"/>
        </w:rPr>
        <w:t xml:space="preserve"> nach wie vor an geeigneten Industrie- und Logistikflächen</w:t>
      </w:r>
      <w:r w:rsidR="00B46F77">
        <w:rPr>
          <w:rFonts w:ascii="Source Sans Pro" w:hAnsi="Source Sans Pro" w:cs="Arial"/>
          <w:i/>
          <w:sz w:val="22"/>
        </w:rPr>
        <w:t>. Mit Blick auf die derzeit geringen Bauaktivitäten dürfte der Flächenmangel an den meisten Standorten</w:t>
      </w:r>
      <w:r w:rsidR="00A47C46">
        <w:rPr>
          <w:rFonts w:ascii="Source Sans Pro" w:hAnsi="Source Sans Pro" w:cs="Arial"/>
          <w:i/>
          <w:sz w:val="22"/>
        </w:rPr>
        <w:t xml:space="preserve"> </w:t>
      </w:r>
      <w:r w:rsidR="00B46F77">
        <w:rPr>
          <w:rFonts w:ascii="Source Sans Pro" w:hAnsi="Source Sans Pro" w:cs="Arial"/>
          <w:i/>
          <w:sz w:val="22"/>
        </w:rPr>
        <w:t>bestehen bleiben</w:t>
      </w:r>
      <w:r w:rsidR="00484520">
        <w:rPr>
          <w:rFonts w:ascii="Source Sans Pro" w:hAnsi="Source Sans Pro" w:cs="Arial"/>
          <w:i/>
          <w:sz w:val="22"/>
        </w:rPr>
        <w:t xml:space="preserve">“, </w:t>
      </w:r>
      <w:r w:rsidR="00484520">
        <w:rPr>
          <w:rFonts w:ascii="Source Sans Pro" w:hAnsi="Source Sans Pro" w:cs="Arial"/>
          <w:iCs/>
          <w:sz w:val="22"/>
        </w:rPr>
        <w:t>ordnet</w:t>
      </w:r>
      <w:r w:rsidR="00484520">
        <w:rPr>
          <w:rFonts w:ascii="Source Sans Pro" w:hAnsi="Source Sans Pro" w:cs="Arial"/>
          <w:i/>
          <w:sz w:val="22"/>
        </w:rPr>
        <w:t xml:space="preserve"> </w:t>
      </w:r>
      <w:r w:rsidR="00484520">
        <w:rPr>
          <w:rFonts w:ascii="Source Sans Pro" w:hAnsi="Source Sans Pro" w:cs="Arial"/>
          <w:b/>
          <w:sz w:val="22"/>
        </w:rPr>
        <w:t>Björn Holzwarth</w:t>
      </w:r>
      <w:r w:rsidR="00484520" w:rsidRPr="00B9058F">
        <w:rPr>
          <w:rFonts w:ascii="Source Sans Pro" w:hAnsi="Source Sans Pro" w:cs="Arial"/>
          <w:sz w:val="22"/>
        </w:rPr>
        <w:t xml:space="preserve">, Sprecher </w:t>
      </w:r>
      <w:r w:rsidR="00484520">
        <w:rPr>
          <w:rFonts w:ascii="Source Sans Pro" w:hAnsi="Source Sans Pro" w:cs="Arial"/>
          <w:sz w:val="22"/>
        </w:rPr>
        <w:t>des Gewerbeimmobiliennetzwerkes</w:t>
      </w:r>
      <w:r w:rsidR="00484520" w:rsidRPr="00B9058F">
        <w:rPr>
          <w:rFonts w:ascii="Source Sans Pro" w:hAnsi="Source Sans Pro" w:cs="Arial"/>
          <w:sz w:val="22"/>
        </w:rPr>
        <w:t xml:space="preserve"> </w:t>
      </w:r>
      <w:r w:rsidR="00484520">
        <w:rPr>
          <w:rFonts w:ascii="Source Sans Pro" w:hAnsi="Source Sans Pro" w:cs="Arial"/>
          <w:sz w:val="22"/>
        </w:rPr>
        <w:t xml:space="preserve">German Property Partners (GPP), ein. </w:t>
      </w:r>
      <w:r w:rsidR="00B04493" w:rsidRPr="00262C87">
        <w:rPr>
          <w:rFonts w:ascii="Source Sans Pro" w:hAnsi="Source Sans Pro" w:cs="Arial"/>
          <w:sz w:val="22"/>
        </w:rPr>
        <w:t xml:space="preserve">Zu dem </w:t>
      </w:r>
      <w:r w:rsidR="00484520">
        <w:rPr>
          <w:rFonts w:ascii="Source Sans Pro" w:hAnsi="Source Sans Pro" w:cs="Arial"/>
          <w:sz w:val="22"/>
        </w:rPr>
        <w:t>Maklerverbund</w:t>
      </w:r>
      <w:r w:rsidR="006C7D7B" w:rsidRPr="00262C87">
        <w:rPr>
          <w:rFonts w:ascii="Source Sans Pro" w:hAnsi="Source Sans Pro" w:cs="Arial"/>
          <w:sz w:val="22"/>
        </w:rPr>
        <w:t xml:space="preserve"> gehören Grossmann &amp; Berger, Anteon Immobilien, GREIF &amp; CONTZEN Immobilien, blackolive und E &amp; G Real Estate.</w:t>
      </w:r>
      <w:r w:rsidR="006C7D7B">
        <w:rPr>
          <w:rFonts w:ascii="Source Sans Pro" w:hAnsi="Source Sans Pro" w:cs="Arial"/>
          <w:sz w:val="22"/>
        </w:rPr>
        <w:t xml:space="preserve"> </w:t>
      </w:r>
    </w:p>
    <w:p w14:paraId="7CA25D8D" w14:textId="77777777" w:rsidR="006C7D7B" w:rsidRDefault="006C7D7B" w:rsidP="00237082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Arial"/>
          <w:sz w:val="22"/>
        </w:rPr>
      </w:pPr>
    </w:p>
    <w:p w14:paraId="7CFA9DAB" w14:textId="7B28C041" w:rsidR="004D467B" w:rsidRPr="00191E8C" w:rsidRDefault="00191E8C" w:rsidP="0023708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191E8C">
        <w:rPr>
          <w:rFonts w:ascii="Source Sans Pro" w:hAnsi="Source Sans Pro" w:cs="Source Sans Pro"/>
          <w:color w:val="0086A8"/>
          <w:sz w:val="22"/>
          <w:szCs w:val="22"/>
        </w:rPr>
        <w:t>SPITZENMIETEN STEIGEN UM BIS ZU 21 %</w:t>
      </w:r>
    </w:p>
    <w:p w14:paraId="1307AA7A" w14:textId="16586D13" w:rsidR="00261C34" w:rsidRPr="00484520" w:rsidRDefault="00261C34" w:rsidP="00484520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Source Sans Pro"/>
          <w:sz w:val="22"/>
          <w:szCs w:val="22"/>
        </w:rPr>
      </w:pPr>
      <w:r w:rsidRPr="00484520">
        <w:rPr>
          <w:rFonts w:ascii="Source Sans Pro" w:hAnsi="Source Sans Pro" w:cs="Source Sans Pro"/>
          <w:sz w:val="22"/>
          <w:szCs w:val="22"/>
        </w:rPr>
        <w:t xml:space="preserve">An den meisten Top-7-Standorten </w:t>
      </w:r>
      <w:r w:rsidR="00484520">
        <w:rPr>
          <w:rFonts w:ascii="Source Sans Pro" w:hAnsi="Source Sans Pro" w:cs="Source Sans Pro"/>
          <w:sz w:val="22"/>
          <w:szCs w:val="22"/>
        </w:rPr>
        <w:t>war der</w:t>
      </w:r>
      <w:r w:rsidRPr="00484520">
        <w:rPr>
          <w:rFonts w:ascii="Source Sans Pro" w:hAnsi="Source Sans Pro" w:cs="Source Sans Pro"/>
          <w:sz w:val="22"/>
          <w:szCs w:val="22"/>
        </w:rPr>
        <w:t xml:space="preserve"> Flächenumsatz</w:t>
      </w:r>
      <w:r w:rsidR="00484520">
        <w:rPr>
          <w:rFonts w:ascii="Source Sans Pro" w:hAnsi="Source Sans Pro" w:cs="Source Sans Pro"/>
          <w:sz w:val="22"/>
          <w:szCs w:val="22"/>
        </w:rPr>
        <w:t xml:space="preserve"> 2023 rückläufig.</w:t>
      </w:r>
      <w:r w:rsidRPr="00484520">
        <w:rPr>
          <w:rFonts w:ascii="Source Sans Pro" w:hAnsi="Source Sans Pro" w:cs="Source Sans Pro"/>
          <w:sz w:val="22"/>
          <w:szCs w:val="22"/>
        </w:rPr>
        <w:t xml:space="preserve"> </w:t>
      </w:r>
      <w:r w:rsidR="008E678F" w:rsidRPr="00484520">
        <w:rPr>
          <w:rFonts w:ascii="Source Sans Pro" w:hAnsi="Source Sans Pro" w:cs="Source Sans Pro"/>
          <w:sz w:val="22"/>
          <w:szCs w:val="22"/>
        </w:rPr>
        <w:t>Düsseldorf erreichte</w:t>
      </w:r>
      <w:r w:rsidR="00484520">
        <w:rPr>
          <w:rFonts w:ascii="Source Sans Pro" w:hAnsi="Source Sans Pro" w:cs="Source Sans Pro"/>
          <w:sz w:val="22"/>
          <w:szCs w:val="22"/>
        </w:rPr>
        <w:t xml:space="preserve"> mit einem leichten Plus von 1 % auf </w:t>
      </w:r>
      <w:r w:rsidR="00484520" w:rsidRPr="00484520">
        <w:rPr>
          <w:rFonts w:ascii="Source Sans Pro" w:hAnsi="Source Sans Pro" w:cs="Source Sans Pro"/>
          <w:sz w:val="22"/>
          <w:szCs w:val="22"/>
        </w:rPr>
        <w:t>272.000</w:t>
      </w:r>
      <w:r w:rsidR="00484520">
        <w:rPr>
          <w:rFonts w:ascii="Source Sans Pro" w:hAnsi="Source Sans Pro" w:cs="Source Sans Pro"/>
          <w:sz w:val="22"/>
          <w:szCs w:val="22"/>
        </w:rPr>
        <w:t xml:space="preserve"> </w:t>
      </w:r>
      <w:r w:rsidR="00484520" w:rsidRPr="00484520">
        <w:rPr>
          <w:rFonts w:ascii="Source Sans Pro" w:hAnsi="Source Sans Pro" w:cs="Source Sans Pro"/>
          <w:sz w:val="22"/>
          <w:szCs w:val="22"/>
        </w:rPr>
        <w:t>m²</w:t>
      </w:r>
      <w:r w:rsidR="008E678F" w:rsidRPr="00484520">
        <w:rPr>
          <w:rFonts w:ascii="Source Sans Pro" w:hAnsi="Source Sans Pro" w:cs="Source Sans Pro"/>
          <w:sz w:val="22"/>
          <w:szCs w:val="22"/>
        </w:rPr>
        <w:t xml:space="preserve"> in etwa </w:t>
      </w:r>
      <w:r w:rsidR="00484520">
        <w:rPr>
          <w:rFonts w:ascii="Source Sans Pro" w:hAnsi="Source Sans Pro" w:cs="Source Sans Pro"/>
          <w:sz w:val="22"/>
          <w:szCs w:val="22"/>
        </w:rPr>
        <w:t xml:space="preserve">wieder </w:t>
      </w:r>
      <w:r w:rsidR="008E678F" w:rsidRPr="00484520">
        <w:rPr>
          <w:rFonts w:ascii="Source Sans Pro" w:hAnsi="Source Sans Pro" w:cs="Source Sans Pro"/>
          <w:sz w:val="22"/>
          <w:szCs w:val="22"/>
        </w:rPr>
        <w:t>das Vorjahresergebnis. Nur in der Logistikregion Frankfurt erfasste GPP ein</w:t>
      </w:r>
      <w:r w:rsidR="00F13CEB">
        <w:rPr>
          <w:rFonts w:ascii="Source Sans Pro" w:hAnsi="Source Sans Pro" w:cs="Source Sans Pro"/>
          <w:sz w:val="22"/>
          <w:szCs w:val="22"/>
        </w:rPr>
        <w:t xml:space="preserve">en deutlichen Anstieg </w:t>
      </w:r>
      <w:r w:rsidRPr="00484520">
        <w:rPr>
          <w:rFonts w:ascii="Source Sans Pro" w:hAnsi="Source Sans Pro" w:cs="Source Sans Pro"/>
          <w:sz w:val="22"/>
          <w:szCs w:val="22"/>
        </w:rPr>
        <w:t>von 24 % auf 484.350 m²</w:t>
      </w:r>
      <w:r w:rsidR="00B46F77">
        <w:rPr>
          <w:rFonts w:ascii="Source Sans Pro" w:hAnsi="Source Sans Pro" w:cs="Source Sans Pro"/>
          <w:sz w:val="22"/>
          <w:szCs w:val="22"/>
        </w:rPr>
        <w:t xml:space="preserve"> – und damit den höchsten Flächenumsatz</w:t>
      </w:r>
      <w:r w:rsidR="008268CF" w:rsidRPr="00484520">
        <w:rPr>
          <w:rFonts w:ascii="Source Sans Pro" w:hAnsi="Source Sans Pro" w:cs="Source Sans Pro"/>
          <w:sz w:val="22"/>
          <w:szCs w:val="22"/>
        </w:rPr>
        <w:t xml:space="preserve"> im Top-7-Vergleich.</w:t>
      </w:r>
    </w:p>
    <w:p w14:paraId="7BB976EE" w14:textId="77777777" w:rsidR="00F13CEB" w:rsidRDefault="00F13CEB" w:rsidP="00B46F77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Arial"/>
          <w:sz w:val="22"/>
        </w:rPr>
      </w:pPr>
    </w:p>
    <w:p w14:paraId="48291B96" w14:textId="521ADF8C" w:rsidR="00B46F77" w:rsidRDefault="00B46F77" w:rsidP="00B46F77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Arial"/>
          <w:sz w:val="22"/>
        </w:rPr>
      </w:pPr>
      <w:r>
        <w:rPr>
          <w:rFonts w:ascii="Source Sans Pro" w:hAnsi="Source Sans Pro" w:cs="Arial"/>
          <w:sz w:val="22"/>
        </w:rPr>
        <w:t>Der Nachfrageüberhang spiegelte sich in flächendeckend steigenden Mieten wider.</w:t>
      </w:r>
      <w:r w:rsidR="006E2538">
        <w:rPr>
          <w:rFonts w:ascii="Source Sans Pro" w:hAnsi="Source Sans Pro" w:cs="Arial"/>
          <w:sz w:val="22"/>
        </w:rPr>
        <w:t xml:space="preserve"> </w:t>
      </w:r>
      <w:r w:rsidR="006E2538" w:rsidRPr="006E2538">
        <w:rPr>
          <w:rFonts w:ascii="Source Sans Pro" w:hAnsi="Source Sans Pro" w:cs="Arial"/>
          <w:sz w:val="22"/>
        </w:rPr>
        <w:t>In den Regionen Stuttgart, München, Frankfurt, Berlin und Hamburg nahmen die Spitzenmieten um 10 bis 21 % zu.</w:t>
      </w:r>
      <w:r w:rsidR="006E2538">
        <w:rPr>
          <w:rFonts w:ascii="Source Sans Pro" w:hAnsi="Source Sans Pro" w:cs="Arial"/>
          <w:sz w:val="22"/>
        </w:rPr>
        <w:t xml:space="preserve"> </w:t>
      </w:r>
      <w:r w:rsidR="00A47C46">
        <w:rPr>
          <w:rFonts w:ascii="Source Sans Pro" w:hAnsi="Source Sans Pro" w:cs="Arial"/>
          <w:sz w:val="22"/>
        </w:rPr>
        <w:t>In Stuttgart erfasste GPP d</w:t>
      </w:r>
      <w:r w:rsidR="006E2538">
        <w:rPr>
          <w:rFonts w:ascii="Source Sans Pro" w:hAnsi="Source Sans Pro" w:cs="Arial"/>
          <w:sz w:val="22"/>
        </w:rPr>
        <w:t>ie h</w:t>
      </w:r>
      <w:r w:rsidR="006E2538" w:rsidRPr="006E2538">
        <w:rPr>
          <w:rFonts w:ascii="Source Sans Pro" w:hAnsi="Source Sans Pro" w:cs="Arial"/>
          <w:sz w:val="22"/>
        </w:rPr>
        <w:t xml:space="preserve">öchste Spitzenmiete </w:t>
      </w:r>
      <w:r w:rsidR="005A2D3A">
        <w:rPr>
          <w:rFonts w:ascii="Source Sans Pro" w:hAnsi="Source Sans Pro" w:cs="Arial"/>
          <w:sz w:val="22"/>
        </w:rPr>
        <w:t>von</w:t>
      </w:r>
      <w:r w:rsidR="006E2538" w:rsidRPr="006E2538">
        <w:rPr>
          <w:rFonts w:ascii="Source Sans Pro" w:hAnsi="Source Sans Pro" w:cs="Arial"/>
          <w:sz w:val="22"/>
        </w:rPr>
        <w:t xml:space="preserve"> </w:t>
      </w:r>
      <w:r w:rsidR="005A2D3A">
        <w:rPr>
          <w:rFonts w:ascii="Source Sans Pro" w:hAnsi="Source Sans Pro" w:cs="Arial"/>
          <w:sz w:val="22"/>
        </w:rPr>
        <w:t>9</w:t>
      </w:r>
      <w:r w:rsidR="006E2538" w:rsidRPr="006E2538">
        <w:rPr>
          <w:rFonts w:ascii="Source Sans Pro" w:hAnsi="Source Sans Pro" w:cs="Arial"/>
          <w:sz w:val="22"/>
        </w:rPr>
        <w:t>,90 €/m²/Monat</w:t>
      </w:r>
      <w:r w:rsidR="005A2D3A">
        <w:rPr>
          <w:rFonts w:ascii="Source Sans Pro" w:hAnsi="Source Sans Pro" w:cs="Arial"/>
          <w:sz w:val="22"/>
        </w:rPr>
        <w:t>.</w:t>
      </w:r>
      <w:r w:rsidR="005A2D3A" w:rsidRPr="005A2D3A">
        <w:t xml:space="preserve"> </w:t>
      </w:r>
      <w:r w:rsidR="005A2D3A" w:rsidRPr="005A2D3A">
        <w:rPr>
          <w:rFonts w:ascii="Source Sans Pro" w:hAnsi="Source Sans Pro" w:cs="Arial"/>
          <w:sz w:val="22"/>
        </w:rPr>
        <w:t>Die Durchschnittsmieten in den Kernstädten der Logistikregionen stiegen auf 6,10 bis 6,90</w:t>
      </w:r>
      <w:r w:rsidR="005A2D3A" w:rsidRPr="006E2538">
        <w:rPr>
          <w:rFonts w:ascii="Source Sans Pro" w:hAnsi="Source Sans Pro" w:cs="Arial"/>
          <w:sz w:val="22"/>
        </w:rPr>
        <w:t xml:space="preserve"> €/m²/Monat</w:t>
      </w:r>
      <w:r w:rsidR="005A2D3A" w:rsidRPr="005A2D3A">
        <w:rPr>
          <w:rFonts w:ascii="Source Sans Pro" w:hAnsi="Source Sans Pro" w:cs="Arial"/>
          <w:sz w:val="22"/>
        </w:rPr>
        <w:t>.</w:t>
      </w:r>
      <w:r w:rsidR="007B4C7F">
        <w:rPr>
          <w:rFonts w:ascii="Source Sans Pro" w:hAnsi="Source Sans Pro" w:cs="Arial"/>
          <w:sz w:val="22"/>
        </w:rPr>
        <w:t xml:space="preserve"> </w:t>
      </w:r>
      <w:r w:rsidR="007B4C7F" w:rsidRPr="007B4C7F">
        <w:rPr>
          <w:rFonts w:ascii="Source Sans Pro" w:hAnsi="Source Sans Pro" w:cs="Arial"/>
          <w:sz w:val="22"/>
        </w:rPr>
        <w:t xml:space="preserve">Aufgrund des perspektivisch anhaltenden Flächenmangels </w:t>
      </w:r>
      <w:r w:rsidR="007B4C7F">
        <w:rPr>
          <w:rFonts w:ascii="Source Sans Pro" w:hAnsi="Source Sans Pro" w:cs="Arial"/>
          <w:sz w:val="22"/>
        </w:rPr>
        <w:t>dürften</w:t>
      </w:r>
      <w:r w:rsidR="007B4C7F" w:rsidRPr="007B4C7F">
        <w:rPr>
          <w:rFonts w:ascii="Source Sans Pro" w:hAnsi="Source Sans Pro" w:cs="Arial"/>
          <w:sz w:val="22"/>
        </w:rPr>
        <w:t xml:space="preserve"> die Mieten trotz der insgesamt </w:t>
      </w:r>
      <w:r w:rsidR="00AF2F71">
        <w:rPr>
          <w:rFonts w:ascii="Source Sans Pro" w:hAnsi="Source Sans Pro" w:cs="Arial"/>
          <w:sz w:val="22"/>
        </w:rPr>
        <w:t>gedämpften</w:t>
      </w:r>
      <w:r w:rsidR="00AF2F71" w:rsidRPr="007B4C7F">
        <w:rPr>
          <w:rFonts w:ascii="Source Sans Pro" w:hAnsi="Source Sans Pro" w:cs="Arial"/>
          <w:sz w:val="22"/>
        </w:rPr>
        <w:t xml:space="preserve"> </w:t>
      </w:r>
      <w:r w:rsidR="007B4C7F" w:rsidRPr="007B4C7F">
        <w:rPr>
          <w:rFonts w:ascii="Source Sans Pro" w:hAnsi="Source Sans Pro" w:cs="Arial"/>
          <w:sz w:val="22"/>
        </w:rPr>
        <w:t>Nachfrage stabil bleiben und könnten an manchen Standorten auch noch etwas steigen.</w:t>
      </w:r>
    </w:p>
    <w:p w14:paraId="6C1B5B2C" w14:textId="77777777" w:rsidR="00575A75" w:rsidRDefault="00575A75" w:rsidP="0023708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5F1AB5EF" w14:textId="77777777" w:rsidR="00E07769" w:rsidRDefault="00E07769" w:rsidP="0023708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0389D32E" w14:textId="549A3DAF" w:rsidR="006C7D7B" w:rsidRDefault="00191E8C" w:rsidP="0023708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olor w:val="0086A8"/>
          <w:sz w:val="22"/>
          <w:szCs w:val="22"/>
        </w:rPr>
        <w:t>TRANSAKTIONSVOLUMEN: STARKER ZUWACHS IN DÜSSELDORF</w:t>
      </w:r>
    </w:p>
    <w:p w14:paraId="1BB7BF42" w14:textId="23AD33A5" w:rsidR="00196178" w:rsidRDefault="00C251B5" w:rsidP="00F13CEB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Arial"/>
          <w:sz w:val="22"/>
        </w:rPr>
      </w:pPr>
      <w:r w:rsidRPr="00C251B5">
        <w:rPr>
          <w:rFonts w:ascii="Source Sans Pro" w:hAnsi="Source Sans Pro" w:cs="Arial"/>
          <w:i/>
          <w:iCs/>
          <w:sz w:val="22"/>
        </w:rPr>
        <w:t>„</w:t>
      </w:r>
      <w:r w:rsidR="00955C25" w:rsidRPr="00C251B5">
        <w:rPr>
          <w:rFonts w:ascii="Source Sans Pro" w:hAnsi="Source Sans Pro" w:cs="Arial"/>
          <w:i/>
          <w:iCs/>
          <w:sz w:val="22"/>
        </w:rPr>
        <w:t xml:space="preserve">Das </w:t>
      </w:r>
      <w:r w:rsidR="00F13CEB">
        <w:rPr>
          <w:rFonts w:ascii="Source Sans Pro" w:hAnsi="Source Sans Pro" w:cs="Arial"/>
          <w:i/>
          <w:iCs/>
          <w:sz w:val="22"/>
        </w:rPr>
        <w:t>Investition</w:t>
      </w:r>
      <w:r w:rsidR="00955C25" w:rsidRPr="00C251B5">
        <w:rPr>
          <w:rFonts w:ascii="Source Sans Pro" w:hAnsi="Source Sans Pro" w:cs="Arial"/>
          <w:i/>
          <w:iCs/>
          <w:sz w:val="22"/>
        </w:rPr>
        <w:t>sgeschehen war 2023 größtenteils von Zurückhaltung geprägt</w:t>
      </w:r>
      <w:r w:rsidRPr="00C251B5">
        <w:rPr>
          <w:rFonts w:ascii="Source Sans Pro" w:hAnsi="Source Sans Pro" w:cs="Arial"/>
          <w:i/>
          <w:iCs/>
          <w:sz w:val="22"/>
        </w:rPr>
        <w:t xml:space="preserve">, nur wenige Verkäufe wurden realisiert“, </w:t>
      </w:r>
      <w:r>
        <w:rPr>
          <w:rFonts w:ascii="Source Sans Pro" w:hAnsi="Source Sans Pro" w:cs="Arial"/>
          <w:sz w:val="22"/>
        </w:rPr>
        <w:t xml:space="preserve">erklärt </w:t>
      </w:r>
      <w:r w:rsidRPr="00C251B5">
        <w:rPr>
          <w:rFonts w:ascii="Source Sans Pro" w:hAnsi="Source Sans Pro" w:cs="Arial"/>
          <w:b/>
          <w:bCs/>
          <w:sz w:val="22"/>
        </w:rPr>
        <w:t>Holzwarth</w:t>
      </w:r>
      <w:r>
        <w:rPr>
          <w:rFonts w:ascii="Source Sans Pro" w:hAnsi="Source Sans Pro" w:cs="Arial"/>
          <w:sz w:val="22"/>
        </w:rPr>
        <w:t xml:space="preserve">. </w:t>
      </w:r>
      <w:r w:rsidRPr="00C251B5">
        <w:rPr>
          <w:rFonts w:ascii="Source Sans Pro" w:hAnsi="Source Sans Pro" w:cs="Arial"/>
          <w:i/>
          <w:iCs/>
          <w:sz w:val="22"/>
        </w:rPr>
        <w:t>„In der zweiten Jahreshälfte beobachteten wir</w:t>
      </w:r>
      <w:r w:rsidR="00A47C46">
        <w:rPr>
          <w:rFonts w:ascii="Source Sans Pro" w:hAnsi="Source Sans Pro" w:cs="Arial"/>
          <w:i/>
          <w:iCs/>
          <w:sz w:val="22"/>
        </w:rPr>
        <w:t xml:space="preserve"> zumindest</w:t>
      </w:r>
      <w:r w:rsidR="00F13CEB">
        <w:rPr>
          <w:rFonts w:ascii="Source Sans Pro" w:hAnsi="Source Sans Pro" w:cs="Arial"/>
          <w:i/>
          <w:iCs/>
          <w:sz w:val="22"/>
        </w:rPr>
        <w:t xml:space="preserve"> </w:t>
      </w:r>
      <w:r w:rsidRPr="00C251B5">
        <w:rPr>
          <w:rFonts w:ascii="Source Sans Pro" w:hAnsi="Source Sans Pro" w:cs="Arial"/>
          <w:i/>
          <w:iCs/>
          <w:sz w:val="22"/>
        </w:rPr>
        <w:t>eine leichte Belebung</w:t>
      </w:r>
      <w:r w:rsidR="00A74CB2">
        <w:rPr>
          <w:rFonts w:ascii="Source Sans Pro" w:hAnsi="Source Sans Pro" w:cs="Arial"/>
          <w:i/>
          <w:iCs/>
          <w:sz w:val="22"/>
        </w:rPr>
        <w:t xml:space="preserve"> mit</w:t>
      </w:r>
      <w:r w:rsidR="00A74CB2" w:rsidRPr="00C251B5">
        <w:rPr>
          <w:rFonts w:ascii="Source Sans Pro" w:hAnsi="Source Sans Pro" w:cs="Arial"/>
          <w:i/>
          <w:iCs/>
          <w:sz w:val="22"/>
        </w:rPr>
        <w:t xml:space="preserve"> mehrere</w:t>
      </w:r>
      <w:r w:rsidR="00A74CB2">
        <w:rPr>
          <w:rFonts w:ascii="Source Sans Pro" w:hAnsi="Source Sans Pro" w:cs="Arial"/>
          <w:i/>
          <w:iCs/>
          <w:sz w:val="22"/>
        </w:rPr>
        <w:t>n</w:t>
      </w:r>
      <w:r w:rsidR="00A74CB2" w:rsidRPr="00C251B5">
        <w:rPr>
          <w:rFonts w:ascii="Source Sans Pro" w:hAnsi="Source Sans Pro" w:cs="Arial"/>
          <w:i/>
          <w:iCs/>
          <w:sz w:val="22"/>
        </w:rPr>
        <w:t xml:space="preserve"> große</w:t>
      </w:r>
      <w:r w:rsidR="00A47C46">
        <w:rPr>
          <w:rFonts w:ascii="Source Sans Pro" w:hAnsi="Source Sans Pro" w:cs="Arial"/>
          <w:i/>
          <w:iCs/>
          <w:sz w:val="22"/>
        </w:rPr>
        <w:t>n</w:t>
      </w:r>
      <w:r w:rsidR="00A74CB2" w:rsidRPr="00C251B5">
        <w:rPr>
          <w:rFonts w:ascii="Source Sans Pro" w:hAnsi="Source Sans Pro" w:cs="Arial"/>
          <w:i/>
          <w:iCs/>
          <w:sz w:val="22"/>
        </w:rPr>
        <w:t xml:space="preserve"> Einzel- und Portfoliotransaktionen</w:t>
      </w:r>
      <w:r w:rsidR="00955C25" w:rsidRPr="00C251B5">
        <w:rPr>
          <w:rFonts w:ascii="Source Sans Pro" w:hAnsi="Source Sans Pro" w:cs="Arial"/>
          <w:i/>
          <w:iCs/>
          <w:sz w:val="22"/>
        </w:rPr>
        <w:t>.</w:t>
      </w:r>
      <w:r w:rsidRPr="00C251B5">
        <w:rPr>
          <w:rFonts w:ascii="Source Sans Pro" w:hAnsi="Source Sans Pro" w:cs="Arial"/>
          <w:i/>
          <w:iCs/>
          <w:sz w:val="22"/>
        </w:rPr>
        <w:t>“</w:t>
      </w:r>
      <w:r w:rsidR="00F13CEB" w:rsidRPr="001E0C34">
        <w:rPr>
          <w:rFonts w:ascii="Source Sans Pro" w:hAnsi="Source Sans Pro" w:cs="Arial"/>
          <w:sz w:val="22"/>
        </w:rPr>
        <w:t xml:space="preserve"> </w:t>
      </w:r>
      <w:r w:rsidR="00F13CEB" w:rsidRPr="00F13CEB">
        <w:rPr>
          <w:rFonts w:ascii="Source Sans Pro" w:hAnsi="Source Sans Pro" w:cs="Arial"/>
          <w:sz w:val="22"/>
        </w:rPr>
        <w:t>I</w:t>
      </w:r>
      <w:r w:rsidR="0022396B" w:rsidRPr="00F13CEB">
        <w:rPr>
          <w:rFonts w:ascii="Source Sans Pro" w:hAnsi="Source Sans Pro" w:cs="Arial"/>
          <w:sz w:val="22"/>
        </w:rPr>
        <w:t xml:space="preserve">n </w:t>
      </w:r>
      <w:r w:rsidR="0022396B">
        <w:rPr>
          <w:rFonts w:ascii="Source Sans Pro" w:hAnsi="Source Sans Pro" w:cs="Arial"/>
          <w:sz w:val="22"/>
        </w:rPr>
        <w:t xml:space="preserve">Hamburg, Berlin, Köln und Frankfurt </w:t>
      </w:r>
      <w:r w:rsidR="00604B4E">
        <w:rPr>
          <w:rFonts w:ascii="Source Sans Pro" w:hAnsi="Source Sans Pro" w:cs="Arial"/>
          <w:sz w:val="22"/>
        </w:rPr>
        <w:t>erfasste GPP</w:t>
      </w:r>
      <w:r w:rsidR="00F13CEB">
        <w:rPr>
          <w:rFonts w:ascii="Source Sans Pro" w:hAnsi="Source Sans Pro" w:cs="Arial"/>
          <w:sz w:val="22"/>
        </w:rPr>
        <w:t xml:space="preserve"> </w:t>
      </w:r>
      <w:r w:rsidR="0022396B">
        <w:rPr>
          <w:rFonts w:ascii="Source Sans Pro" w:hAnsi="Source Sans Pro" w:cs="Arial"/>
          <w:sz w:val="22"/>
        </w:rPr>
        <w:t>deutliche Rückgänge</w:t>
      </w:r>
      <w:r w:rsidR="00604B4E">
        <w:rPr>
          <w:rFonts w:ascii="Source Sans Pro" w:hAnsi="Source Sans Pro" w:cs="Arial"/>
          <w:sz w:val="22"/>
        </w:rPr>
        <w:t xml:space="preserve"> des Transaktionsvolumens.</w:t>
      </w:r>
      <w:r w:rsidR="0022396B">
        <w:rPr>
          <w:rFonts w:ascii="Source Sans Pro" w:hAnsi="Source Sans Pro" w:cs="Arial"/>
          <w:sz w:val="22"/>
        </w:rPr>
        <w:t xml:space="preserve"> Ein besonders starkes Plus </w:t>
      </w:r>
      <w:r w:rsidR="00604B4E">
        <w:rPr>
          <w:rFonts w:ascii="Source Sans Pro" w:hAnsi="Source Sans Pro" w:cs="Arial"/>
          <w:sz w:val="22"/>
        </w:rPr>
        <w:t>verzeichnete</w:t>
      </w:r>
      <w:r w:rsidR="0022396B">
        <w:rPr>
          <w:rFonts w:ascii="Source Sans Pro" w:hAnsi="Source Sans Pro" w:cs="Arial"/>
          <w:sz w:val="22"/>
        </w:rPr>
        <w:t xml:space="preserve"> hingegen Düsseldorf (+106 % auf 206 Mio. €). Auch in München (+33 % auf 204 Mio. €) und Stuttgart (+26 % auf 100 Mio. €) lag das </w:t>
      </w:r>
      <w:r w:rsidR="00604B4E">
        <w:rPr>
          <w:rFonts w:ascii="Source Sans Pro" w:hAnsi="Source Sans Pro" w:cs="Arial"/>
          <w:sz w:val="22"/>
        </w:rPr>
        <w:t>Ergebnis</w:t>
      </w:r>
      <w:r w:rsidR="0022396B">
        <w:rPr>
          <w:rFonts w:ascii="Source Sans Pro" w:hAnsi="Source Sans Pro" w:cs="Arial"/>
          <w:sz w:val="22"/>
        </w:rPr>
        <w:t xml:space="preserve"> über dem Vorjahres</w:t>
      </w:r>
      <w:r w:rsidR="00604B4E">
        <w:rPr>
          <w:rFonts w:ascii="Source Sans Pro" w:hAnsi="Source Sans Pro" w:cs="Arial"/>
          <w:sz w:val="22"/>
        </w:rPr>
        <w:t>wert</w:t>
      </w:r>
      <w:r w:rsidR="0022396B">
        <w:rPr>
          <w:rFonts w:ascii="Source Sans Pro" w:hAnsi="Source Sans Pro" w:cs="Arial"/>
          <w:sz w:val="22"/>
        </w:rPr>
        <w:t>. Dennoch erreichte Frankfurt mit 438 Mio. € das höchste T</w:t>
      </w:r>
      <w:r w:rsidR="00604B4E">
        <w:rPr>
          <w:rFonts w:ascii="Source Sans Pro" w:hAnsi="Source Sans Pro" w:cs="Arial"/>
          <w:sz w:val="22"/>
        </w:rPr>
        <w:t>ransaktionsvolumen</w:t>
      </w:r>
      <w:r w:rsidR="0022396B">
        <w:rPr>
          <w:rFonts w:ascii="Source Sans Pro" w:hAnsi="Source Sans Pro" w:cs="Arial"/>
          <w:sz w:val="22"/>
        </w:rPr>
        <w:t>.</w:t>
      </w:r>
    </w:p>
    <w:p w14:paraId="548407C1" w14:textId="2FD92896" w:rsidR="00196178" w:rsidRPr="00DB6EE2" w:rsidRDefault="00196178" w:rsidP="0022396B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Arial"/>
          <w:color w:val="242424"/>
          <w:sz w:val="22"/>
          <w:szCs w:val="22"/>
        </w:rPr>
      </w:pPr>
    </w:p>
    <w:p w14:paraId="677212F4" w14:textId="51107231" w:rsidR="00863F2D" w:rsidRPr="006206CF" w:rsidRDefault="00191E8C" w:rsidP="006206CF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olor w:val="0086A8"/>
          <w:sz w:val="22"/>
          <w:szCs w:val="22"/>
        </w:rPr>
        <w:t>RENDITEABSTAND ZWISCHEN BÜRO UND LOGISTIK SINKT</w:t>
      </w:r>
    </w:p>
    <w:p w14:paraId="2DAD369A" w14:textId="55C5E2CE" w:rsidR="00604B4E" w:rsidRPr="00B91CD6" w:rsidRDefault="00604B4E" w:rsidP="00604B4E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Arial"/>
          <w:color w:val="242424"/>
          <w:sz w:val="22"/>
          <w:szCs w:val="22"/>
        </w:rPr>
      </w:pPr>
      <w:r>
        <w:rPr>
          <w:rFonts w:ascii="Source Sans Pro" w:hAnsi="Source Sans Pro" w:cs="Arial"/>
          <w:color w:val="242424"/>
          <w:sz w:val="22"/>
          <w:szCs w:val="22"/>
        </w:rPr>
        <w:t>Die</w:t>
      </w:r>
      <w:r w:rsidR="00CD1783">
        <w:rPr>
          <w:rFonts w:ascii="Source Sans Pro" w:hAnsi="Source Sans Pro" w:cs="Arial"/>
          <w:color w:val="242424"/>
          <w:sz w:val="22"/>
          <w:szCs w:val="22"/>
        </w:rPr>
        <w:t xml:space="preserve"> insgesamt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 </w:t>
      </w:r>
      <w:r w:rsidRPr="00604B4E">
        <w:rPr>
          <w:rFonts w:ascii="Source Sans Pro" w:hAnsi="Source Sans Pro" w:cs="Arial"/>
          <w:color w:val="242424"/>
          <w:sz w:val="22"/>
          <w:szCs w:val="22"/>
        </w:rPr>
        <w:t xml:space="preserve">niedrige Transaktionsdynamik </w:t>
      </w:r>
      <w:r>
        <w:rPr>
          <w:rFonts w:ascii="Source Sans Pro" w:hAnsi="Source Sans Pro" w:cs="Arial"/>
          <w:color w:val="242424"/>
          <w:sz w:val="22"/>
          <w:szCs w:val="22"/>
        </w:rPr>
        <w:t>in Kombination mit</w:t>
      </w:r>
      <w:r w:rsidRPr="00604B4E">
        <w:rPr>
          <w:rFonts w:ascii="Source Sans Pro" w:hAnsi="Source Sans Pro" w:cs="Arial"/>
          <w:color w:val="242424"/>
          <w:sz w:val="22"/>
          <w:szCs w:val="22"/>
        </w:rPr>
        <w:t xml:space="preserve"> steigenden Zinsen 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ließ die </w:t>
      </w:r>
      <w:r w:rsidRPr="00604B4E">
        <w:rPr>
          <w:rFonts w:ascii="Source Sans Pro" w:hAnsi="Source Sans Pro" w:cs="Arial"/>
          <w:color w:val="242424"/>
          <w:sz w:val="22"/>
          <w:szCs w:val="22"/>
        </w:rPr>
        <w:t xml:space="preserve">Spitzenrenditen im Jahresverlauf </w:t>
      </w:r>
      <w:r w:rsidRPr="00863F2D">
        <w:rPr>
          <w:rFonts w:ascii="Source Sans Pro" w:hAnsi="Source Sans Pro" w:cs="Arial"/>
          <w:color w:val="242424"/>
          <w:sz w:val="22"/>
          <w:szCs w:val="22"/>
        </w:rPr>
        <w:t>spürbar ansteigen. Im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 Schnitt </w:t>
      </w:r>
      <w:r w:rsidRPr="00604B4E">
        <w:rPr>
          <w:rFonts w:ascii="Source Sans Pro" w:hAnsi="Source Sans Pro" w:cs="Arial"/>
          <w:color w:val="242424"/>
          <w:sz w:val="22"/>
          <w:szCs w:val="22"/>
        </w:rPr>
        <w:t>kletterte die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 </w:t>
      </w:r>
      <w:r w:rsidRPr="00604B4E">
        <w:rPr>
          <w:rFonts w:ascii="Source Sans Pro" w:hAnsi="Source Sans Pro" w:cs="Arial"/>
          <w:color w:val="242424"/>
          <w:sz w:val="22"/>
          <w:szCs w:val="22"/>
        </w:rPr>
        <w:t>Spitzenrendite für Top-7-Logistikimmobilien um 0,60 %-Punkte auf 4,43 %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. Damit </w:t>
      </w:r>
      <w:r w:rsidR="00CD1783">
        <w:rPr>
          <w:rFonts w:ascii="Source Sans Pro" w:hAnsi="Source Sans Pro" w:cs="Arial"/>
          <w:color w:val="242424"/>
          <w:sz w:val="22"/>
          <w:szCs w:val="22"/>
        </w:rPr>
        <w:t>erlebte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 sie ein</w:t>
      </w:r>
      <w:r w:rsidR="00CD1783">
        <w:rPr>
          <w:rFonts w:ascii="Source Sans Pro" w:hAnsi="Source Sans Pro" w:cs="Arial"/>
          <w:color w:val="242424"/>
          <w:sz w:val="22"/>
          <w:szCs w:val="22"/>
        </w:rPr>
        <w:t>en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 geringere</w:t>
      </w:r>
      <w:r w:rsidR="00CD1783">
        <w:rPr>
          <w:rFonts w:ascii="Source Sans Pro" w:hAnsi="Source Sans Pro" w:cs="Arial"/>
          <w:color w:val="242424"/>
          <w:sz w:val="22"/>
          <w:szCs w:val="22"/>
        </w:rPr>
        <w:t>n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 </w:t>
      </w:r>
      <w:r w:rsidR="00CD1783">
        <w:rPr>
          <w:rFonts w:ascii="Source Sans Pro" w:hAnsi="Source Sans Pro" w:cs="Arial"/>
          <w:color w:val="242424"/>
          <w:sz w:val="22"/>
          <w:szCs w:val="22"/>
        </w:rPr>
        <w:t>Zuwachs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 als </w:t>
      </w:r>
      <w:r w:rsidR="00341F14">
        <w:rPr>
          <w:rFonts w:ascii="Source Sans Pro" w:hAnsi="Source Sans Pro" w:cs="Arial"/>
          <w:color w:val="242424"/>
          <w:sz w:val="22"/>
          <w:szCs w:val="22"/>
        </w:rPr>
        <w:t xml:space="preserve">die Spitzenrendite für </w:t>
      </w:r>
      <w:r>
        <w:rPr>
          <w:rFonts w:ascii="Source Sans Pro" w:hAnsi="Source Sans Pro" w:cs="Arial"/>
          <w:color w:val="242424"/>
          <w:sz w:val="22"/>
          <w:szCs w:val="22"/>
        </w:rPr>
        <w:t>Top-7-Büroobjekte</w:t>
      </w:r>
      <w:r w:rsidR="00A47C46">
        <w:rPr>
          <w:rFonts w:ascii="Source Sans Pro" w:hAnsi="Source Sans Pro" w:cs="Arial"/>
          <w:color w:val="242424"/>
          <w:sz w:val="22"/>
          <w:szCs w:val="22"/>
        </w:rPr>
        <w:t xml:space="preserve">. Der </w:t>
      </w:r>
      <w:r w:rsidR="00341F14">
        <w:rPr>
          <w:rFonts w:ascii="Source Sans Pro" w:hAnsi="Source Sans Pro" w:cs="Arial"/>
          <w:color w:val="242424"/>
          <w:sz w:val="22"/>
          <w:szCs w:val="22"/>
        </w:rPr>
        <w:t xml:space="preserve">Renditeabstand zwischen beiden Assetklassen schrumpfte auf 0,09 %-Punkte. </w:t>
      </w:r>
      <w:r w:rsidRPr="00341F14">
        <w:rPr>
          <w:rFonts w:ascii="Source Sans Pro" w:hAnsi="Source Sans Pro" w:cs="Arial"/>
          <w:i/>
          <w:iCs/>
          <w:color w:val="242424"/>
          <w:sz w:val="22"/>
          <w:szCs w:val="22"/>
        </w:rPr>
        <w:t>„Demnach werden Logistik</w:t>
      </w:r>
      <w:r w:rsidR="00341F14">
        <w:rPr>
          <w:rFonts w:ascii="Source Sans Pro" w:hAnsi="Source Sans Pro" w:cs="Arial"/>
          <w:i/>
          <w:iCs/>
          <w:color w:val="242424"/>
          <w:sz w:val="22"/>
          <w:szCs w:val="22"/>
        </w:rPr>
        <w:t>- und Büro</w:t>
      </w:r>
      <w:r w:rsidRPr="00341F14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immobilien </w:t>
      </w:r>
      <w:r w:rsidR="00341F14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nun </w:t>
      </w:r>
      <w:r w:rsidRPr="00341F14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von Investoren als </w:t>
      </w:r>
      <w:r w:rsidR="00341F14" w:rsidRPr="00CD1783">
        <w:rPr>
          <w:rFonts w:ascii="Source Sans Pro" w:hAnsi="Source Sans Pro" w:cs="Arial"/>
          <w:i/>
          <w:iCs/>
          <w:color w:val="242424"/>
          <w:sz w:val="22"/>
          <w:szCs w:val="22"/>
        </w:rPr>
        <w:t>nahezu</w:t>
      </w:r>
      <w:r w:rsidRPr="00CD1783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gleich sicher</w:t>
      </w:r>
      <w:r w:rsidR="00341F14" w:rsidRPr="00CD1783">
        <w:rPr>
          <w:rFonts w:ascii="Source Sans Pro" w:hAnsi="Source Sans Pro" w:cs="Arial"/>
          <w:color w:val="242424"/>
          <w:sz w:val="22"/>
          <w:szCs w:val="22"/>
        </w:rPr>
        <w:t xml:space="preserve"> erac</w:t>
      </w:r>
      <w:r w:rsidR="00341F14" w:rsidRPr="00341F14">
        <w:rPr>
          <w:rFonts w:ascii="Source Sans Pro" w:hAnsi="Source Sans Pro" w:cs="Arial"/>
          <w:i/>
          <w:iCs/>
          <w:color w:val="242424"/>
          <w:sz w:val="22"/>
          <w:szCs w:val="22"/>
        </w:rPr>
        <w:t>htet</w:t>
      </w:r>
      <w:r w:rsidR="00341F14">
        <w:rPr>
          <w:rFonts w:ascii="Source Sans Pro" w:hAnsi="Source Sans Pro" w:cs="Arial"/>
          <w:i/>
          <w:iCs/>
          <w:color w:val="242424"/>
          <w:sz w:val="22"/>
          <w:szCs w:val="22"/>
        </w:rPr>
        <w:t>, nachdem</w:t>
      </w:r>
      <w:r w:rsidR="00341F14" w:rsidRPr="00341F14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Büroobjekte viele Jahre lang </w:t>
      </w:r>
      <w:r w:rsidR="00341F14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als </w:t>
      </w:r>
      <w:r w:rsidR="00B71615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weniger risikobehaftet </w:t>
      </w:r>
      <w:r w:rsidR="00341F14">
        <w:rPr>
          <w:rFonts w:ascii="Source Sans Pro" w:hAnsi="Source Sans Pro" w:cs="Arial"/>
          <w:i/>
          <w:iCs/>
          <w:color w:val="242424"/>
          <w:sz w:val="22"/>
          <w:szCs w:val="22"/>
        </w:rPr>
        <w:t>galten</w:t>
      </w:r>
      <w:r w:rsidR="00B71615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und auch deswegen </w:t>
      </w:r>
      <w:r w:rsidR="006D712E">
        <w:rPr>
          <w:rFonts w:ascii="Source Sans Pro" w:hAnsi="Source Sans Pro" w:cs="Arial"/>
          <w:i/>
          <w:iCs/>
          <w:color w:val="242424"/>
          <w:sz w:val="22"/>
          <w:szCs w:val="22"/>
        </w:rPr>
        <w:t>bevorzugt in die Portfolios genommen wurden</w:t>
      </w:r>
      <w:r w:rsidR="00341F14" w:rsidRPr="00341F14">
        <w:rPr>
          <w:rFonts w:ascii="Source Sans Pro" w:hAnsi="Source Sans Pro" w:cs="Arial"/>
          <w:i/>
          <w:iCs/>
          <w:color w:val="242424"/>
          <w:sz w:val="22"/>
          <w:szCs w:val="22"/>
        </w:rPr>
        <w:t>“,</w:t>
      </w:r>
      <w:r w:rsidR="00341F14">
        <w:rPr>
          <w:rFonts w:ascii="Source Sans Pro" w:hAnsi="Source Sans Pro" w:cs="Arial"/>
          <w:color w:val="242424"/>
          <w:sz w:val="22"/>
          <w:szCs w:val="22"/>
        </w:rPr>
        <w:t xml:space="preserve"> so </w:t>
      </w:r>
      <w:r w:rsidR="00341F14" w:rsidRPr="00341F14">
        <w:rPr>
          <w:rFonts w:ascii="Source Sans Pro" w:hAnsi="Source Sans Pro" w:cs="Arial"/>
          <w:b/>
          <w:bCs/>
          <w:color w:val="242424"/>
          <w:sz w:val="22"/>
          <w:szCs w:val="22"/>
        </w:rPr>
        <w:t>Holzwarth</w:t>
      </w:r>
      <w:r w:rsidR="00341F14">
        <w:rPr>
          <w:rFonts w:ascii="Source Sans Pro" w:hAnsi="Source Sans Pro" w:cs="Arial"/>
          <w:color w:val="242424"/>
          <w:sz w:val="22"/>
          <w:szCs w:val="22"/>
        </w:rPr>
        <w:t xml:space="preserve">. </w:t>
      </w:r>
      <w:r w:rsidR="00341F14" w:rsidRPr="00341F14">
        <w:rPr>
          <w:rFonts w:ascii="Source Sans Pro" w:hAnsi="Source Sans Pro" w:cs="Arial"/>
          <w:i/>
          <w:iCs/>
          <w:color w:val="242424"/>
          <w:sz w:val="22"/>
          <w:szCs w:val="22"/>
        </w:rPr>
        <w:t>„</w:t>
      </w:r>
      <w:r w:rsidR="00CD1783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Für viele </w:t>
      </w:r>
      <w:r w:rsidR="001E0C34">
        <w:rPr>
          <w:rFonts w:ascii="Source Sans Pro" w:hAnsi="Source Sans Pro" w:cs="Arial"/>
          <w:i/>
          <w:iCs/>
          <w:color w:val="242424"/>
          <w:sz w:val="22"/>
          <w:szCs w:val="22"/>
        </w:rPr>
        <w:t>Anleger</w:t>
      </w:r>
      <w:r w:rsidR="00CD1783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hat </w:t>
      </w:r>
      <w:r w:rsidR="00CD1783" w:rsidRPr="00793057">
        <w:rPr>
          <w:rFonts w:ascii="Source Sans Pro" w:hAnsi="Source Sans Pro" w:cs="Arial"/>
          <w:i/>
          <w:iCs/>
          <w:color w:val="242424"/>
          <w:sz w:val="22"/>
          <w:szCs w:val="22"/>
        </w:rPr>
        <w:t>d</w:t>
      </w:r>
      <w:r w:rsidR="00341F14" w:rsidRPr="00793057">
        <w:rPr>
          <w:rFonts w:ascii="Source Sans Pro" w:hAnsi="Source Sans Pro" w:cs="Arial"/>
          <w:i/>
          <w:iCs/>
          <w:color w:val="242424"/>
          <w:sz w:val="22"/>
          <w:szCs w:val="22"/>
        </w:rPr>
        <w:t>ie Assetklasse der</w:t>
      </w:r>
      <w:r w:rsidR="00341F14" w:rsidRPr="00341F14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Industrie- und Logistikimmobilien </w:t>
      </w:r>
      <w:r w:rsidR="00B71615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nun wesentlich </w:t>
      </w:r>
      <w:r w:rsidR="00341F14" w:rsidRPr="00341F14">
        <w:rPr>
          <w:rFonts w:ascii="Source Sans Pro" w:hAnsi="Source Sans Pro" w:cs="Arial"/>
          <w:i/>
          <w:iCs/>
          <w:color w:val="242424"/>
          <w:sz w:val="22"/>
          <w:szCs w:val="22"/>
        </w:rPr>
        <w:t>an Bedeutung gewonnen.“</w:t>
      </w:r>
      <w:r w:rsidR="00B91CD6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</w:t>
      </w:r>
      <w:r w:rsidR="00B91CD6" w:rsidRPr="00B91CD6">
        <w:rPr>
          <w:rFonts w:ascii="Source Sans Pro" w:hAnsi="Source Sans Pro" w:cs="Arial"/>
          <w:color w:val="242424"/>
          <w:sz w:val="22"/>
          <w:szCs w:val="22"/>
        </w:rPr>
        <w:t xml:space="preserve">Die </w:t>
      </w:r>
      <w:r w:rsidR="006D712E">
        <w:rPr>
          <w:rFonts w:ascii="Source Sans Pro" w:hAnsi="Source Sans Pro" w:cs="Arial"/>
          <w:color w:val="242424"/>
          <w:sz w:val="22"/>
          <w:szCs w:val="22"/>
        </w:rPr>
        <w:t>Logistik-</w:t>
      </w:r>
      <w:r w:rsidR="00B91CD6" w:rsidRPr="00B91CD6">
        <w:rPr>
          <w:rFonts w:ascii="Source Sans Pro" w:hAnsi="Source Sans Pro" w:cs="Arial"/>
          <w:color w:val="242424"/>
          <w:sz w:val="22"/>
          <w:szCs w:val="22"/>
        </w:rPr>
        <w:t xml:space="preserve">Renditen </w:t>
      </w:r>
      <w:r w:rsidR="006D712E">
        <w:rPr>
          <w:rFonts w:ascii="Source Sans Pro" w:hAnsi="Source Sans Pro" w:cs="Arial"/>
          <w:color w:val="242424"/>
          <w:sz w:val="22"/>
          <w:szCs w:val="22"/>
        </w:rPr>
        <w:t>könnten</w:t>
      </w:r>
      <w:r w:rsidR="006D712E" w:rsidRPr="00B91CD6">
        <w:rPr>
          <w:rFonts w:ascii="Source Sans Pro" w:hAnsi="Source Sans Pro" w:cs="Arial"/>
          <w:color w:val="242424"/>
          <w:sz w:val="22"/>
          <w:szCs w:val="22"/>
        </w:rPr>
        <w:t xml:space="preserve"> </w:t>
      </w:r>
      <w:r w:rsidR="00B91CD6" w:rsidRPr="00B91CD6">
        <w:rPr>
          <w:rFonts w:ascii="Source Sans Pro" w:hAnsi="Source Sans Pro" w:cs="Arial"/>
          <w:color w:val="242424"/>
          <w:sz w:val="22"/>
          <w:szCs w:val="22"/>
        </w:rPr>
        <w:t xml:space="preserve">im Jahresverlauf </w:t>
      </w:r>
      <w:r w:rsidR="006D712E">
        <w:rPr>
          <w:rFonts w:ascii="Source Sans Pro" w:hAnsi="Source Sans Pro" w:cs="Arial"/>
          <w:color w:val="242424"/>
          <w:sz w:val="22"/>
          <w:szCs w:val="22"/>
        </w:rPr>
        <w:t xml:space="preserve">noch etwas </w:t>
      </w:r>
      <w:r w:rsidR="00B91CD6" w:rsidRPr="00B91CD6">
        <w:rPr>
          <w:rFonts w:ascii="Source Sans Pro" w:hAnsi="Source Sans Pro" w:cs="Arial"/>
          <w:color w:val="242424"/>
          <w:sz w:val="22"/>
          <w:szCs w:val="22"/>
        </w:rPr>
        <w:t>weiter steigen</w:t>
      </w:r>
      <w:r w:rsidR="00CD1783">
        <w:rPr>
          <w:rFonts w:ascii="Source Sans Pro" w:hAnsi="Source Sans Pro" w:cs="Arial"/>
          <w:color w:val="242424"/>
          <w:sz w:val="22"/>
          <w:szCs w:val="22"/>
        </w:rPr>
        <w:t>, a</w:t>
      </w:r>
      <w:r w:rsidR="00B91CD6" w:rsidRPr="00B91CD6">
        <w:rPr>
          <w:rFonts w:ascii="Source Sans Pro" w:hAnsi="Source Sans Pro" w:cs="Arial"/>
          <w:color w:val="242424"/>
          <w:sz w:val="22"/>
          <w:szCs w:val="22"/>
        </w:rPr>
        <w:t xml:space="preserve">ngesichts möglicher Zinssenkungen allerdings </w:t>
      </w:r>
      <w:r w:rsidR="006D712E">
        <w:rPr>
          <w:rFonts w:ascii="Source Sans Pro" w:hAnsi="Source Sans Pro" w:cs="Arial"/>
          <w:color w:val="242424"/>
          <w:sz w:val="22"/>
          <w:szCs w:val="22"/>
        </w:rPr>
        <w:t>nicht in dem Ausmaß wie</w:t>
      </w:r>
      <w:r w:rsidR="00B91CD6" w:rsidRPr="00B91CD6">
        <w:rPr>
          <w:rFonts w:ascii="Source Sans Pro" w:hAnsi="Source Sans Pro" w:cs="Arial"/>
          <w:color w:val="242424"/>
          <w:sz w:val="22"/>
          <w:szCs w:val="22"/>
        </w:rPr>
        <w:t xml:space="preserve"> im Vorjahr.</w:t>
      </w:r>
    </w:p>
    <w:p w14:paraId="6E636EAA" w14:textId="77777777" w:rsidR="00604B4E" w:rsidRPr="00B91CD6" w:rsidRDefault="00604B4E" w:rsidP="00604B4E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Arial"/>
          <w:color w:val="242424"/>
          <w:sz w:val="22"/>
          <w:szCs w:val="22"/>
        </w:rPr>
      </w:pPr>
    </w:p>
    <w:p w14:paraId="51B8910D" w14:textId="02D90E3E" w:rsidR="00604B4E" w:rsidRDefault="00863F2D" w:rsidP="00604B4E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Arial"/>
          <w:color w:val="242424"/>
          <w:sz w:val="22"/>
          <w:szCs w:val="22"/>
        </w:rPr>
      </w:pPr>
      <w:r>
        <w:rPr>
          <w:rFonts w:ascii="Source Sans Pro" w:hAnsi="Source Sans Pro" w:cs="Arial"/>
          <w:color w:val="242424"/>
          <w:sz w:val="22"/>
          <w:szCs w:val="22"/>
        </w:rPr>
        <w:t>Die gesunkenen Kaufpreise für Industrie- und Logistikimmobilien zeigten sich an den meisten Standorten auch am Grundstücksmarkt. S</w:t>
      </w:r>
      <w:r w:rsidRPr="00863F2D">
        <w:rPr>
          <w:rFonts w:ascii="Source Sans Pro" w:hAnsi="Source Sans Pro" w:cs="Arial"/>
          <w:color w:val="242424"/>
          <w:sz w:val="22"/>
          <w:szCs w:val="22"/>
        </w:rPr>
        <w:t xml:space="preserve">teigende 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Grundstückspreise verzeichnete lediglich die </w:t>
      </w:r>
      <w:r w:rsidRPr="00863F2D">
        <w:rPr>
          <w:rFonts w:ascii="Source Sans Pro" w:hAnsi="Source Sans Pro" w:cs="Arial"/>
          <w:color w:val="242424"/>
          <w:sz w:val="22"/>
          <w:szCs w:val="22"/>
        </w:rPr>
        <w:t>Region Stuttgart</w:t>
      </w:r>
      <w:r>
        <w:rPr>
          <w:rFonts w:ascii="Source Sans Pro" w:hAnsi="Source Sans Pro" w:cs="Arial"/>
          <w:color w:val="242424"/>
          <w:sz w:val="22"/>
          <w:szCs w:val="22"/>
        </w:rPr>
        <w:t>.</w:t>
      </w:r>
      <w:r w:rsidRPr="00863F2D">
        <w:rPr>
          <w:rFonts w:ascii="Source Sans Pro" w:hAnsi="Source Sans Pro" w:cs="Arial"/>
          <w:color w:val="242424"/>
          <w:sz w:val="22"/>
          <w:szCs w:val="22"/>
        </w:rPr>
        <w:t xml:space="preserve"> An den </w:t>
      </w:r>
      <w:r>
        <w:rPr>
          <w:rFonts w:ascii="Source Sans Pro" w:hAnsi="Source Sans Pro" w:cs="Arial"/>
          <w:color w:val="242424"/>
          <w:sz w:val="22"/>
          <w:szCs w:val="22"/>
        </w:rPr>
        <w:t>übrigen</w:t>
      </w:r>
      <w:r w:rsidRPr="00863F2D">
        <w:rPr>
          <w:rFonts w:ascii="Source Sans Pro" w:hAnsi="Source Sans Pro" w:cs="Arial"/>
          <w:color w:val="242424"/>
          <w:sz w:val="22"/>
          <w:szCs w:val="22"/>
        </w:rPr>
        <w:t xml:space="preserve"> Standorten </w:t>
      </w:r>
      <w:r>
        <w:rPr>
          <w:rFonts w:ascii="Source Sans Pro" w:hAnsi="Source Sans Pro" w:cs="Arial"/>
          <w:color w:val="242424"/>
          <w:sz w:val="22"/>
          <w:szCs w:val="22"/>
        </w:rPr>
        <w:t>erfasste GPP stagnierende oder sinkende</w:t>
      </w:r>
      <w:r w:rsidRPr="00863F2D">
        <w:rPr>
          <w:rFonts w:ascii="Source Sans Pro" w:hAnsi="Source Sans Pro" w:cs="Arial"/>
          <w:color w:val="242424"/>
          <w:sz w:val="22"/>
          <w:szCs w:val="22"/>
        </w:rPr>
        <w:t xml:space="preserve"> </w:t>
      </w:r>
      <w:r>
        <w:rPr>
          <w:rFonts w:ascii="Source Sans Pro" w:hAnsi="Source Sans Pro" w:cs="Arial"/>
          <w:color w:val="242424"/>
          <w:sz w:val="22"/>
          <w:szCs w:val="22"/>
        </w:rPr>
        <w:t>P</w:t>
      </w:r>
      <w:r w:rsidRPr="00863F2D">
        <w:rPr>
          <w:rFonts w:ascii="Source Sans Pro" w:hAnsi="Source Sans Pro" w:cs="Arial"/>
          <w:color w:val="242424"/>
          <w:sz w:val="22"/>
          <w:szCs w:val="22"/>
        </w:rPr>
        <w:t>reis</w:t>
      </w:r>
      <w:r>
        <w:rPr>
          <w:rFonts w:ascii="Source Sans Pro" w:hAnsi="Source Sans Pro" w:cs="Arial"/>
          <w:color w:val="242424"/>
          <w:sz w:val="22"/>
          <w:szCs w:val="22"/>
        </w:rPr>
        <w:t>e</w:t>
      </w:r>
      <w:r w:rsidRPr="00863F2D">
        <w:rPr>
          <w:rFonts w:ascii="Source Sans Pro" w:hAnsi="Source Sans Pro" w:cs="Arial"/>
          <w:color w:val="242424"/>
          <w:sz w:val="22"/>
          <w:szCs w:val="22"/>
        </w:rPr>
        <w:t>.</w:t>
      </w:r>
    </w:p>
    <w:p w14:paraId="3E775DCF" w14:textId="77777777" w:rsidR="00262C87" w:rsidRPr="00262C87" w:rsidRDefault="00262C87" w:rsidP="00262C87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76436043" w14:textId="6B7D2D10" w:rsidR="00E56D2A" w:rsidRPr="00E56D2A" w:rsidRDefault="00191E8C" w:rsidP="00237082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olor w:val="0086A8"/>
          <w:sz w:val="22"/>
          <w:szCs w:val="22"/>
        </w:rPr>
        <w:t>PROGNOSE: STEIGENDE NACHFRAGE BEI STABILEN RAHMENBEDINGUNGEN</w:t>
      </w:r>
    </w:p>
    <w:p w14:paraId="248120E1" w14:textId="003AA064" w:rsidR="00B91CD6" w:rsidRDefault="00B91CD6" w:rsidP="007B4C7F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Arial"/>
          <w:color w:val="242424"/>
          <w:sz w:val="22"/>
          <w:szCs w:val="22"/>
        </w:rPr>
      </w:pPr>
      <w:r w:rsidRPr="00B757B3">
        <w:rPr>
          <w:rFonts w:ascii="Source Sans Pro" w:hAnsi="Source Sans Pro" w:cs="Arial"/>
          <w:color w:val="242424"/>
          <w:sz w:val="22"/>
          <w:szCs w:val="22"/>
        </w:rPr>
        <w:t xml:space="preserve">Zum Jahresstart </w:t>
      </w:r>
      <w:r w:rsidR="00597D0C" w:rsidRPr="00B757B3">
        <w:rPr>
          <w:rFonts w:ascii="Source Sans Pro" w:hAnsi="Source Sans Pro" w:cs="Arial"/>
          <w:color w:val="242424"/>
          <w:sz w:val="22"/>
          <w:szCs w:val="22"/>
        </w:rPr>
        <w:t>erwartet</w:t>
      </w:r>
      <w:r w:rsidRPr="00B757B3">
        <w:rPr>
          <w:rFonts w:ascii="Source Sans Pro" w:hAnsi="Source Sans Pro" w:cs="Arial"/>
          <w:color w:val="242424"/>
          <w:sz w:val="22"/>
          <w:szCs w:val="22"/>
        </w:rPr>
        <w:t xml:space="preserve"> GPP an den meisten Top-7-Standorten </w:t>
      </w:r>
      <w:r w:rsidR="00597D0C" w:rsidRPr="00B757B3">
        <w:rPr>
          <w:rFonts w:ascii="Source Sans Pro" w:hAnsi="Source Sans Pro" w:cs="Arial"/>
          <w:color w:val="242424"/>
          <w:sz w:val="22"/>
          <w:szCs w:val="22"/>
        </w:rPr>
        <w:t>eine</w:t>
      </w:r>
      <w:r w:rsidRPr="00B757B3">
        <w:rPr>
          <w:rFonts w:ascii="Source Sans Pro" w:hAnsi="Source Sans Pro" w:cs="Arial"/>
          <w:color w:val="242424"/>
          <w:sz w:val="22"/>
          <w:szCs w:val="22"/>
        </w:rPr>
        <w:t xml:space="preserve"> weiterhin eingeschränkte </w:t>
      </w:r>
      <w:r w:rsidR="001C5169">
        <w:rPr>
          <w:rFonts w:ascii="Source Sans Pro" w:hAnsi="Source Sans Pro" w:cs="Arial"/>
          <w:color w:val="242424"/>
          <w:sz w:val="22"/>
          <w:szCs w:val="22"/>
        </w:rPr>
        <w:t>F</w:t>
      </w:r>
      <w:r w:rsidR="001C5169" w:rsidRPr="00B757B3">
        <w:rPr>
          <w:rFonts w:ascii="Source Sans Pro" w:hAnsi="Source Sans Pro" w:cs="Arial"/>
          <w:color w:val="242424"/>
          <w:sz w:val="22"/>
          <w:szCs w:val="22"/>
        </w:rPr>
        <w:t>lächennachfrage</w:t>
      </w:r>
      <w:r w:rsidRPr="00B757B3">
        <w:rPr>
          <w:rFonts w:ascii="Source Sans Pro" w:hAnsi="Source Sans Pro" w:cs="Arial"/>
          <w:color w:val="242424"/>
          <w:sz w:val="22"/>
          <w:szCs w:val="22"/>
        </w:rPr>
        <w:t xml:space="preserve">. </w:t>
      </w:r>
      <w:r w:rsidRPr="00B757B3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„Mit Blick auf ein zumindest geringes erwartetes Wirtschaftswachstum könnten die Flächengesuche im späteren Jahresverlauf wieder </w:t>
      </w:r>
      <w:r w:rsidR="00597D0C" w:rsidRPr="00B757B3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etwas </w:t>
      </w:r>
      <w:r w:rsidRPr="00B757B3">
        <w:rPr>
          <w:rFonts w:ascii="Source Sans Pro" w:hAnsi="Source Sans Pro" w:cs="Arial"/>
          <w:i/>
          <w:iCs/>
          <w:color w:val="242424"/>
          <w:sz w:val="22"/>
          <w:szCs w:val="22"/>
        </w:rPr>
        <w:t>zunehmen</w:t>
      </w:r>
      <w:r w:rsidR="00894C2A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. Umsatzprognosen sind </w:t>
      </w:r>
      <w:r w:rsidR="00E07769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allerdings </w:t>
      </w:r>
      <w:r w:rsidR="00894C2A">
        <w:rPr>
          <w:rFonts w:ascii="Source Sans Pro" w:hAnsi="Source Sans Pro" w:cs="Arial"/>
          <w:i/>
          <w:iCs/>
          <w:color w:val="242424"/>
          <w:sz w:val="22"/>
          <w:szCs w:val="22"/>
        </w:rPr>
        <w:t>schwierig, denn</w:t>
      </w:r>
      <w:r w:rsidR="001C5169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aktuell </w:t>
      </w:r>
      <w:r w:rsidR="00894C2A">
        <w:rPr>
          <w:rFonts w:ascii="Source Sans Pro" w:hAnsi="Source Sans Pro" w:cs="Arial"/>
          <w:i/>
          <w:iCs/>
          <w:color w:val="242424"/>
          <w:sz w:val="22"/>
          <w:szCs w:val="22"/>
        </w:rPr>
        <w:t>gibt es viel</w:t>
      </w:r>
      <w:r w:rsidR="001C5169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Skepsis</w:t>
      </w:r>
      <w:r w:rsidR="00894C2A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und eine </w:t>
      </w:r>
      <w:r w:rsidR="00A42A98">
        <w:rPr>
          <w:rFonts w:ascii="Source Sans Pro" w:hAnsi="Source Sans Pro" w:cs="Arial"/>
          <w:i/>
          <w:iCs/>
          <w:color w:val="242424"/>
          <w:sz w:val="22"/>
          <w:szCs w:val="22"/>
        </w:rPr>
        <w:t>große</w:t>
      </w:r>
      <w:r w:rsidR="00894C2A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Unsicherheit</w:t>
      </w:r>
      <w:r w:rsidR="001C5169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</w:t>
      </w:r>
      <w:r w:rsidR="00A42A98">
        <w:rPr>
          <w:rFonts w:ascii="Source Sans Pro" w:hAnsi="Source Sans Pro" w:cs="Arial"/>
          <w:i/>
          <w:iCs/>
          <w:color w:val="242424"/>
          <w:sz w:val="22"/>
          <w:szCs w:val="22"/>
        </w:rPr>
        <w:t>über die</w:t>
      </w:r>
      <w:r w:rsidR="001C5169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weitere konjunkturelle Entwicklung</w:t>
      </w:r>
      <w:r w:rsidR="00894C2A">
        <w:rPr>
          <w:rFonts w:ascii="Source Sans Pro" w:hAnsi="Source Sans Pro" w:cs="Arial"/>
          <w:i/>
          <w:iCs/>
          <w:color w:val="242424"/>
          <w:sz w:val="22"/>
          <w:szCs w:val="22"/>
        </w:rPr>
        <w:t>. Insgesamt muss weiterhin von unterdurchschnittlichen Vermietungsumsätzen ausgegangen werden</w:t>
      </w:r>
      <w:r w:rsidRPr="00B757B3">
        <w:rPr>
          <w:rFonts w:ascii="Source Sans Pro" w:hAnsi="Source Sans Pro" w:cs="Arial"/>
          <w:i/>
          <w:iCs/>
          <w:color w:val="242424"/>
          <w:sz w:val="22"/>
          <w:szCs w:val="22"/>
        </w:rPr>
        <w:t>“,</w:t>
      </w:r>
      <w:r w:rsidRPr="00B757B3">
        <w:rPr>
          <w:rFonts w:ascii="Source Sans Pro" w:hAnsi="Source Sans Pro" w:cs="Arial"/>
          <w:color w:val="242424"/>
          <w:sz w:val="22"/>
          <w:szCs w:val="22"/>
        </w:rPr>
        <w:t xml:space="preserve"> </w:t>
      </w:r>
      <w:r w:rsidR="00894C2A">
        <w:rPr>
          <w:rFonts w:ascii="Source Sans Pro" w:hAnsi="Source Sans Pro" w:cs="Arial"/>
          <w:color w:val="242424"/>
          <w:sz w:val="22"/>
          <w:szCs w:val="22"/>
        </w:rPr>
        <w:t>erläutert</w:t>
      </w:r>
      <w:r w:rsidR="00894C2A" w:rsidRPr="00B757B3">
        <w:rPr>
          <w:rFonts w:ascii="Source Sans Pro" w:hAnsi="Source Sans Pro" w:cs="Arial"/>
          <w:color w:val="242424"/>
          <w:sz w:val="22"/>
          <w:szCs w:val="22"/>
        </w:rPr>
        <w:t xml:space="preserve"> </w:t>
      </w:r>
      <w:r w:rsidRPr="00B757B3">
        <w:rPr>
          <w:rFonts w:ascii="Source Sans Pro" w:hAnsi="Source Sans Pro" w:cs="Arial"/>
          <w:b/>
          <w:bCs/>
          <w:color w:val="242424"/>
          <w:sz w:val="22"/>
          <w:szCs w:val="22"/>
        </w:rPr>
        <w:t>Holzwarth</w:t>
      </w:r>
      <w:r w:rsidRPr="00B757B3">
        <w:rPr>
          <w:rFonts w:ascii="Source Sans Pro" w:hAnsi="Source Sans Pro" w:cs="Arial"/>
          <w:color w:val="242424"/>
          <w:sz w:val="22"/>
          <w:szCs w:val="22"/>
        </w:rPr>
        <w:t xml:space="preserve">. </w:t>
      </w:r>
    </w:p>
    <w:p w14:paraId="71BA21CC" w14:textId="77777777" w:rsidR="00D34158" w:rsidRPr="00B757B3" w:rsidRDefault="00D34158" w:rsidP="007B4C7F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Arial"/>
          <w:color w:val="242424"/>
          <w:sz w:val="22"/>
          <w:szCs w:val="22"/>
        </w:rPr>
      </w:pPr>
    </w:p>
    <w:p w14:paraId="3813EE43" w14:textId="409D813F" w:rsidR="00B757B3" w:rsidRPr="00ED039C" w:rsidRDefault="00B757B3" w:rsidP="00B757B3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Arial"/>
          <w:i/>
          <w:iCs/>
          <w:color w:val="242424"/>
          <w:sz w:val="22"/>
          <w:szCs w:val="22"/>
        </w:rPr>
      </w:pPr>
      <w:r>
        <w:rPr>
          <w:rFonts w:ascii="Source Sans Pro" w:hAnsi="Source Sans Pro" w:cs="Arial"/>
          <w:color w:val="242424"/>
          <w:sz w:val="22"/>
          <w:szCs w:val="22"/>
        </w:rPr>
        <w:t xml:space="preserve">Auf dem Investmentmarkt ist </w:t>
      </w:r>
      <w:r w:rsidRPr="00793057">
        <w:rPr>
          <w:rFonts w:ascii="Source Sans Pro" w:hAnsi="Source Sans Pro" w:cs="Arial"/>
          <w:color w:val="242424"/>
          <w:sz w:val="22"/>
          <w:szCs w:val="22"/>
        </w:rPr>
        <w:t>die Perspektive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 für Industrie- und Logistikimmobilien grundsätzlich weiterhin positiv. </w:t>
      </w:r>
      <w:r w:rsidRPr="00ED039C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„Zwar halten sich </w:t>
      </w:r>
      <w:r w:rsidR="00B71615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viele </w:t>
      </w:r>
      <w:r w:rsidRPr="00ED039C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Investoren aktuell noch zurück, </w:t>
      </w:r>
      <w:r w:rsidR="00793057">
        <w:rPr>
          <w:rFonts w:ascii="Source Sans Pro" w:hAnsi="Source Sans Pro" w:cs="Arial"/>
          <w:i/>
          <w:iCs/>
          <w:color w:val="242424"/>
          <w:sz w:val="22"/>
          <w:szCs w:val="22"/>
        </w:rPr>
        <w:t>doch</w:t>
      </w:r>
      <w:r w:rsidRPr="00ED039C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generell ist das Interesse an der Assetklasse hoch. Angesichts des Angebotsmangels mit stabilen bis steigenden Mieten </w:t>
      </w:r>
      <w:r w:rsidR="00793057">
        <w:rPr>
          <w:rFonts w:ascii="Source Sans Pro" w:hAnsi="Source Sans Pro" w:cs="Arial"/>
          <w:i/>
          <w:iCs/>
          <w:color w:val="242424"/>
          <w:sz w:val="22"/>
          <w:szCs w:val="22"/>
        </w:rPr>
        <w:t>sind</w:t>
      </w:r>
      <w:r w:rsidRPr="00ED039C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die </w:t>
      </w:r>
      <w:r w:rsidR="00793057" w:rsidRPr="00793057">
        <w:rPr>
          <w:rFonts w:ascii="Source Sans Pro" w:hAnsi="Source Sans Pro" w:cs="Arial"/>
          <w:i/>
          <w:iCs/>
          <w:color w:val="242424"/>
          <w:sz w:val="22"/>
          <w:szCs w:val="22"/>
        </w:rPr>
        <w:t>Aussichten für Investments</w:t>
      </w:r>
      <w:r w:rsidRPr="00ED039C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besser als in einigen Büromärkten“,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 so </w:t>
      </w:r>
      <w:r w:rsidRPr="00ED039C">
        <w:rPr>
          <w:rFonts w:ascii="Source Sans Pro" w:hAnsi="Source Sans Pro" w:cs="Arial"/>
          <w:b/>
          <w:bCs/>
          <w:color w:val="242424"/>
          <w:sz w:val="22"/>
          <w:szCs w:val="22"/>
        </w:rPr>
        <w:t>Holzwarth</w:t>
      </w:r>
      <w:r>
        <w:rPr>
          <w:rFonts w:ascii="Source Sans Pro" w:hAnsi="Source Sans Pro" w:cs="Arial"/>
          <w:color w:val="242424"/>
          <w:sz w:val="22"/>
          <w:szCs w:val="22"/>
        </w:rPr>
        <w:t xml:space="preserve">. </w:t>
      </w:r>
      <w:r w:rsidRPr="00ED039C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„Sollten sich die Rahmenbedingungen </w:t>
      </w:r>
      <w:r w:rsidR="001E0C34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2024 </w:t>
      </w:r>
      <w:r w:rsidRPr="00ED039C">
        <w:rPr>
          <w:rFonts w:ascii="Source Sans Pro" w:hAnsi="Source Sans Pro" w:cs="Arial"/>
          <w:i/>
          <w:iCs/>
          <w:color w:val="242424"/>
          <w:sz w:val="22"/>
          <w:szCs w:val="22"/>
        </w:rPr>
        <w:t>wie erwartet</w:t>
      </w:r>
      <w:r w:rsidR="001E0C34">
        <w:rPr>
          <w:rFonts w:ascii="Source Sans Pro" w:hAnsi="Source Sans Pro" w:cs="Arial"/>
          <w:i/>
          <w:iCs/>
          <w:color w:val="242424"/>
          <w:sz w:val="22"/>
          <w:szCs w:val="22"/>
        </w:rPr>
        <w:t xml:space="preserve"> stabilisieren</w:t>
      </w:r>
      <w:r w:rsidRPr="00ED039C">
        <w:rPr>
          <w:rFonts w:ascii="Source Sans Pro" w:hAnsi="Source Sans Pro" w:cs="Arial"/>
          <w:i/>
          <w:iCs/>
          <w:color w:val="242424"/>
          <w:sz w:val="22"/>
          <w:szCs w:val="22"/>
        </w:rPr>
        <w:t>, dürfte die Marktdynamik wieder zunehmen.“</w:t>
      </w:r>
    </w:p>
    <w:p w14:paraId="58CB3112" w14:textId="77777777" w:rsidR="00196178" w:rsidRPr="00814CEF" w:rsidRDefault="00196178" w:rsidP="00237082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5A305A6F" w14:textId="3E580BE1" w:rsidR="006C7D7B" w:rsidRDefault="006C7D7B" w:rsidP="00237082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Arial"/>
          <w:bCs/>
          <w:sz w:val="22"/>
          <w:szCs w:val="22"/>
        </w:rPr>
      </w:pPr>
      <w:r w:rsidRPr="0056137E">
        <w:rPr>
          <w:rFonts w:ascii="Source Sans Pro" w:hAnsi="Source Sans Pro" w:cs="Arial"/>
          <w:bCs/>
          <w:sz w:val="22"/>
          <w:szCs w:val="22"/>
        </w:rPr>
        <w:t>D</w:t>
      </w:r>
      <w:r>
        <w:rPr>
          <w:rFonts w:ascii="Source Sans Pro" w:hAnsi="Source Sans Pro" w:cs="Arial"/>
          <w:bCs/>
          <w:sz w:val="22"/>
          <w:szCs w:val="22"/>
        </w:rPr>
        <w:t xml:space="preserve">er </w:t>
      </w:r>
      <w:hyperlink r:id="rId8" w:history="1">
        <w:r w:rsidRPr="003F2300">
          <w:rPr>
            <w:rStyle w:val="Hyperlink"/>
            <w:rFonts w:ascii="Source Sans Pro" w:hAnsi="Source Sans Pro" w:cs="Arial"/>
            <w:bCs/>
            <w:sz w:val="22"/>
            <w:szCs w:val="22"/>
          </w:rPr>
          <w:t>detaillierte Marktbericht</w:t>
        </w:r>
      </w:hyperlink>
      <w:r>
        <w:rPr>
          <w:rFonts w:ascii="Source Sans Pro" w:hAnsi="Source Sans Pro" w:cs="Arial"/>
          <w:bCs/>
          <w:sz w:val="22"/>
          <w:szCs w:val="22"/>
        </w:rPr>
        <w:t xml:space="preserve"> für </w:t>
      </w:r>
      <w:r w:rsidRPr="0056137E">
        <w:rPr>
          <w:rFonts w:ascii="Source Sans Pro" w:hAnsi="Source Sans Pro" w:cs="Arial"/>
          <w:bCs/>
          <w:sz w:val="22"/>
          <w:szCs w:val="22"/>
        </w:rPr>
        <w:t xml:space="preserve">Hamburg, Berlin, Düsseldorf, Köln, Frankfurt, Stuttgart und München </w:t>
      </w:r>
      <w:r w:rsidRPr="003F2300">
        <w:rPr>
          <w:rFonts w:ascii="Source Sans Pro" w:hAnsi="Source Sans Pro" w:cs="Arial"/>
          <w:bCs/>
          <w:sz w:val="22"/>
          <w:szCs w:val="22"/>
        </w:rPr>
        <w:t>steht auf unserer Website zum Download</w:t>
      </w:r>
      <w:r w:rsidRPr="0056137E">
        <w:rPr>
          <w:rFonts w:ascii="Source Sans Pro" w:hAnsi="Source Sans Pro" w:cs="Arial"/>
          <w:bCs/>
          <w:sz w:val="22"/>
          <w:szCs w:val="22"/>
        </w:rPr>
        <w:t xml:space="preserve"> bereit.</w:t>
      </w:r>
    </w:p>
    <w:p w14:paraId="234C518B" w14:textId="77777777" w:rsidR="00E07769" w:rsidRDefault="00E07769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6DBD1C30" w14:textId="77777777" w:rsidR="00E07769" w:rsidRDefault="00E07769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50B0AF24" w14:textId="7292330B" w:rsidR="00DA733A" w:rsidRPr="006456EA" w:rsidRDefault="002B63FD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lastRenderedPageBreak/>
        <w:t>ÜBER GERMAN PROPERTY PARTNERS</w:t>
      </w:r>
      <w:r w:rsidR="00DA733A"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47B60849" w14:textId="77777777" w:rsidR="00E1280F" w:rsidRPr="00E1280F" w:rsidRDefault="006A225A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8E7143A" w14:textId="77777777" w:rsidR="008245EC" w:rsidRPr="00E1280F" w:rsidRDefault="008245EC" w:rsidP="008245EC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580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00 m² Gewerbefläche und betreute ein Transaktionsvolumen in Höhe von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€.</w:t>
      </w:r>
    </w:p>
    <w:p w14:paraId="03D0C7E2" w14:textId="4584B443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B90D4EE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7E45B8A0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9E935E2" w14:textId="75CBB9CD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468FAFF6" w14:textId="7B9B7DCB" w:rsidR="005C25D5" w:rsidRPr="00D53B8E" w:rsidRDefault="00290672" w:rsidP="00D53B8E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sectPr w:rsidR="005C25D5" w:rsidRPr="00D53B8E" w:rsidSect="001B786B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479D8" w14:textId="77777777" w:rsidR="000B3375" w:rsidRDefault="000B3375">
      <w:r>
        <w:separator/>
      </w:r>
    </w:p>
  </w:endnote>
  <w:endnote w:type="continuationSeparator" w:id="0">
    <w:p w14:paraId="4DBC7BAE" w14:textId="77777777" w:rsidR="000B3375" w:rsidRDefault="000B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C666" w14:textId="0B1390D1" w:rsidR="004D467B" w:rsidRDefault="004D467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4D467B" w:rsidRDefault="004D467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4D467B" w:rsidRPr="006456EA" w:rsidRDefault="004D467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7FC51DB8" w:rsidR="004D467B" w:rsidRPr="006456EA" w:rsidRDefault="004D467B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2643A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2643A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5F934956" w:rsidR="004D467B" w:rsidRPr="006456EA" w:rsidRDefault="004D467B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>
      <w:rPr>
        <w:rFonts w:ascii="Source Sans Pro" w:hAnsi="Source Sans Pro" w:cs="Source Sans Pro"/>
        <w:color w:val="0087A8"/>
        <w:sz w:val="18"/>
        <w:szCs w:val="18"/>
      </w:rPr>
      <w:t>49 40 350802-</w:t>
    </w:r>
    <w:r w:rsidR="00196178">
      <w:rPr>
        <w:rFonts w:ascii="Source Sans Pro" w:hAnsi="Source Sans Pro" w:cs="Source Sans Pro"/>
        <w:color w:val="0087A8"/>
        <w:sz w:val="18"/>
        <w:szCs w:val="18"/>
      </w:rPr>
      <w:t>9</w:t>
    </w:r>
    <w:r>
      <w:rPr>
        <w:rFonts w:ascii="Source Sans Pro" w:hAnsi="Source Sans Pro" w:cs="Source Sans Pro"/>
        <w:color w:val="0087A8"/>
        <w:sz w:val="18"/>
        <w:szCs w:val="18"/>
      </w:rPr>
      <w:t>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39D0644B" w:rsidR="004D467B" w:rsidRPr="005644BE" w:rsidRDefault="004D467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178">
      <w:rPr>
        <w:rFonts w:ascii="Source Sans Pro" w:hAnsi="Source Sans Pro" w:cs="Source Sans Pro"/>
        <w:color w:val="0087A8"/>
        <w:sz w:val="18"/>
        <w:szCs w:val="18"/>
      </w:rPr>
      <w:t>Katharina Koester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AF12" w14:textId="78D04753" w:rsidR="004D467B" w:rsidRPr="001B786B" w:rsidRDefault="004D467B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4564E3B0" w:rsidR="004D467B" w:rsidRPr="006456EA" w:rsidRDefault="004D467B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2643A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2643A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3D53BB72" w:rsidR="004D467B" w:rsidRPr="006456EA" w:rsidRDefault="004D467B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>
      <w:rPr>
        <w:rFonts w:ascii="Source Sans Pro" w:hAnsi="Source Sans Pro" w:cs="Source Sans Pro"/>
        <w:color w:val="0087A8"/>
        <w:sz w:val="18"/>
        <w:szCs w:val="18"/>
      </w:rPr>
      <w:t>49 40 350802-</w:t>
    </w:r>
    <w:r w:rsidR="00196178">
      <w:rPr>
        <w:rFonts w:ascii="Source Sans Pro" w:hAnsi="Source Sans Pro" w:cs="Source Sans Pro"/>
        <w:color w:val="0087A8"/>
        <w:sz w:val="18"/>
        <w:szCs w:val="18"/>
      </w:rPr>
      <w:t>9</w:t>
    </w:r>
    <w:r>
      <w:rPr>
        <w:rFonts w:ascii="Source Sans Pro" w:hAnsi="Source Sans Pro" w:cs="Source Sans Pro"/>
        <w:color w:val="0087A8"/>
        <w:sz w:val="18"/>
        <w:szCs w:val="18"/>
      </w:rPr>
      <w:t>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7BEED394" w:rsidR="004D467B" w:rsidRPr="006456EA" w:rsidRDefault="004D467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  <w:lang w:val="en-US" w:eastAsia="en-US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178">
      <w:rPr>
        <w:rFonts w:ascii="Source Sans Pro" w:hAnsi="Source Sans Pro" w:cs="Source Sans Pro"/>
        <w:color w:val="0087A8"/>
        <w:sz w:val="18"/>
        <w:szCs w:val="18"/>
      </w:rPr>
      <w:t>Katharina Koester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1F2E5" w14:textId="77777777" w:rsidR="000B3375" w:rsidRDefault="000B3375">
      <w:r>
        <w:separator/>
      </w:r>
    </w:p>
  </w:footnote>
  <w:footnote w:type="continuationSeparator" w:id="0">
    <w:p w14:paraId="5D3E9820" w14:textId="77777777" w:rsidR="000B3375" w:rsidRDefault="000B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AE73" w14:textId="5A8CA290" w:rsidR="004D467B" w:rsidRDefault="004D467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736273E" w14:textId="0051BB57" w:rsidR="004D467B" w:rsidRDefault="004D467B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4D467B" w:rsidRDefault="004D467B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C617" w14:textId="0096DDD3" w:rsidR="004D467B" w:rsidRDefault="004D467B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  <w:lang w:val="en-US" w:eastAsia="en-US"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4D467B" w:rsidRDefault="004D467B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4D467B" w:rsidRPr="00B922EE" w:rsidRDefault="004D467B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4D467B" w:rsidRDefault="004D467B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4D467B" w:rsidRPr="00B922EE" w:rsidRDefault="004D467B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tab/>
    </w:r>
  </w:p>
  <w:p w14:paraId="3EAD45CF" w14:textId="5FC2DEDD" w:rsidR="004D467B" w:rsidRDefault="004D467B" w:rsidP="0005029E">
    <w:r>
      <w:tab/>
    </w:r>
  </w:p>
  <w:p w14:paraId="185BEDCB" w14:textId="4F512084" w:rsidR="004D467B" w:rsidRDefault="004D467B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467B" w:rsidRDefault="004D467B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4D467B" w:rsidRPr="00DA6836" w:rsidRDefault="004D467B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4D467B" w:rsidRDefault="004D467B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6CAC"/>
    <w:multiLevelType w:val="multilevel"/>
    <w:tmpl w:val="7D5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22070"/>
    <w:multiLevelType w:val="hybridMultilevel"/>
    <w:tmpl w:val="B9D6D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0776"/>
    <w:multiLevelType w:val="hybridMultilevel"/>
    <w:tmpl w:val="CFEE9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477F"/>
    <w:multiLevelType w:val="multilevel"/>
    <w:tmpl w:val="0A36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55E2B"/>
    <w:multiLevelType w:val="hybridMultilevel"/>
    <w:tmpl w:val="05107A14"/>
    <w:lvl w:ilvl="0" w:tplc="7764BC1C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0AB1"/>
    <w:multiLevelType w:val="multilevel"/>
    <w:tmpl w:val="C3DE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14998"/>
    <w:multiLevelType w:val="multilevel"/>
    <w:tmpl w:val="3872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96704"/>
    <w:multiLevelType w:val="multilevel"/>
    <w:tmpl w:val="7E9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03873"/>
    <w:multiLevelType w:val="hybridMultilevel"/>
    <w:tmpl w:val="8D9E8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6799"/>
    <w:multiLevelType w:val="multilevel"/>
    <w:tmpl w:val="559C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B1734"/>
    <w:multiLevelType w:val="hybridMultilevel"/>
    <w:tmpl w:val="AFDE5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E35EC"/>
    <w:multiLevelType w:val="hybridMultilevel"/>
    <w:tmpl w:val="EB582FC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0D93285"/>
    <w:multiLevelType w:val="hybridMultilevel"/>
    <w:tmpl w:val="B6EE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8677B"/>
    <w:multiLevelType w:val="multilevel"/>
    <w:tmpl w:val="533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24326"/>
    <w:multiLevelType w:val="multilevel"/>
    <w:tmpl w:val="A2E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C79EC"/>
    <w:multiLevelType w:val="multilevel"/>
    <w:tmpl w:val="66EA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364396">
    <w:abstractNumId w:val="5"/>
  </w:num>
  <w:num w:numId="2" w16cid:durableId="1481269856">
    <w:abstractNumId w:val="7"/>
  </w:num>
  <w:num w:numId="3" w16cid:durableId="917858726">
    <w:abstractNumId w:val="6"/>
  </w:num>
  <w:num w:numId="4" w16cid:durableId="1743746994">
    <w:abstractNumId w:val="13"/>
  </w:num>
  <w:num w:numId="5" w16cid:durableId="1013071614">
    <w:abstractNumId w:val="9"/>
  </w:num>
  <w:num w:numId="6" w16cid:durableId="1770202549">
    <w:abstractNumId w:val="14"/>
  </w:num>
  <w:num w:numId="7" w16cid:durableId="1892576168">
    <w:abstractNumId w:val="12"/>
  </w:num>
  <w:num w:numId="8" w16cid:durableId="606154774">
    <w:abstractNumId w:val="4"/>
  </w:num>
  <w:num w:numId="9" w16cid:durableId="128715939">
    <w:abstractNumId w:val="3"/>
  </w:num>
  <w:num w:numId="10" w16cid:durableId="173155421">
    <w:abstractNumId w:val="11"/>
  </w:num>
  <w:num w:numId="11" w16cid:durableId="1125536914">
    <w:abstractNumId w:val="1"/>
  </w:num>
  <w:num w:numId="12" w16cid:durableId="1071151045">
    <w:abstractNumId w:val="2"/>
  </w:num>
  <w:num w:numId="13" w16cid:durableId="1516534684">
    <w:abstractNumId w:val="15"/>
  </w:num>
  <w:num w:numId="14" w16cid:durableId="849490804">
    <w:abstractNumId w:val="10"/>
  </w:num>
  <w:num w:numId="15" w16cid:durableId="1492477454">
    <w:abstractNumId w:val="0"/>
  </w:num>
  <w:num w:numId="16" w16cid:durableId="411202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85"/>
    <w:rsid w:val="00004E93"/>
    <w:rsid w:val="000136D7"/>
    <w:rsid w:val="00013D73"/>
    <w:rsid w:val="00020AC9"/>
    <w:rsid w:val="00027EA3"/>
    <w:rsid w:val="00032028"/>
    <w:rsid w:val="00036302"/>
    <w:rsid w:val="000373BE"/>
    <w:rsid w:val="000416A9"/>
    <w:rsid w:val="000440EB"/>
    <w:rsid w:val="0005029E"/>
    <w:rsid w:val="000663B5"/>
    <w:rsid w:val="00066A8A"/>
    <w:rsid w:val="00077E8A"/>
    <w:rsid w:val="00082C59"/>
    <w:rsid w:val="00091562"/>
    <w:rsid w:val="0009382E"/>
    <w:rsid w:val="000A4FBB"/>
    <w:rsid w:val="000A6A78"/>
    <w:rsid w:val="000A7F2C"/>
    <w:rsid w:val="000B310B"/>
    <w:rsid w:val="000B3375"/>
    <w:rsid w:val="000C3A22"/>
    <w:rsid w:val="000C700E"/>
    <w:rsid w:val="000D5A87"/>
    <w:rsid w:val="000D7B09"/>
    <w:rsid w:val="000D7FD3"/>
    <w:rsid w:val="000E194E"/>
    <w:rsid w:val="000E4F2C"/>
    <w:rsid w:val="000E6577"/>
    <w:rsid w:val="000F57F1"/>
    <w:rsid w:val="00113D8C"/>
    <w:rsid w:val="00120624"/>
    <w:rsid w:val="0012156C"/>
    <w:rsid w:val="00136D6C"/>
    <w:rsid w:val="00142E6E"/>
    <w:rsid w:val="00150092"/>
    <w:rsid w:val="001550FE"/>
    <w:rsid w:val="00155828"/>
    <w:rsid w:val="00161817"/>
    <w:rsid w:val="0016190D"/>
    <w:rsid w:val="00162CC4"/>
    <w:rsid w:val="001647B3"/>
    <w:rsid w:val="00166ED2"/>
    <w:rsid w:val="00167437"/>
    <w:rsid w:val="00184BB0"/>
    <w:rsid w:val="00191E8C"/>
    <w:rsid w:val="00196178"/>
    <w:rsid w:val="001963BB"/>
    <w:rsid w:val="001A22F5"/>
    <w:rsid w:val="001A38A9"/>
    <w:rsid w:val="001B6B94"/>
    <w:rsid w:val="001B786B"/>
    <w:rsid w:val="001C13A8"/>
    <w:rsid w:val="001C3C07"/>
    <w:rsid w:val="001C5169"/>
    <w:rsid w:val="001C518B"/>
    <w:rsid w:val="001C6F02"/>
    <w:rsid w:val="001E0C34"/>
    <w:rsid w:val="001E1829"/>
    <w:rsid w:val="001E5503"/>
    <w:rsid w:val="001E7C76"/>
    <w:rsid w:val="001F218D"/>
    <w:rsid w:val="001F35E1"/>
    <w:rsid w:val="00200C83"/>
    <w:rsid w:val="00200EB8"/>
    <w:rsid w:val="002014F7"/>
    <w:rsid w:val="00202DD3"/>
    <w:rsid w:val="0020665D"/>
    <w:rsid w:val="0022396B"/>
    <w:rsid w:val="0022694F"/>
    <w:rsid w:val="00232E71"/>
    <w:rsid w:val="00235393"/>
    <w:rsid w:val="00237082"/>
    <w:rsid w:val="00261C34"/>
    <w:rsid w:val="00262C87"/>
    <w:rsid w:val="00264A0A"/>
    <w:rsid w:val="0026668A"/>
    <w:rsid w:val="00276CF5"/>
    <w:rsid w:val="0028070D"/>
    <w:rsid w:val="00282ED8"/>
    <w:rsid w:val="00290672"/>
    <w:rsid w:val="00291398"/>
    <w:rsid w:val="002963F4"/>
    <w:rsid w:val="002A09C2"/>
    <w:rsid w:val="002A480D"/>
    <w:rsid w:val="002A7D58"/>
    <w:rsid w:val="002B63FD"/>
    <w:rsid w:val="002C52C5"/>
    <w:rsid w:val="002C6967"/>
    <w:rsid w:val="002F461A"/>
    <w:rsid w:val="003152C9"/>
    <w:rsid w:val="00316196"/>
    <w:rsid w:val="003250ED"/>
    <w:rsid w:val="00337FB8"/>
    <w:rsid w:val="00341D84"/>
    <w:rsid w:val="00341F14"/>
    <w:rsid w:val="003424EC"/>
    <w:rsid w:val="0034307A"/>
    <w:rsid w:val="00344495"/>
    <w:rsid w:val="0034454C"/>
    <w:rsid w:val="00344A02"/>
    <w:rsid w:val="0035006E"/>
    <w:rsid w:val="00355438"/>
    <w:rsid w:val="00355ED1"/>
    <w:rsid w:val="00363075"/>
    <w:rsid w:val="0036613E"/>
    <w:rsid w:val="00366AF3"/>
    <w:rsid w:val="00371640"/>
    <w:rsid w:val="00374F87"/>
    <w:rsid w:val="003948FA"/>
    <w:rsid w:val="003A463F"/>
    <w:rsid w:val="003D36F0"/>
    <w:rsid w:val="003D5215"/>
    <w:rsid w:val="003E657D"/>
    <w:rsid w:val="003E772C"/>
    <w:rsid w:val="003F05D1"/>
    <w:rsid w:val="003F2300"/>
    <w:rsid w:val="003F293B"/>
    <w:rsid w:val="003F5E07"/>
    <w:rsid w:val="0040331F"/>
    <w:rsid w:val="00403C95"/>
    <w:rsid w:val="00423DAC"/>
    <w:rsid w:val="00424103"/>
    <w:rsid w:val="00425DBF"/>
    <w:rsid w:val="004329C6"/>
    <w:rsid w:val="004343B1"/>
    <w:rsid w:val="00434EB9"/>
    <w:rsid w:val="00445D87"/>
    <w:rsid w:val="00450AC5"/>
    <w:rsid w:val="00453F14"/>
    <w:rsid w:val="00456442"/>
    <w:rsid w:val="00474099"/>
    <w:rsid w:val="004820A7"/>
    <w:rsid w:val="00484520"/>
    <w:rsid w:val="00491CBC"/>
    <w:rsid w:val="00493B8F"/>
    <w:rsid w:val="004A2A30"/>
    <w:rsid w:val="004A2D54"/>
    <w:rsid w:val="004A60FB"/>
    <w:rsid w:val="004A64EE"/>
    <w:rsid w:val="004B5CB6"/>
    <w:rsid w:val="004C616B"/>
    <w:rsid w:val="004C6FA8"/>
    <w:rsid w:val="004D2CD0"/>
    <w:rsid w:val="004D30FB"/>
    <w:rsid w:val="004D467B"/>
    <w:rsid w:val="004F1EDD"/>
    <w:rsid w:val="004F77D4"/>
    <w:rsid w:val="00500981"/>
    <w:rsid w:val="00501428"/>
    <w:rsid w:val="005045E7"/>
    <w:rsid w:val="00510C33"/>
    <w:rsid w:val="005122A0"/>
    <w:rsid w:val="00530455"/>
    <w:rsid w:val="005349EA"/>
    <w:rsid w:val="0054038E"/>
    <w:rsid w:val="00541CB3"/>
    <w:rsid w:val="0054593A"/>
    <w:rsid w:val="00554C9F"/>
    <w:rsid w:val="00557B57"/>
    <w:rsid w:val="0056137E"/>
    <w:rsid w:val="005644BE"/>
    <w:rsid w:val="0057524E"/>
    <w:rsid w:val="00575A55"/>
    <w:rsid w:val="00575A75"/>
    <w:rsid w:val="005831CA"/>
    <w:rsid w:val="00587D0E"/>
    <w:rsid w:val="00597D0C"/>
    <w:rsid w:val="005A2D3A"/>
    <w:rsid w:val="005A5999"/>
    <w:rsid w:val="005C25D5"/>
    <w:rsid w:val="005D0D0E"/>
    <w:rsid w:val="005D2518"/>
    <w:rsid w:val="005D449F"/>
    <w:rsid w:val="005D73BE"/>
    <w:rsid w:val="005E1C97"/>
    <w:rsid w:val="005E4A59"/>
    <w:rsid w:val="005E6515"/>
    <w:rsid w:val="005F3B7B"/>
    <w:rsid w:val="0060257F"/>
    <w:rsid w:val="00604B4E"/>
    <w:rsid w:val="00605989"/>
    <w:rsid w:val="00613713"/>
    <w:rsid w:val="006206CF"/>
    <w:rsid w:val="006224FB"/>
    <w:rsid w:val="0062643A"/>
    <w:rsid w:val="0063115F"/>
    <w:rsid w:val="006363DA"/>
    <w:rsid w:val="006417A7"/>
    <w:rsid w:val="006432C0"/>
    <w:rsid w:val="006456EA"/>
    <w:rsid w:val="00653983"/>
    <w:rsid w:val="006609C2"/>
    <w:rsid w:val="00675E89"/>
    <w:rsid w:val="00681D99"/>
    <w:rsid w:val="006862FF"/>
    <w:rsid w:val="0068744F"/>
    <w:rsid w:val="00695F46"/>
    <w:rsid w:val="006A225A"/>
    <w:rsid w:val="006A3C35"/>
    <w:rsid w:val="006A6D11"/>
    <w:rsid w:val="006B0033"/>
    <w:rsid w:val="006B2259"/>
    <w:rsid w:val="006B3ECE"/>
    <w:rsid w:val="006C5754"/>
    <w:rsid w:val="006C7D7B"/>
    <w:rsid w:val="006D6526"/>
    <w:rsid w:val="006D712E"/>
    <w:rsid w:val="006E2538"/>
    <w:rsid w:val="006E674D"/>
    <w:rsid w:val="006E6770"/>
    <w:rsid w:val="006F154A"/>
    <w:rsid w:val="0070363C"/>
    <w:rsid w:val="00712023"/>
    <w:rsid w:val="007144E9"/>
    <w:rsid w:val="00714A1F"/>
    <w:rsid w:val="00717328"/>
    <w:rsid w:val="0072073D"/>
    <w:rsid w:val="00720883"/>
    <w:rsid w:val="00727C84"/>
    <w:rsid w:val="00742C04"/>
    <w:rsid w:val="0074571D"/>
    <w:rsid w:val="00750A05"/>
    <w:rsid w:val="00761832"/>
    <w:rsid w:val="00771C92"/>
    <w:rsid w:val="00780DC2"/>
    <w:rsid w:val="00786DA4"/>
    <w:rsid w:val="00793057"/>
    <w:rsid w:val="007959C9"/>
    <w:rsid w:val="00797DA3"/>
    <w:rsid w:val="007A4844"/>
    <w:rsid w:val="007B33CE"/>
    <w:rsid w:val="007B4C7F"/>
    <w:rsid w:val="007B7B81"/>
    <w:rsid w:val="007C5441"/>
    <w:rsid w:val="007D1495"/>
    <w:rsid w:val="007D5A52"/>
    <w:rsid w:val="007D75C8"/>
    <w:rsid w:val="007E2C66"/>
    <w:rsid w:val="007F1021"/>
    <w:rsid w:val="007F2DBB"/>
    <w:rsid w:val="007F7E7C"/>
    <w:rsid w:val="00814CEF"/>
    <w:rsid w:val="00821A81"/>
    <w:rsid w:val="008245EC"/>
    <w:rsid w:val="00825F63"/>
    <w:rsid w:val="008268CF"/>
    <w:rsid w:val="008322D8"/>
    <w:rsid w:val="00833CC0"/>
    <w:rsid w:val="00851067"/>
    <w:rsid w:val="00856A7C"/>
    <w:rsid w:val="00857B28"/>
    <w:rsid w:val="00863F2D"/>
    <w:rsid w:val="00864461"/>
    <w:rsid w:val="008739E7"/>
    <w:rsid w:val="00874645"/>
    <w:rsid w:val="00881685"/>
    <w:rsid w:val="008844D9"/>
    <w:rsid w:val="00891C3A"/>
    <w:rsid w:val="00894C2A"/>
    <w:rsid w:val="008A3A3B"/>
    <w:rsid w:val="008A7188"/>
    <w:rsid w:val="008B33CF"/>
    <w:rsid w:val="008C3CA8"/>
    <w:rsid w:val="008D4023"/>
    <w:rsid w:val="008E678F"/>
    <w:rsid w:val="008F1C7E"/>
    <w:rsid w:val="008F2058"/>
    <w:rsid w:val="009064CE"/>
    <w:rsid w:val="00912233"/>
    <w:rsid w:val="00917410"/>
    <w:rsid w:val="009225DB"/>
    <w:rsid w:val="009264D0"/>
    <w:rsid w:val="0093360A"/>
    <w:rsid w:val="009358D3"/>
    <w:rsid w:val="00955433"/>
    <w:rsid w:val="00955764"/>
    <w:rsid w:val="00955C25"/>
    <w:rsid w:val="00957A6F"/>
    <w:rsid w:val="00962CFF"/>
    <w:rsid w:val="009649C2"/>
    <w:rsid w:val="00965A06"/>
    <w:rsid w:val="00965DEB"/>
    <w:rsid w:val="009738DE"/>
    <w:rsid w:val="00980BEB"/>
    <w:rsid w:val="00980D94"/>
    <w:rsid w:val="0098216D"/>
    <w:rsid w:val="00982F7B"/>
    <w:rsid w:val="009843D4"/>
    <w:rsid w:val="009862FC"/>
    <w:rsid w:val="0099076D"/>
    <w:rsid w:val="0099690F"/>
    <w:rsid w:val="00996D38"/>
    <w:rsid w:val="009A10C6"/>
    <w:rsid w:val="009B008F"/>
    <w:rsid w:val="009C3FDE"/>
    <w:rsid w:val="009E2BDD"/>
    <w:rsid w:val="009E36F5"/>
    <w:rsid w:val="009E6DF7"/>
    <w:rsid w:val="009F0449"/>
    <w:rsid w:val="009F28F5"/>
    <w:rsid w:val="00A07846"/>
    <w:rsid w:val="00A17CA6"/>
    <w:rsid w:val="00A22C2C"/>
    <w:rsid w:val="00A346EF"/>
    <w:rsid w:val="00A41948"/>
    <w:rsid w:val="00A42A98"/>
    <w:rsid w:val="00A47C46"/>
    <w:rsid w:val="00A54087"/>
    <w:rsid w:val="00A63939"/>
    <w:rsid w:val="00A65690"/>
    <w:rsid w:val="00A65FB0"/>
    <w:rsid w:val="00A66A23"/>
    <w:rsid w:val="00A743C6"/>
    <w:rsid w:val="00A74CB2"/>
    <w:rsid w:val="00A8148C"/>
    <w:rsid w:val="00A91DC1"/>
    <w:rsid w:val="00A9412B"/>
    <w:rsid w:val="00A9413F"/>
    <w:rsid w:val="00AB69AD"/>
    <w:rsid w:val="00AC696F"/>
    <w:rsid w:val="00AC6B15"/>
    <w:rsid w:val="00AD2569"/>
    <w:rsid w:val="00AD4124"/>
    <w:rsid w:val="00AD7D3A"/>
    <w:rsid w:val="00AE0761"/>
    <w:rsid w:val="00AE07A3"/>
    <w:rsid w:val="00AE0E7B"/>
    <w:rsid w:val="00AE2412"/>
    <w:rsid w:val="00AE2AC4"/>
    <w:rsid w:val="00AE318F"/>
    <w:rsid w:val="00AF0066"/>
    <w:rsid w:val="00AF237D"/>
    <w:rsid w:val="00AF27B7"/>
    <w:rsid w:val="00AF2F71"/>
    <w:rsid w:val="00B005BD"/>
    <w:rsid w:val="00B03444"/>
    <w:rsid w:val="00B04493"/>
    <w:rsid w:val="00B04F23"/>
    <w:rsid w:val="00B14C16"/>
    <w:rsid w:val="00B14E68"/>
    <w:rsid w:val="00B22BF2"/>
    <w:rsid w:val="00B23669"/>
    <w:rsid w:val="00B24860"/>
    <w:rsid w:val="00B46F77"/>
    <w:rsid w:val="00B56AFB"/>
    <w:rsid w:val="00B576A5"/>
    <w:rsid w:val="00B66324"/>
    <w:rsid w:val="00B71615"/>
    <w:rsid w:val="00B757B3"/>
    <w:rsid w:val="00B862DB"/>
    <w:rsid w:val="00B91CD6"/>
    <w:rsid w:val="00B922EE"/>
    <w:rsid w:val="00B9596E"/>
    <w:rsid w:val="00BA7136"/>
    <w:rsid w:val="00BB0F85"/>
    <w:rsid w:val="00BC0132"/>
    <w:rsid w:val="00BC0598"/>
    <w:rsid w:val="00BC42C0"/>
    <w:rsid w:val="00BD2784"/>
    <w:rsid w:val="00BD3228"/>
    <w:rsid w:val="00BE5653"/>
    <w:rsid w:val="00BF0CAB"/>
    <w:rsid w:val="00BF11C6"/>
    <w:rsid w:val="00BF4C68"/>
    <w:rsid w:val="00C11004"/>
    <w:rsid w:val="00C111FE"/>
    <w:rsid w:val="00C12CD4"/>
    <w:rsid w:val="00C1497F"/>
    <w:rsid w:val="00C20B9C"/>
    <w:rsid w:val="00C2509E"/>
    <w:rsid w:val="00C251B5"/>
    <w:rsid w:val="00C2778C"/>
    <w:rsid w:val="00C27F6A"/>
    <w:rsid w:val="00C35841"/>
    <w:rsid w:val="00C41C74"/>
    <w:rsid w:val="00C43C76"/>
    <w:rsid w:val="00C47F8B"/>
    <w:rsid w:val="00C50567"/>
    <w:rsid w:val="00C70089"/>
    <w:rsid w:val="00C72D8F"/>
    <w:rsid w:val="00C742DD"/>
    <w:rsid w:val="00C846F6"/>
    <w:rsid w:val="00C96048"/>
    <w:rsid w:val="00C96214"/>
    <w:rsid w:val="00C9797F"/>
    <w:rsid w:val="00CA1FB9"/>
    <w:rsid w:val="00CA73C1"/>
    <w:rsid w:val="00CA79D7"/>
    <w:rsid w:val="00CC40B9"/>
    <w:rsid w:val="00CD1783"/>
    <w:rsid w:val="00CD7E39"/>
    <w:rsid w:val="00CE2EFB"/>
    <w:rsid w:val="00CE5A10"/>
    <w:rsid w:val="00D02FD8"/>
    <w:rsid w:val="00D03F3B"/>
    <w:rsid w:val="00D10832"/>
    <w:rsid w:val="00D3104C"/>
    <w:rsid w:val="00D34158"/>
    <w:rsid w:val="00D42152"/>
    <w:rsid w:val="00D50FDD"/>
    <w:rsid w:val="00D53B8E"/>
    <w:rsid w:val="00D602AC"/>
    <w:rsid w:val="00D70824"/>
    <w:rsid w:val="00D7516B"/>
    <w:rsid w:val="00D760A9"/>
    <w:rsid w:val="00D76FF6"/>
    <w:rsid w:val="00D80BE8"/>
    <w:rsid w:val="00D925B8"/>
    <w:rsid w:val="00DA3B66"/>
    <w:rsid w:val="00DA4453"/>
    <w:rsid w:val="00DA6836"/>
    <w:rsid w:val="00DA733A"/>
    <w:rsid w:val="00DB2417"/>
    <w:rsid w:val="00DB3F9F"/>
    <w:rsid w:val="00DC05A3"/>
    <w:rsid w:val="00DC6A0C"/>
    <w:rsid w:val="00E03DB3"/>
    <w:rsid w:val="00E07769"/>
    <w:rsid w:val="00E1280F"/>
    <w:rsid w:val="00E13D6B"/>
    <w:rsid w:val="00E17B2C"/>
    <w:rsid w:val="00E27DEF"/>
    <w:rsid w:val="00E32743"/>
    <w:rsid w:val="00E342C7"/>
    <w:rsid w:val="00E354F6"/>
    <w:rsid w:val="00E4317C"/>
    <w:rsid w:val="00E56D2A"/>
    <w:rsid w:val="00E609C2"/>
    <w:rsid w:val="00E63703"/>
    <w:rsid w:val="00E64DDC"/>
    <w:rsid w:val="00E704C6"/>
    <w:rsid w:val="00E71B01"/>
    <w:rsid w:val="00E775AC"/>
    <w:rsid w:val="00E77B98"/>
    <w:rsid w:val="00E8471E"/>
    <w:rsid w:val="00E91E8C"/>
    <w:rsid w:val="00E942DA"/>
    <w:rsid w:val="00E94EF3"/>
    <w:rsid w:val="00E959E9"/>
    <w:rsid w:val="00E95E00"/>
    <w:rsid w:val="00E97167"/>
    <w:rsid w:val="00EB0C34"/>
    <w:rsid w:val="00EB1611"/>
    <w:rsid w:val="00EB468A"/>
    <w:rsid w:val="00EC3DC1"/>
    <w:rsid w:val="00EC6CC2"/>
    <w:rsid w:val="00ED039C"/>
    <w:rsid w:val="00ED1C27"/>
    <w:rsid w:val="00ED6DCA"/>
    <w:rsid w:val="00EF7BE7"/>
    <w:rsid w:val="00F05141"/>
    <w:rsid w:val="00F13CEB"/>
    <w:rsid w:val="00F167CB"/>
    <w:rsid w:val="00F2164E"/>
    <w:rsid w:val="00F240EB"/>
    <w:rsid w:val="00F315FE"/>
    <w:rsid w:val="00F31FE6"/>
    <w:rsid w:val="00F45BB8"/>
    <w:rsid w:val="00F479B2"/>
    <w:rsid w:val="00F53F80"/>
    <w:rsid w:val="00F5697E"/>
    <w:rsid w:val="00F673A2"/>
    <w:rsid w:val="00F72A3E"/>
    <w:rsid w:val="00F74B67"/>
    <w:rsid w:val="00F7577B"/>
    <w:rsid w:val="00F91726"/>
    <w:rsid w:val="00F925D8"/>
    <w:rsid w:val="00FB3B53"/>
    <w:rsid w:val="00FC1689"/>
    <w:rsid w:val="00FC69D9"/>
    <w:rsid w:val="00FD28C1"/>
    <w:rsid w:val="00FD7412"/>
    <w:rsid w:val="00FF05C5"/>
    <w:rsid w:val="00FF1703"/>
    <w:rsid w:val="00FF1EF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1E7C7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E7C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enabsatz">
    <w:name w:val="List Paragraph"/>
    <w:basedOn w:val="Standard"/>
    <w:uiPriority w:val="34"/>
    <w:qFormat/>
    <w:rsid w:val="00D7516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2D8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2D8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2D8F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261C34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6D71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resear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Katharina Koester</cp:lastModifiedBy>
  <cp:revision>2</cp:revision>
  <cp:lastPrinted>2019-05-13T13:17:00Z</cp:lastPrinted>
  <dcterms:created xsi:type="dcterms:W3CDTF">2024-02-14T15:46:00Z</dcterms:created>
  <dcterms:modified xsi:type="dcterms:W3CDTF">2024-02-14T15:46:00Z</dcterms:modified>
</cp:coreProperties>
</file>