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569A" w14:textId="77777777" w:rsidR="002D1159" w:rsidRDefault="002D1159" w:rsidP="00A81237">
      <w:pPr>
        <w:pStyle w:val="DachzeilePressemitteilung"/>
      </w:pPr>
      <w:r>
        <w:t>Pressemitteilung</w:t>
      </w:r>
    </w:p>
    <w:p w14:paraId="51CAB7F3" w14:textId="70C05A34" w:rsidR="00F20096" w:rsidRPr="00D23DA4" w:rsidRDefault="00DA4FC8" w:rsidP="00D23DA4">
      <w:pPr>
        <w:pStyle w:val="TitelPressemitteilung"/>
        <w:spacing w:line="360" w:lineRule="auto"/>
        <w:rPr>
          <w:sz w:val="40"/>
          <w:szCs w:val="48"/>
        </w:rPr>
      </w:pPr>
      <w:r w:rsidRPr="00DA4FC8">
        <w:rPr>
          <w:sz w:val="40"/>
          <w:szCs w:val="48"/>
        </w:rPr>
        <w:t xml:space="preserve">Wasserstoffhochlauf: </w:t>
      </w:r>
      <w:r w:rsidR="0032613C">
        <w:rPr>
          <w:sz w:val="40"/>
          <w:szCs w:val="48"/>
        </w:rPr>
        <w:t>Pragmatismus statt Überregulierung</w:t>
      </w:r>
      <w:r w:rsidRPr="00DA4FC8">
        <w:rPr>
          <w:sz w:val="40"/>
          <w:szCs w:val="48"/>
        </w:rPr>
        <w:t xml:space="preserve">– </w:t>
      </w:r>
      <w:r w:rsidR="0032613C">
        <w:rPr>
          <w:sz w:val="40"/>
          <w:szCs w:val="48"/>
        </w:rPr>
        <w:t>VDI legt Maßnahmenpakete vor</w:t>
      </w:r>
    </w:p>
    <w:p w14:paraId="2F2A8838" w14:textId="63826D4D" w:rsidR="001144D0" w:rsidRPr="0027690F" w:rsidRDefault="00220BFC" w:rsidP="001144D0">
      <w:pPr>
        <w:rPr>
          <w:b/>
          <w:bCs/>
        </w:rPr>
      </w:pPr>
      <w:r>
        <w:rPr>
          <w:noProof/>
        </w:rPr>
        <mc:AlternateContent>
          <mc:Choice Requires="wps">
            <w:drawing>
              <wp:anchor distT="0" distB="0" distL="114300" distR="114300" simplePos="0" relativeHeight="251663360" behindDoc="0" locked="0" layoutInCell="1" allowOverlap="1" wp14:anchorId="7CA827E6" wp14:editId="6875D74A">
                <wp:simplePos x="0" y="0"/>
                <wp:positionH relativeFrom="column">
                  <wp:posOffset>37465</wp:posOffset>
                </wp:positionH>
                <wp:positionV relativeFrom="paragraph">
                  <wp:posOffset>1720850</wp:posOffset>
                </wp:positionV>
                <wp:extent cx="2548890" cy="635"/>
                <wp:effectExtent l="0" t="0" r="0" b="0"/>
                <wp:wrapSquare wrapText="bothSides"/>
                <wp:docPr id="1334533436" name="Textfeld 1"/>
                <wp:cNvGraphicFramePr/>
                <a:graphic xmlns:a="http://schemas.openxmlformats.org/drawingml/2006/main">
                  <a:graphicData uri="http://schemas.microsoft.com/office/word/2010/wordprocessingShape">
                    <wps:wsp>
                      <wps:cNvSpPr txBox="1"/>
                      <wps:spPr>
                        <a:xfrm>
                          <a:off x="0" y="0"/>
                          <a:ext cx="2548890" cy="635"/>
                        </a:xfrm>
                        <a:prstGeom prst="rect">
                          <a:avLst/>
                        </a:prstGeom>
                        <a:solidFill>
                          <a:prstClr val="white"/>
                        </a:solidFill>
                        <a:ln>
                          <a:noFill/>
                        </a:ln>
                      </wps:spPr>
                      <wps:txbx>
                        <w:txbxContent>
                          <w:p w14:paraId="44782331" w14:textId="54B7C9C6" w:rsidR="00220BFC" w:rsidRPr="00FE1B3A" w:rsidRDefault="00220BFC" w:rsidP="00220BFC">
                            <w:pPr>
                              <w:pStyle w:val="Beschriftung"/>
                              <w:rPr>
                                <w:b/>
                                <w:bCs/>
                                <w:noProof/>
                                <w:color w:val="000C19" w:themeColor="text1"/>
                                <w:sz w:val="20"/>
                              </w:rPr>
                            </w:pPr>
                            <w:r w:rsidRPr="00153E62">
                              <w:t>Stillstand beim Wasserstoffhochlauf? VDI fordert Kurswechsel mit klaren Handlungsempfehlungen. Bild: Shapecharger via Gettyimages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CA827E6" id="_x0000_t202" coordsize="21600,21600" o:spt="202" path="m,l,21600r21600,l21600,xe">
                <v:stroke joinstyle="miter"/>
                <v:path gradientshapeok="t" o:connecttype="rect"/>
              </v:shapetype>
              <v:shape id="Textfeld 1" o:spid="_x0000_s1026" type="#_x0000_t202" style="position:absolute;margin-left:2.95pt;margin-top:135.5pt;width:200.7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" stroked="f">
                <v:textbox style="mso-fit-shape-to-text:t" inset="0,0,0,0">
                  <w:txbxContent>
                    <w:p w14:paraId="44782331" w14:textId="54B7C9C6" w:rsidR="00220BFC" w:rsidRPr="00FE1B3A" w:rsidRDefault="00220BFC" w:rsidP="00220BFC">
                      <w:pPr>
                        <w:pStyle w:val="Beschriftung"/>
                        <w:rPr>
                          <w:b/>
                          <w:bCs/>
                          <w:noProof/>
                          <w:color w:val="000C19" w:themeColor="text1"/>
                          <w:sz w:val="20"/>
                        </w:rPr>
                      </w:pPr>
                      <w:r w:rsidRPr="00153E62">
                        <w:t>Stillstand beim Wasserstoffhochlauf? VDI fordert Kurswechsel mit klaren Handlungsempfehlungen. Bild: Shapecharger via Gettyimages</w:t>
                      </w:r>
                    </w:p>
                  </w:txbxContent>
                </v:textbox>
                <w10:wrap type="square"/>
              </v:shape>
            </w:pict>
          </mc:Fallback>
        </mc:AlternateContent>
      </w:r>
      <w:r w:rsidR="0074631E" w:rsidRPr="0074631E">
        <w:rPr>
          <w:b/>
          <w:bCs/>
          <w:noProof/>
        </w:rPr>
        <w:drawing>
          <wp:anchor distT="0" distB="0" distL="114300" distR="114300" simplePos="0" relativeHeight="251658240" behindDoc="1" locked="0" layoutInCell="1" allowOverlap="0" wp14:anchorId="63AE42F2" wp14:editId="45912A02">
            <wp:simplePos x="0" y="0"/>
            <wp:positionH relativeFrom="column">
              <wp:posOffset>37465</wp:posOffset>
            </wp:positionH>
            <wp:positionV relativeFrom="paragraph">
              <wp:posOffset>69215</wp:posOffset>
            </wp:positionV>
            <wp:extent cx="2548890" cy="1594485"/>
            <wp:effectExtent l="0" t="0" r="3810"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48890" cy="1594485"/>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(Düsseldorf,</w:t>
      </w:r>
      <w:r w:rsidR="008C3D2C">
        <w:rPr>
          <w:b/>
          <w:bCs/>
        </w:rPr>
        <w:t xml:space="preserve"> 22</w:t>
      </w:r>
      <w:r w:rsidR="0074631E" w:rsidRPr="0074631E">
        <w:rPr>
          <w:b/>
          <w:bCs/>
        </w:rPr>
        <w:t>.0</w:t>
      </w:r>
      <w:r w:rsidR="008C3D2C">
        <w:rPr>
          <w:b/>
          <w:bCs/>
        </w:rPr>
        <w:t>4</w:t>
      </w:r>
      <w:r w:rsidR="0074631E" w:rsidRPr="0074631E">
        <w:rPr>
          <w:b/>
          <w:bCs/>
        </w:rPr>
        <w:t>.202</w:t>
      </w:r>
      <w:r w:rsidR="008C3D2C">
        <w:rPr>
          <w:b/>
          <w:bCs/>
        </w:rPr>
        <w:t>5</w:t>
      </w:r>
      <w:r w:rsidR="0074631E" w:rsidRPr="0074631E">
        <w:rPr>
          <w:b/>
          <w:bCs/>
        </w:rPr>
        <w:t xml:space="preserve">) </w:t>
      </w:r>
      <w:r w:rsidR="00783075" w:rsidRPr="0027690F">
        <w:rPr>
          <w:b/>
          <w:bCs/>
        </w:rPr>
        <w:t>Der VDI</w:t>
      </w:r>
      <w:r w:rsidR="001144D0" w:rsidRPr="0027690F">
        <w:rPr>
          <w:b/>
          <w:bCs/>
        </w:rPr>
        <w:t xml:space="preserve"> </w:t>
      </w:r>
      <w:r w:rsidR="00783075" w:rsidRPr="0027690F">
        <w:rPr>
          <w:b/>
          <w:bCs/>
        </w:rPr>
        <w:t>ruft die Bundesregierung auf, den im Koalitionsvertrag fest verankerten Wasserstoffhochlauf zügig mit konkreten Maßnahmen</w:t>
      </w:r>
      <w:r w:rsidR="0027690F">
        <w:rPr>
          <w:b/>
          <w:bCs/>
        </w:rPr>
        <w:t xml:space="preserve"> anzustoßen.</w:t>
      </w:r>
      <w:r w:rsidR="00783075" w:rsidRPr="0027690F">
        <w:rPr>
          <w:b/>
          <w:bCs/>
        </w:rPr>
        <w:t xml:space="preserve"> </w:t>
      </w:r>
      <w:r w:rsidR="001144D0" w:rsidRPr="0027690F">
        <w:rPr>
          <w:b/>
          <w:bCs/>
        </w:rPr>
        <w:t xml:space="preserve">Dazu präsentiert der Verein </w:t>
      </w:r>
      <w:r w:rsidR="00DA103C">
        <w:rPr>
          <w:b/>
          <w:bCs/>
        </w:rPr>
        <w:t xml:space="preserve">zwei Maßnahmenpakete und konkrete Handlungsempfehlungen. </w:t>
      </w:r>
    </w:p>
    <w:p w14:paraId="7D50E753" w14:textId="77777777" w:rsidR="001144D0" w:rsidRDefault="001144D0" w:rsidP="00783075">
      <w:pPr>
        <w:pStyle w:val="EinfAbs"/>
      </w:pPr>
    </w:p>
    <w:p w14:paraId="607776BD" w14:textId="69B77B4A" w:rsidR="00A35BEB" w:rsidRDefault="00783075" w:rsidP="00A72003">
      <w:pPr>
        <w:pStyle w:val="EinfAbs"/>
      </w:pPr>
      <w:r w:rsidRPr="00783075">
        <w:t xml:space="preserve">Trotz klar formulierter Ziele zur Förderung von grünem Wasserstoff </w:t>
      </w:r>
      <w:r w:rsidR="00A72003">
        <w:t xml:space="preserve">der Bundesregierung </w:t>
      </w:r>
      <w:r w:rsidRPr="00783075">
        <w:t xml:space="preserve">sei in der Praxis bislang zu wenig passiert, so das Fazit beim heutigen Pressegespräch </w:t>
      </w:r>
      <w:r w:rsidR="006016E6">
        <w:t>im Rahmen der</w:t>
      </w:r>
      <w:r w:rsidRPr="00783075">
        <w:t xml:space="preserve"> </w:t>
      </w:r>
      <w:r w:rsidR="000D7B60">
        <w:t>VDI-</w:t>
      </w:r>
      <w:r w:rsidRPr="00783075">
        <w:t xml:space="preserve">Initiative </w:t>
      </w:r>
      <w:hyperlink r:id="rId12" w:history="1">
        <w:r w:rsidRPr="00783075">
          <w:rPr>
            <w:rStyle w:val="Hyperlink"/>
          </w:rPr>
          <w:t>„Zukunft Deutschland 2050“</w:t>
        </w:r>
      </w:hyperlink>
      <w:r w:rsidRPr="00783075">
        <w:t>.</w:t>
      </w:r>
      <w:r w:rsidR="00A72003">
        <w:t xml:space="preserve"> „In erster Linie liegt das an fehlendem Pragmatismus und einer Überregulierung beim Einsatz von Wasserstoff“, so VDI-Direktor Adrian Willig. </w:t>
      </w:r>
      <w:r w:rsidRPr="00783075">
        <w:t xml:space="preserve">„Der Koalitionsvertrag </w:t>
      </w:r>
      <w:r w:rsidR="00A35BEB">
        <w:t xml:space="preserve">beinhaltet </w:t>
      </w:r>
      <w:r w:rsidR="00A72003">
        <w:t xml:space="preserve">zwar </w:t>
      </w:r>
      <w:r w:rsidR="00A35BEB">
        <w:t>einige positive Signale</w:t>
      </w:r>
      <w:r w:rsidRPr="00783075">
        <w:t xml:space="preserve"> – </w:t>
      </w:r>
      <w:r w:rsidR="00A35BEB" w:rsidRPr="00A35BEB">
        <w:t xml:space="preserve">darunter schnellere Genehmigungsverfahren </w:t>
      </w:r>
      <w:r w:rsidR="00A72003" w:rsidRPr="00783075">
        <w:t>–</w:t>
      </w:r>
      <w:r w:rsidR="00A72003">
        <w:t xml:space="preserve"> dennoch ist</w:t>
      </w:r>
      <w:r w:rsidR="00A35BEB">
        <w:t xml:space="preserve"> vieles noch zu unkonkret</w:t>
      </w:r>
      <w:r w:rsidR="00A72003">
        <w:t xml:space="preserve">. Zum Beispiel </w:t>
      </w:r>
      <w:r w:rsidR="00A35BEB">
        <w:t xml:space="preserve">die </w:t>
      </w:r>
      <w:r w:rsidR="00A35BEB" w:rsidRPr="00A35BEB">
        <w:t>weitere Förderung von Wasserstoffnutzung und Erzeugung durch die Reduktion der Abgabenlast.</w:t>
      </w:r>
      <w:r w:rsidR="00A72003">
        <w:t>“</w:t>
      </w:r>
    </w:p>
    <w:p w14:paraId="27E26EDD" w14:textId="77777777" w:rsidR="00A72003" w:rsidRDefault="00A72003" w:rsidP="00A72003">
      <w:pPr>
        <w:pStyle w:val="EinfAbs"/>
      </w:pPr>
    </w:p>
    <w:p w14:paraId="26D634BE" w14:textId="68A7B4AF" w:rsidR="00BB6C42" w:rsidRDefault="00A72003" w:rsidP="00A72003">
      <w:pPr>
        <w:pStyle w:val="EinfAbs"/>
      </w:pPr>
      <w:r>
        <w:t>Prof. Michael Sterner, VDI-Wasserstoffexperte</w:t>
      </w:r>
      <w:r w:rsidR="008164C6">
        <w:t xml:space="preserve"> und Professor an der OTH Regensburg</w:t>
      </w:r>
      <w:r>
        <w:t xml:space="preserve">, bekräftigt: </w:t>
      </w:r>
      <w:r w:rsidR="00783075" w:rsidRPr="00783075">
        <w:t>„</w:t>
      </w:r>
      <w:r w:rsidR="00300ACB">
        <w:t>Die</w:t>
      </w:r>
      <w:r w:rsidR="00BB6C42">
        <w:t xml:space="preserve"> Champagnerdiskussion rund um den Einsatz von Wasserstoff</w:t>
      </w:r>
      <w:r w:rsidR="00300ACB">
        <w:t xml:space="preserve"> führt nicht ins Klimaziel</w:t>
      </w:r>
      <w:r w:rsidR="00BB6C42">
        <w:t xml:space="preserve">. </w:t>
      </w:r>
      <w:r w:rsidR="00300ACB">
        <w:t>Wenn wir weiterhin die Hürden so hoch stecken, das keiner springt, kommen wir nicht voran</w:t>
      </w:r>
      <w:r w:rsidR="00BB6C42">
        <w:t xml:space="preserve">. Wenn wir das vor </w:t>
      </w:r>
      <w:r w:rsidR="008164C6">
        <w:t>25</w:t>
      </w:r>
      <w:r w:rsidR="00BB6C42">
        <w:t xml:space="preserve"> Jahren beim EEG so gehandhabt hätten, </w:t>
      </w:r>
      <w:r w:rsidR="00300ACB">
        <w:t xml:space="preserve">gäbe es die Photovoltaik in dieser Form heute nicht: es </w:t>
      </w:r>
      <w:r w:rsidR="00BB6C42">
        <w:t xml:space="preserve">wäre alles im Keim erstickt worden.“ </w:t>
      </w:r>
    </w:p>
    <w:p w14:paraId="06986FF0" w14:textId="77777777" w:rsidR="00BB6C42" w:rsidRDefault="00BB6C42" w:rsidP="00A72003">
      <w:pPr>
        <w:pStyle w:val="EinfAbs"/>
      </w:pPr>
    </w:p>
    <w:p w14:paraId="5181B29F" w14:textId="687F0181" w:rsidR="00453642" w:rsidRDefault="00783075" w:rsidP="00A72003">
      <w:pPr>
        <w:pStyle w:val="EinfAbs"/>
      </w:pPr>
      <w:r w:rsidRPr="00783075">
        <w:t>Der VDI liefert mit seinen</w:t>
      </w:r>
      <w:r w:rsidR="00B64DA2">
        <w:t xml:space="preserve"> Handlungsempfehlungen und</w:t>
      </w:r>
      <w:r w:rsidRPr="00783075">
        <w:t xml:space="preserve"> Maßnahmenpaketen fundierte, praxisnahe Vorschläge für einen beschleunigten Wasserstoffhochlauf.</w:t>
      </w:r>
      <w:r w:rsidR="002E7491">
        <w:t xml:space="preserve"> Die Maßnahmen adressieren</w:t>
      </w:r>
      <w:r w:rsidR="002E7491" w:rsidRPr="0093561D">
        <w:t xml:space="preserve"> sowohl das Mengen- als auch das Erlösrisiko</w:t>
      </w:r>
      <w:r w:rsidR="002E7491">
        <w:t xml:space="preserve"> innerhalb des Wasserstoffhochlaufs. </w:t>
      </w:r>
    </w:p>
    <w:p w14:paraId="50994215" w14:textId="77777777" w:rsidR="00ED028C" w:rsidRDefault="00ED028C" w:rsidP="00A72003">
      <w:pPr>
        <w:pStyle w:val="EinfAbs"/>
      </w:pPr>
    </w:p>
    <w:p w14:paraId="2016BA7A" w14:textId="1E49C1B5" w:rsidR="00453642" w:rsidRPr="00482C8F" w:rsidRDefault="00453642" w:rsidP="00453642">
      <w:pPr>
        <w:pStyle w:val="EinfAbs"/>
        <w:rPr>
          <w:rFonts w:cs="Rajdhani"/>
          <w:b/>
          <w:bCs/>
          <w:color w:val="80C3F2" w:themeColor="accent4"/>
          <w:spacing w:val="13"/>
          <w:sz w:val="28"/>
          <w:szCs w:val="40"/>
        </w:rPr>
      </w:pPr>
      <w:r w:rsidRPr="00482C8F">
        <w:rPr>
          <w:rFonts w:cs="Rajdhani"/>
          <w:b/>
          <w:bCs/>
          <w:color w:val="80C3F2" w:themeColor="accent4"/>
          <w:spacing w:val="13"/>
          <w:sz w:val="28"/>
          <w:szCs w:val="40"/>
        </w:rPr>
        <w:lastRenderedPageBreak/>
        <w:t xml:space="preserve">Henne-Ei-Problem </w:t>
      </w:r>
      <w:r w:rsidR="00BB6C42">
        <w:rPr>
          <w:rFonts w:cs="Rajdhani"/>
          <w:b/>
          <w:bCs/>
          <w:color w:val="80C3F2" w:themeColor="accent4"/>
          <w:spacing w:val="13"/>
          <w:sz w:val="28"/>
          <w:szCs w:val="40"/>
        </w:rPr>
        <w:t>beim Hochlauf</w:t>
      </w:r>
    </w:p>
    <w:p w14:paraId="6ADC4A2E" w14:textId="77777777" w:rsidR="00453642" w:rsidRDefault="00453642" w:rsidP="00A72003">
      <w:pPr>
        <w:pStyle w:val="EinfAbs"/>
      </w:pPr>
    </w:p>
    <w:p w14:paraId="1EBF7C61" w14:textId="2F798153" w:rsidR="00995A1B" w:rsidRDefault="00453642" w:rsidP="00453642">
      <w:pPr>
        <w:pStyle w:val="EinfAbs"/>
        <w:spacing w:line="240" w:lineRule="auto"/>
      </w:pPr>
      <w:r w:rsidRPr="00783075">
        <w:t>Sterner</w:t>
      </w:r>
      <w:r>
        <w:t xml:space="preserve"> erläutert die Hemmnisse der Investitionen</w:t>
      </w:r>
      <w:r w:rsidRPr="00783075">
        <w:t xml:space="preserve">: </w:t>
      </w:r>
      <w:r>
        <w:t>„</w:t>
      </w:r>
      <w:r w:rsidRPr="00A61265">
        <w:t xml:space="preserve">Der Hochlauf einer Wasserstoffwirtschaft scheitert aktuell am Henne-Ei-Problem: Sowohl potenzielle Erzeuger als auch Anwender von grünem Wasserstoff </w:t>
      </w:r>
      <w:r w:rsidR="008164C6">
        <w:t xml:space="preserve">und seiner Derivate </w:t>
      </w:r>
      <w:r w:rsidRPr="00A61265">
        <w:t>werden mit substanziellen Abnahme- bzw. Versorgungsrisiken sowie hohen Erlösrisiken konfrontiert.</w:t>
      </w:r>
      <w:r w:rsidR="00391C75">
        <w:t>“ VDI-Direktor Adrian Willig bekräftigt: „</w:t>
      </w:r>
      <w:r w:rsidRPr="00A61265">
        <w:t>Es braucht jetzt eine koordinierte politische Unterstützung, die beide Risiken gezielt adressiert – und das über 2030 hinaus.“</w:t>
      </w:r>
    </w:p>
    <w:p w14:paraId="1833FE2F" w14:textId="77777777" w:rsidR="00453642" w:rsidRPr="00453642" w:rsidRDefault="00453642" w:rsidP="00453642">
      <w:pPr>
        <w:pStyle w:val="EinfAbs"/>
        <w:spacing w:line="240" w:lineRule="auto"/>
      </w:pPr>
    </w:p>
    <w:p w14:paraId="36FCC0DD" w14:textId="5904C1A7" w:rsidR="009F7ACE" w:rsidRPr="00783075" w:rsidRDefault="00453642" w:rsidP="00783075">
      <w:pPr>
        <w:pStyle w:val="EinfAbs"/>
        <w:rPr>
          <w:rFonts w:cs="Rajdhani"/>
          <w:b/>
          <w:bCs/>
          <w:color w:val="80C3F2" w:themeColor="accent4"/>
          <w:spacing w:val="13"/>
          <w:sz w:val="28"/>
          <w:szCs w:val="40"/>
        </w:rPr>
      </w:pPr>
      <w:r>
        <w:rPr>
          <w:rFonts w:cs="Rajdhani"/>
          <w:b/>
          <w:bCs/>
          <w:color w:val="80C3F2" w:themeColor="accent4"/>
          <w:spacing w:val="13"/>
          <w:sz w:val="28"/>
          <w:szCs w:val="40"/>
        </w:rPr>
        <w:t>VDI-</w:t>
      </w:r>
      <w:r w:rsidR="009F7ACE" w:rsidRPr="009F7ACE">
        <w:rPr>
          <w:rFonts w:cs="Rajdhani"/>
          <w:b/>
          <w:bCs/>
          <w:color w:val="80C3F2" w:themeColor="accent4"/>
          <w:spacing w:val="13"/>
          <w:sz w:val="28"/>
          <w:szCs w:val="40"/>
        </w:rPr>
        <w:t>Maßnahmenpakete für Politik und Wirtschaft</w:t>
      </w:r>
    </w:p>
    <w:p w14:paraId="0CE6FE0A" w14:textId="77777777" w:rsidR="009F7ACE" w:rsidRDefault="009F7ACE" w:rsidP="00783075">
      <w:pPr>
        <w:pStyle w:val="EinfAbs"/>
      </w:pPr>
    </w:p>
    <w:p w14:paraId="77233261" w14:textId="7F96C274" w:rsidR="002B0CF1" w:rsidRDefault="0093561D" w:rsidP="005F01E4">
      <w:pPr>
        <w:spacing w:line="240" w:lineRule="auto"/>
        <w:rPr>
          <w:rFonts w:cs="Nunito Sans Light"/>
          <w:color w:val="000000"/>
          <w:spacing w:val="7"/>
          <w:szCs w:val="20"/>
        </w:rPr>
      </w:pPr>
      <w:r w:rsidRPr="00E37E9E">
        <w:rPr>
          <w:szCs w:val="20"/>
        </w:rPr>
        <w:t xml:space="preserve">Im </w:t>
      </w:r>
      <w:r w:rsidR="00A32BA7" w:rsidRPr="00E37E9E">
        <w:rPr>
          <w:szCs w:val="20"/>
        </w:rPr>
        <w:t xml:space="preserve"> Rahmen der VDI-Initiative </w:t>
      </w:r>
      <w:r w:rsidRPr="00E37E9E">
        <w:rPr>
          <w:szCs w:val="20"/>
        </w:rPr>
        <w:t>ist ein</w:t>
      </w:r>
      <w:r w:rsidR="00783075" w:rsidRPr="00E37E9E">
        <w:rPr>
          <w:szCs w:val="20"/>
        </w:rPr>
        <w:t xml:space="preserve"> </w:t>
      </w:r>
      <w:hyperlink r:id="rId13" w:history="1">
        <w:r w:rsidR="00783075" w:rsidRPr="00E37E9E">
          <w:rPr>
            <w:rStyle w:val="Hyperlink"/>
            <w:szCs w:val="20"/>
          </w:rPr>
          <w:t>Zukunftsdialog Wasserstoff</w:t>
        </w:r>
      </w:hyperlink>
      <w:r w:rsidR="00783075" w:rsidRPr="00E37E9E">
        <w:rPr>
          <w:szCs w:val="20"/>
        </w:rPr>
        <w:t xml:space="preserve"> </w:t>
      </w:r>
      <w:r w:rsidRPr="00E37E9E">
        <w:rPr>
          <w:szCs w:val="20"/>
        </w:rPr>
        <w:t>mit namh</w:t>
      </w:r>
      <w:r w:rsidRPr="00E37E9E">
        <w:rPr>
          <w:rFonts w:cs="Nunito Sans Light"/>
          <w:color w:val="000000"/>
          <w:spacing w:val="7"/>
          <w:szCs w:val="20"/>
        </w:rPr>
        <w:t>aften</w:t>
      </w:r>
      <w:r w:rsidR="00783075" w:rsidRPr="00E37E9E">
        <w:rPr>
          <w:rFonts w:cs="Nunito Sans Light"/>
          <w:color w:val="000000"/>
          <w:spacing w:val="7"/>
          <w:szCs w:val="20"/>
        </w:rPr>
        <w:t xml:space="preserve"> Experten</w:t>
      </w:r>
      <w:r w:rsidRPr="00E37E9E">
        <w:rPr>
          <w:rFonts w:cs="Nunito Sans Light"/>
          <w:color w:val="000000"/>
          <w:spacing w:val="7"/>
          <w:szCs w:val="20"/>
        </w:rPr>
        <w:t xml:space="preserve"> </w:t>
      </w:r>
      <w:r w:rsidR="00E37E9E" w:rsidRPr="00E37E9E">
        <w:rPr>
          <w:rFonts w:cs="Nunito Sans Light"/>
          <w:color w:val="000000"/>
          <w:spacing w:val="7"/>
          <w:szCs w:val="20"/>
        </w:rPr>
        <w:t xml:space="preserve">und Expertinnen </w:t>
      </w:r>
      <w:r w:rsidRPr="00E37E9E">
        <w:rPr>
          <w:rFonts w:cs="Nunito Sans Light"/>
          <w:color w:val="000000"/>
          <w:spacing w:val="7"/>
          <w:szCs w:val="20"/>
        </w:rPr>
        <w:t xml:space="preserve">entstanden. </w:t>
      </w:r>
      <w:r w:rsidR="00E37E9E" w:rsidRPr="00E37E9E">
        <w:rPr>
          <w:rFonts w:cs="Nunito Sans Light"/>
          <w:color w:val="000000"/>
          <w:spacing w:val="7"/>
          <w:szCs w:val="20"/>
        </w:rPr>
        <w:t xml:space="preserve">Vorsitzender des Dialogs ist Prof. Michael Sterner, </w:t>
      </w:r>
      <w:r w:rsidR="00E37E9E" w:rsidRPr="00E37E9E">
        <w:rPr>
          <w:szCs w:val="20"/>
        </w:rPr>
        <w:t>Mitglied im Nationalen Wasserstoffrat der Bundesregierung</w:t>
      </w:r>
      <w:r w:rsidR="00E37E9E" w:rsidRPr="002B0CF1">
        <w:rPr>
          <w:szCs w:val="20"/>
        </w:rPr>
        <w:t xml:space="preserve">. </w:t>
      </w:r>
      <w:r w:rsidR="0055397F">
        <w:rPr>
          <w:szCs w:val="20"/>
        </w:rPr>
        <w:t xml:space="preserve">Stakeholder </w:t>
      </w:r>
      <w:r w:rsidR="002B0CF1" w:rsidRPr="002B0CF1">
        <w:rPr>
          <w:szCs w:val="20"/>
        </w:rPr>
        <w:t xml:space="preserve">über die gesamte Wertschöpfungskette hinweg </w:t>
      </w:r>
      <w:r w:rsidR="0055397F">
        <w:rPr>
          <w:szCs w:val="20"/>
        </w:rPr>
        <w:t xml:space="preserve">wurden </w:t>
      </w:r>
      <w:r w:rsidR="002B0CF1" w:rsidRPr="002B0CF1">
        <w:rPr>
          <w:szCs w:val="20"/>
        </w:rPr>
        <w:t>an einen Tisch gebracht</w:t>
      </w:r>
      <w:r w:rsidR="0055397F">
        <w:rPr>
          <w:szCs w:val="20"/>
        </w:rPr>
        <w:t xml:space="preserve"> – darunter Vertreter aus Behörden, Infrastruktur, Anwendung und Erzeugung.</w:t>
      </w:r>
    </w:p>
    <w:p w14:paraId="5B633170" w14:textId="77777777" w:rsidR="002B0CF1" w:rsidRDefault="002B0CF1" w:rsidP="00E37E9E">
      <w:pPr>
        <w:spacing w:line="240" w:lineRule="auto"/>
        <w:rPr>
          <w:rFonts w:cs="Nunito Sans Light"/>
          <w:color w:val="000000"/>
          <w:spacing w:val="7"/>
          <w:szCs w:val="20"/>
        </w:rPr>
      </w:pPr>
    </w:p>
    <w:p w14:paraId="68EAB598" w14:textId="3D0349DF" w:rsidR="00E37E9E" w:rsidRDefault="00D21DC3" w:rsidP="00783075">
      <w:pPr>
        <w:pStyle w:val="EinfAbs"/>
      </w:pPr>
      <w:r w:rsidRPr="00D21DC3">
        <w:rPr>
          <w:szCs w:val="20"/>
        </w:rPr>
        <w:t xml:space="preserve">Das </w:t>
      </w:r>
      <w:r w:rsidRPr="00D21DC3">
        <w:rPr>
          <w:b/>
          <w:bCs/>
          <w:szCs w:val="20"/>
        </w:rPr>
        <w:t>erste Maßnahmenpaket</w:t>
      </w:r>
      <w:r w:rsidRPr="00D21DC3">
        <w:rPr>
          <w:szCs w:val="20"/>
        </w:rPr>
        <w:t xml:space="preserve"> zielt darauf ab, die Erzeugung von grünem Wasserstoff zu fördern und ihn wettbewerbsfähig gegenüber fossilen Energieträgern zu machen. Derzeit stammen </w:t>
      </w:r>
      <w:r>
        <w:rPr>
          <w:szCs w:val="20"/>
        </w:rPr>
        <w:t xml:space="preserve">laut Energieversorgungsunternehmen </w:t>
      </w:r>
      <w:r w:rsidRPr="00D21DC3">
        <w:rPr>
          <w:szCs w:val="20"/>
        </w:rPr>
        <w:t xml:space="preserve">nur rund 5 % des in Deutschland produzierten Wasserstoffs aus erneuerbaren Quellen. Das </w:t>
      </w:r>
      <w:r w:rsidRPr="00D21DC3">
        <w:rPr>
          <w:b/>
          <w:bCs/>
          <w:szCs w:val="20"/>
        </w:rPr>
        <w:t>zweite Paket</w:t>
      </w:r>
      <w:r w:rsidRPr="00D21DC3">
        <w:rPr>
          <w:szCs w:val="20"/>
        </w:rPr>
        <w:t xml:space="preserve"> stärkt die industrielle Nachfrage, etwa durch den Aufbau eines Handels mit grünem Wasserstoff.</w:t>
      </w:r>
    </w:p>
    <w:p w14:paraId="5AB4C4D4" w14:textId="77777777" w:rsidR="00D21DC3" w:rsidRDefault="00D21DC3" w:rsidP="00783075">
      <w:pPr>
        <w:pStyle w:val="EinfAbs"/>
      </w:pPr>
    </w:p>
    <w:p w14:paraId="6A615ADB" w14:textId="2FEE0EA6" w:rsidR="00783075" w:rsidRDefault="002E7491" w:rsidP="00783075">
      <w:pPr>
        <w:pStyle w:val="EinfAbs"/>
      </w:pPr>
      <w:r>
        <w:t xml:space="preserve">Zu den </w:t>
      </w:r>
      <w:r w:rsidR="002B0CF1">
        <w:t xml:space="preserve">weiteren </w:t>
      </w:r>
      <w:r>
        <w:t xml:space="preserve">Ergebnissen zählen </w:t>
      </w:r>
      <w:r w:rsidR="0093561D" w:rsidRPr="0093561D">
        <w:t>28 Einzelmaßnahmen in Form von Steckbriefen</w:t>
      </w:r>
      <w:r>
        <w:t>.</w:t>
      </w:r>
      <w:r w:rsidR="0093561D" w:rsidRPr="0093561D">
        <w:t xml:space="preserve"> </w:t>
      </w:r>
      <w:r w:rsidR="00783075" w:rsidRPr="00783075">
        <w:t>Die Empfehlungen reichen von Steuervergünstigungen über gezielte Förderinstrumente wie Differenzkostenmodelle bis hin zu einer Weiterentwicklung der THG-Quote und Grüngasquote.</w:t>
      </w:r>
      <w:r w:rsidR="00995A1B">
        <w:t xml:space="preserve"> </w:t>
      </w:r>
      <w:hyperlink r:id="rId14" w:history="1">
        <w:r w:rsidR="00995A1B" w:rsidRPr="00995A1B">
          <w:rPr>
            <w:rStyle w:val="Hyperlink"/>
          </w:rPr>
          <w:t xml:space="preserve">Die </w:t>
        </w:r>
        <w:r w:rsidR="00144DD4">
          <w:rPr>
            <w:rStyle w:val="Hyperlink"/>
          </w:rPr>
          <w:t xml:space="preserve">gesamte </w:t>
        </w:r>
        <w:r w:rsidR="00995A1B" w:rsidRPr="00995A1B">
          <w:rPr>
            <w:rStyle w:val="Hyperlink"/>
          </w:rPr>
          <w:t>Publikation kann hier eingesehen werden</w:t>
        </w:r>
      </w:hyperlink>
      <w:r w:rsidR="00995A1B">
        <w:t>.</w:t>
      </w:r>
    </w:p>
    <w:p w14:paraId="68A1BC5F" w14:textId="77777777" w:rsidR="00995A1B" w:rsidRPr="00783075" w:rsidRDefault="00995A1B" w:rsidP="00783075">
      <w:pPr>
        <w:pStyle w:val="EinfAbs"/>
      </w:pPr>
    </w:p>
    <w:p w14:paraId="6E9AFAE9" w14:textId="595072C1" w:rsidR="00482C8F" w:rsidRDefault="00783075" w:rsidP="00783075">
      <w:pPr>
        <w:pStyle w:val="EinfAbs"/>
      </w:pPr>
      <w:r w:rsidRPr="00783075">
        <w:t xml:space="preserve">Grüner Wasserstoff ist </w:t>
      </w:r>
      <w:r w:rsidR="00F67A63">
        <w:t xml:space="preserve">laut dem Expertengremium </w:t>
      </w:r>
      <w:r w:rsidRPr="00783075">
        <w:t>ein Schlüssel zur Defossilisierung der Industrie</w:t>
      </w:r>
      <w:r w:rsidR="00F67A63">
        <w:t xml:space="preserve">. </w:t>
      </w:r>
      <w:r w:rsidR="0079631F" w:rsidRPr="0079631F">
        <w:t xml:space="preserve">Zudem benötigten schwer elektrifizierbare Prozesse – etwa in der Luft- und Schifffahrt sowie im Schwerlastverkehr – Wasserstoff </w:t>
      </w:r>
      <w:r w:rsidR="008164C6">
        <w:t xml:space="preserve">und synthetische Kraftstoffe </w:t>
      </w:r>
      <w:r w:rsidR="0079631F" w:rsidRPr="0079631F">
        <w:t xml:space="preserve">als klimaneutrale Alternative. Für die saisonale Speicherung erneuerbarer Energien – Stichwort „Dunkelflaute“ – sei Wasserstoff </w:t>
      </w:r>
      <w:r w:rsidR="008164C6">
        <w:t xml:space="preserve">und Power-to-X </w:t>
      </w:r>
      <w:r w:rsidR="0079631F" w:rsidRPr="0079631F">
        <w:t>ebenfalls unerlässlich.</w:t>
      </w:r>
    </w:p>
    <w:p w14:paraId="2B810BBB" w14:textId="77777777" w:rsidR="00C9291A" w:rsidRDefault="00C9291A" w:rsidP="00783075">
      <w:pPr>
        <w:pStyle w:val="EinfAbs"/>
      </w:pPr>
    </w:p>
    <w:p w14:paraId="2121755F" w14:textId="5304822F" w:rsidR="00C9291A" w:rsidRDefault="00F67A63" w:rsidP="00783075">
      <w:pPr>
        <w:pStyle w:val="EinfAbs"/>
      </w:pPr>
      <w:r>
        <w:rPr>
          <w:rFonts w:cs="Rajdhani"/>
          <w:b/>
          <w:bCs/>
          <w:color w:val="80C3F2" w:themeColor="accent4"/>
          <w:spacing w:val="13"/>
          <w:sz w:val="28"/>
          <w:szCs w:val="40"/>
        </w:rPr>
        <w:t>Planungssicherheit und wettbewerbsfähige Preise</w:t>
      </w:r>
    </w:p>
    <w:p w14:paraId="37B5878B" w14:textId="77777777" w:rsidR="00C9291A" w:rsidRDefault="00C9291A" w:rsidP="00783075">
      <w:pPr>
        <w:pStyle w:val="EinfAbs"/>
      </w:pPr>
    </w:p>
    <w:p w14:paraId="2B3AF2DD" w14:textId="038B77C4" w:rsidR="00C9291A" w:rsidRPr="00783075" w:rsidRDefault="00C9291A" w:rsidP="00783075">
      <w:pPr>
        <w:pStyle w:val="EinfAbs"/>
      </w:pPr>
      <w:r>
        <w:t>Wettbewerbsfähige Preise und Planungssicherheit für industrielle Unternehmen bilden nach dem Energieexperten Sterner die Basis. „</w:t>
      </w:r>
      <w:r w:rsidR="00F67A63">
        <w:t xml:space="preserve">Preis- und Abnahmegarantien helfen dem </w:t>
      </w:r>
      <w:r w:rsidR="00F67A63">
        <w:lastRenderedPageBreak/>
        <w:t>Hochlauf.</w:t>
      </w:r>
      <w:r w:rsidR="0067745B">
        <w:t xml:space="preserve"> </w:t>
      </w:r>
      <w:r w:rsidR="0067745B" w:rsidRPr="0067745B">
        <w:t>Nur wenn Unternehmen verlässlich mit Wasserstoff planen können, investieren sie in die nötige Infrastruktur und Technologien</w:t>
      </w:r>
      <w:r w:rsidR="0067745B">
        <w:t>.“</w:t>
      </w:r>
      <w:r w:rsidR="001248C8">
        <w:t xml:space="preserve"> </w:t>
      </w:r>
    </w:p>
    <w:p w14:paraId="07FCB8B1" w14:textId="77777777" w:rsidR="00BC0FE3" w:rsidRDefault="00BC0FE3" w:rsidP="002D61E4">
      <w:pPr>
        <w:pStyle w:val="EinfAbs"/>
        <w:spacing w:line="240" w:lineRule="auto"/>
      </w:pPr>
    </w:p>
    <w:p w14:paraId="6A7F5306" w14:textId="559248BC" w:rsidR="00A049EE" w:rsidRPr="002D61E4" w:rsidRDefault="00D0662A" w:rsidP="002D61E4">
      <w:pPr>
        <w:spacing w:line="240" w:lineRule="auto"/>
        <w:rPr>
          <w:rFonts w:cs="Nunito Sans Light"/>
          <w:color w:val="000000"/>
          <w:spacing w:val="7"/>
          <w:szCs w:val="18"/>
        </w:rPr>
      </w:pPr>
      <w:r w:rsidRPr="002D61E4">
        <w:rPr>
          <w:rFonts w:cs="Nunito Sans Light"/>
          <w:color w:val="000000"/>
          <w:spacing w:val="7"/>
          <w:szCs w:val="18"/>
        </w:rPr>
        <w:t>Der VDI ruft Politik</w:t>
      </w:r>
      <w:r w:rsidR="003538C3">
        <w:rPr>
          <w:rFonts w:cs="Nunito Sans Light"/>
          <w:color w:val="000000"/>
          <w:spacing w:val="7"/>
          <w:szCs w:val="18"/>
        </w:rPr>
        <w:t xml:space="preserve"> und Wirtschaft </w:t>
      </w:r>
      <w:r w:rsidRPr="002D61E4">
        <w:rPr>
          <w:rFonts w:cs="Nunito Sans Light"/>
          <w:color w:val="000000"/>
          <w:spacing w:val="7"/>
          <w:szCs w:val="18"/>
        </w:rPr>
        <w:t xml:space="preserve">auf, die vorgelegten Empfehlungen zu nutzen und den </w:t>
      </w:r>
      <w:r w:rsidR="003538C3">
        <w:rPr>
          <w:rFonts w:cs="Nunito Sans Light"/>
          <w:color w:val="000000"/>
          <w:spacing w:val="7"/>
          <w:szCs w:val="18"/>
        </w:rPr>
        <w:t>Wasserstoffhochlauf</w:t>
      </w:r>
      <w:r w:rsidRPr="002D61E4">
        <w:rPr>
          <w:rFonts w:cs="Nunito Sans Light"/>
          <w:color w:val="000000"/>
          <w:spacing w:val="7"/>
          <w:szCs w:val="18"/>
        </w:rPr>
        <w:t xml:space="preserve"> systematisch </w:t>
      </w:r>
      <w:r w:rsidR="00C07832" w:rsidRPr="002D61E4">
        <w:rPr>
          <w:rFonts w:cs="Nunito Sans Light"/>
          <w:color w:val="000000"/>
          <w:spacing w:val="7"/>
          <w:szCs w:val="18"/>
        </w:rPr>
        <w:t xml:space="preserve">zu </w:t>
      </w:r>
      <w:r w:rsidRPr="002D61E4">
        <w:rPr>
          <w:rFonts w:cs="Nunito Sans Light"/>
          <w:color w:val="000000"/>
          <w:spacing w:val="7"/>
          <w:szCs w:val="18"/>
        </w:rPr>
        <w:t xml:space="preserve">gestalten. </w:t>
      </w:r>
      <w:r w:rsidR="00A049EE" w:rsidRPr="002D61E4">
        <w:rPr>
          <w:rFonts w:cs="Nunito Sans Light"/>
          <w:color w:val="000000"/>
          <w:spacing w:val="7"/>
          <w:szCs w:val="18"/>
        </w:rPr>
        <w:t>„Unsere Empfehlungen stehen bereit. Wir erheben kein Copyright darauf. Nutzen Sie unser Know-how, damit aus Visionen endlich Wirklichkeit wird“, appelliert der VDI-Direktor.</w:t>
      </w:r>
    </w:p>
    <w:p w14:paraId="5092DDA9" w14:textId="31A0FA80" w:rsidR="00783075" w:rsidRDefault="00783075" w:rsidP="00890663">
      <w:pPr>
        <w:pStyle w:val="EinfAbs"/>
      </w:pPr>
    </w:p>
    <w:p w14:paraId="6BDE6905" w14:textId="77777777" w:rsidR="003E28E2" w:rsidRPr="00B9419F" w:rsidRDefault="00993EA1" w:rsidP="00DD6ED4">
      <w:pPr>
        <w:pStyle w:val="EinfAbs"/>
      </w:pPr>
      <w:r>
        <w:rPr>
          <w:noProof/>
          <w:lang w:val="en-US"/>
        </w:rPr>
        <mc:AlternateContent>
          <mc:Choice Requires="wps">
            <w:drawing>
              <wp:anchor distT="0" distB="0" distL="114300" distR="114300" simplePos="0" relativeHeight="251661312" behindDoc="0" locked="0" layoutInCell="1" allowOverlap="1" wp14:anchorId="602F4EC2" wp14:editId="11ED4757">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A8D9E2D"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" strokecolor="#003da4 [3206]" strokeweight=".5pt">
                <v:stroke joinstyle="miter"/>
              </v:line>
            </w:pict>
          </mc:Fallback>
        </mc:AlternateContent>
      </w:r>
    </w:p>
    <w:p w14:paraId="4E6FC912" w14:textId="77777777" w:rsidR="00A81237" w:rsidRPr="00B9419F" w:rsidRDefault="00A81237" w:rsidP="002D1159">
      <w:pPr>
        <w:pStyle w:val="EinfAbs"/>
        <w:rPr>
          <w:b/>
          <w:bCs/>
        </w:rPr>
      </w:pPr>
    </w:p>
    <w:p w14:paraId="318192E1" w14:textId="77777777" w:rsidR="002D1159" w:rsidRPr="002D1159" w:rsidRDefault="002D1159" w:rsidP="002D1159">
      <w:pPr>
        <w:pStyle w:val="EinfAbs"/>
        <w:rPr>
          <w:b/>
          <w:bCs/>
        </w:rPr>
      </w:pPr>
      <w:r w:rsidRPr="002D1159">
        <w:rPr>
          <w:b/>
          <w:bCs/>
        </w:rPr>
        <w:t>Fachlicher Ansprechpartner:</w:t>
      </w:r>
    </w:p>
    <w:p w14:paraId="52EC8553" w14:textId="204D894B" w:rsidR="002D1159" w:rsidRDefault="00AC7BF2" w:rsidP="002D1159">
      <w:pPr>
        <w:pStyle w:val="EinfAbs"/>
      </w:pPr>
      <w:r>
        <w:t xml:space="preserve">Dr. </w:t>
      </w:r>
      <w:r w:rsidR="00890663">
        <w:t>Jan Bavendiek</w:t>
      </w:r>
    </w:p>
    <w:p w14:paraId="28321E8D" w14:textId="78F7C6C7" w:rsidR="002D1159" w:rsidRDefault="00282D65" w:rsidP="002D1159">
      <w:pPr>
        <w:pStyle w:val="EinfAbs"/>
      </w:pPr>
      <w:r>
        <w:t>Strategischer Analyst und s</w:t>
      </w:r>
      <w:r w:rsidR="005F3D11">
        <w:t xml:space="preserve">tv. Projektleiter </w:t>
      </w:r>
      <w:r>
        <w:br/>
      </w:r>
      <w:r w:rsidR="005F3D11">
        <w:t>VDI-Initiative „Zukunft Deutschland 2050“</w:t>
      </w:r>
    </w:p>
    <w:p w14:paraId="25CAD945" w14:textId="65CC294D" w:rsidR="002D1159" w:rsidRDefault="002D1159" w:rsidP="002D1159">
      <w:pPr>
        <w:pStyle w:val="EinfAbs"/>
      </w:pPr>
      <w:r>
        <w:t>Telefon: +49 211 6214-</w:t>
      </w:r>
      <w:r w:rsidR="00282D65">
        <w:t>673</w:t>
      </w:r>
    </w:p>
    <w:p w14:paraId="71FE01EE" w14:textId="5AB37F20" w:rsidR="002D1159" w:rsidRDefault="002D1159" w:rsidP="002D1159">
      <w:pPr>
        <w:pStyle w:val="EinfAbs"/>
      </w:pPr>
      <w:r>
        <w:t xml:space="preserve">E-Mail: </w:t>
      </w:r>
      <w:r w:rsidR="00282D65">
        <w:t>j</w:t>
      </w:r>
      <w:r w:rsidR="00282D65" w:rsidRPr="00282D65">
        <w:t>an.bavendiek@vdi.de</w:t>
      </w:r>
    </w:p>
    <w:p w14:paraId="389D0DCF" w14:textId="77777777" w:rsidR="002D1159" w:rsidRDefault="002D1159" w:rsidP="002D1159">
      <w:pPr>
        <w:pStyle w:val="EinfAbs"/>
      </w:pPr>
    </w:p>
    <w:p w14:paraId="7C278BE6" w14:textId="77777777" w:rsidR="002D1159" w:rsidRDefault="002D1159" w:rsidP="002D1159">
      <w:pPr>
        <w:pStyle w:val="EinfAbs"/>
      </w:pPr>
    </w:p>
    <w:p w14:paraId="142EDE42" w14:textId="77777777" w:rsidR="002D1159" w:rsidRPr="002D1159" w:rsidRDefault="002D1159" w:rsidP="002D1159">
      <w:pPr>
        <w:pStyle w:val="EinfAbs"/>
        <w:rPr>
          <w:b/>
          <w:bCs/>
          <w:sz w:val="24"/>
          <w:szCs w:val="24"/>
        </w:rPr>
      </w:pPr>
      <w:r w:rsidRPr="002D1159">
        <w:rPr>
          <w:b/>
          <w:bCs/>
          <w:sz w:val="24"/>
          <w:szCs w:val="24"/>
        </w:rPr>
        <w:t>VDI als Gestalter der Zukunft</w:t>
      </w:r>
    </w:p>
    <w:p w14:paraId="65114C70" w14:textId="3063C9EB" w:rsidR="00F34607" w:rsidRDefault="003C5095" w:rsidP="002D1159">
      <w:pPr>
        <w:pStyle w:val="EinfAbs"/>
      </w:pPr>
      <w:r w:rsidRPr="003C5095">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12C74DA7" w14:textId="77777777" w:rsidR="003C5095" w:rsidRDefault="003C5095" w:rsidP="002D1159">
      <w:pPr>
        <w:pStyle w:val="EinfAbs"/>
      </w:pPr>
    </w:p>
    <w:p w14:paraId="0A4B53DF" w14:textId="77777777" w:rsidR="003C5095" w:rsidRPr="003C5095" w:rsidRDefault="003C5095" w:rsidP="003C5095">
      <w:pPr>
        <w:pStyle w:val="EinfAbs"/>
      </w:pPr>
      <w:r w:rsidRPr="003C5095">
        <w:rPr>
          <w:b/>
          <w:bCs/>
        </w:rPr>
        <w:t>Hinweis an die Redaktion:</w:t>
      </w:r>
    </w:p>
    <w:p w14:paraId="06DD5154" w14:textId="77777777" w:rsidR="003C5095" w:rsidRPr="003C5095" w:rsidRDefault="003C5095" w:rsidP="003C5095">
      <w:pPr>
        <w:pStyle w:val="EinfAbs"/>
      </w:pPr>
      <w:r w:rsidRPr="003C5095">
        <w:rPr>
          <w:i/>
          <w:iCs/>
        </w:rPr>
        <w:t>Ihre Ansprechpartnerin in der VDI-Pressestelle: Sarah Janczura, Telefon: +49 211 62 14- 641 × E-Mail: </w:t>
      </w:r>
      <w:hyperlink r:id="rId15" w:tgtFrame="_blank" w:history="1">
        <w:r w:rsidRPr="003C5095">
          <w:rPr>
            <w:rStyle w:val="Hyperlink"/>
            <w:i/>
            <w:iCs/>
          </w:rPr>
          <w:t>presse@vdi.de</w:t>
        </w:r>
      </w:hyperlink>
    </w:p>
    <w:p w14:paraId="686C5074" w14:textId="77777777" w:rsidR="003C5095" w:rsidRPr="002D1159" w:rsidRDefault="003C5095" w:rsidP="002D1159">
      <w:pPr>
        <w:pStyle w:val="EinfAbs"/>
      </w:pPr>
    </w:p>
    <w:sectPr w:rsidR="003C5095" w:rsidRPr="002D1159" w:rsidSect="00CC3F44">
      <w:headerReference w:type="even" r:id="rId16"/>
      <w:headerReference w:type="default" r:id="rId17"/>
      <w:headerReference w:type="first" r:id="rId18"/>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54F2" w14:textId="77777777" w:rsidR="00931801" w:rsidRDefault="00931801" w:rsidP="000154AE">
      <w:pPr>
        <w:spacing w:line="240" w:lineRule="auto"/>
      </w:pPr>
      <w:r>
        <w:separator/>
      </w:r>
    </w:p>
  </w:endnote>
  <w:endnote w:type="continuationSeparator" w:id="0">
    <w:p w14:paraId="49B51FD2" w14:textId="77777777" w:rsidR="00931801" w:rsidRDefault="00931801"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A00C" w14:textId="77777777" w:rsidR="00931801" w:rsidRDefault="00931801" w:rsidP="000154AE">
      <w:pPr>
        <w:spacing w:line="240" w:lineRule="auto"/>
      </w:pPr>
      <w:r>
        <w:separator/>
      </w:r>
    </w:p>
  </w:footnote>
  <w:footnote w:type="continuationSeparator" w:id="0">
    <w:p w14:paraId="09B600A0" w14:textId="77777777" w:rsidR="00931801" w:rsidRDefault="00931801"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7EC51B5C"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AB7970C"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1F48928A"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E2A7640"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68B28AE6" wp14:editId="24879A82">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F2D4"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013F4353" wp14:editId="73066F50">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58E937B0" wp14:editId="060A4869">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D24127"/>
    <w:multiLevelType w:val="multilevel"/>
    <w:tmpl w:val="6DC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4"/>
  </w:num>
  <w:num w:numId="2" w16cid:durableId="1244683831">
    <w:abstractNumId w:val="1"/>
  </w:num>
  <w:num w:numId="3" w16cid:durableId="1978338330">
    <w:abstractNumId w:val="0"/>
  </w:num>
  <w:num w:numId="4" w16cid:durableId="1376154789">
    <w:abstractNumId w:val="5"/>
  </w:num>
  <w:num w:numId="5" w16cid:durableId="862939454">
    <w:abstractNumId w:val="3"/>
  </w:num>
  <w:num w:numId="6" w16cid:durableId="1931422204">
    <w:abstractNumId w:val="6"/>
  </w:num>
  <w:num w:numId="7" w16cid:durableId="131096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63"/>
    <w:rsid w:val="0000758A"/>
    <w:rsid w:val="000154AE"/>
    <w:rsid w:val="00024104"/>
    <w:rsid w:val="00031036"/>
    <w:rsid w:val="00044EB1"/>
    <w:rsid w:val="000468D5"/>
    <w:rsid w:val="00076BA8"/>
    <w:rsid w:val="00094B13"/>
    <w:rsid w:val="000A1A72"/>
    <w:rsid w:val="000C6435"/>
    <w:rsid w:val="000D7B60"/>
    <w:rsid w:val="000E7A69"/>
    <w:rsid w:val="00102189"/>
    <w:rsid w:val="001144D0"/>
    <w:rsid w:val="001248C8"/>
    <w:rsid w:val="00124ECD"/>
    <w:rsid w:val="00144DD4"/>
    <w:rsid w:val="00152743"/>
    <w:rsid w:val="001578A8"/>
    <w:rsid w:val="001642D2"/>
    <w:rsid w:val="001769D7"/>
    <w:rsid w:val="0018440D"/>
    <w:rsid w:val="001B236A"/>
    <w:rsid w:val="001E3560"/>
    <w:rsid w:val="001E4E1F"/>
    <w:rsid w:val="0020135C"/>
    <w:rsid w:val="0020587F"/>
    <w:rsid w:val="00205EE5"/>
    <w:rsid w:val="00206D83"/>
    <w:rsid w:val="00220BFC"/>
    <w:rsid w:val="0027036C"/>
    <w:rsid w:val="00273018"/>
    <w:rsid w:val="0027690F"/>
    <w:rsid w:val="00277786"/>
    <w:rsid w:val="00282D65"/>
    <w:rsid w:val="00287C8C"/>
    <w:rsid w:val="002909F5"/>
    <w:rsid w:val="002957F8"/>
    <w:rsid w:val="002A597C"/>
    <w:rsid w:val="002A67AF"/>
    <w:rsid w:val="002B0CF1"/>
    <w:rsid w:val="002B5433"/>
    <w:rsid w:val="002C76A7"/>
    <w:rsid w:val="002D1159"/>
    <w:rsid w:val="002D61E4"/>
    <w:rsid w:val="002E5EAA"/>
    <w:rsid w:val="002E7491"/>
    <w:rsid w:val="00300ACB"/>
    <w:rsid w:val="00317ACD"/>
    <w:rsid w:val="003212E0"/>
    <w:rsid w:val="0032613C"/>
    <w:rsid w:val="0033319A"/>
    <w:rsid w:val="003358D5"/>
    <w:rsid w:val="00336851"/>
    <w:rsid w:val="003538C3"/>
    <w:rsid w:val="00391C75"/>
    <w:rsid w:val="003B0187"/>
    <w:rsid w:val="003B0A27"/>
    <w:rsid w:val="003C5095"/>
    <w:rsid w:val="003C7E5B"/>
    <w:rsid w:val="003E28E2"/>
    <w:rsid w:val="00406901"/>
    <w:rsid w:val="004254B5"/>
    <w:rsid w:val="00453642"/>
    <w:rsid w:val="00455E8F"/>
    <w:rsid w:val="00466286"/>
    <w:rsid w:val="00482C8F"/>
    <w:rsid w:val="00487F00"/>
    <w:rsid w:val="004B6953"/>
    <w:rsid w:val="004B7352"/>
    <w:rsid w:val="004C0653"/>
    <w:rsid w:val="004F08A3"/>
    <w:rsid w:val="004F0C93"/>
    <w:rsid w:val="005071E9"/>
    <w:rsid w:val="0055397F"/>
    <w:rsid w:val="00560BB7"/>
    <w:rsid w:val="005A654C"/>
    <w:rsid w:val="005F01E4"/>
    <w:rsid w:val="005F3D11"/>
    <w:rsid w:val="006016E6"/>
    <w:rsid w:val="00626989"/>
    <w:rsid w:val="00635DAF"/>
    <w:rsid w:val="006453A5"/>
    <w:rsid w:val="00661D46"/>
    <w:rsid w:val="00665362"/>
    <w:rsid w:val="0067745B"/>
    <w:rsid w:val="006868F2"/>
    <w:rsid w:val="006C628B"/>
    <w:rsid w:val="006C780C"/>
    <w:rsid w:val="006D00D4"/>
    <w:rsid w:val="006D358A"/>
    <w:rsid w:val="007013D8"/>
    <w:rsid w:val="00711781"/>
    <w:rsid w:val="007219AD"/>
    <w:rsid w:val="00742C94"/>
    <w:rsid w:val="0074631E"/>
    <w:rsid w:val="007719E1"/>
    <w:rsid w:val="00783075"/>
    <w:rsid w:val="0079631F"/>
    <w:rsid w:val="007A1994"/>
    <w:rsid w:val="007E1A1A"/>
    <w:rsid w:val="007E4809"/>
    <w:rsid w:val="008164C6"/>
    <w:rsid w:val="0082027A"/>
    <w:rsid w:val="00841004"/>
    <w:rsid w:val="008605DB"/>
    <w:rsid w:val="00890663"/>
    <w:rsid w:val="008B1EFE"/>
    <w:rsid w:val="008C3D2C"/>
    <w:rsid w:val="008D3543"/>
    <w:rsid w:val="008E18DD"/>
    <w:rsid w:val="008F21C4"/>
    <w:rsid w:val="008F3999"/>
    <w:rsid w:val="00920E92"/>
    <w:rsid w:val="00931801"/>
    <w:rsid w:val="0093561D"/>
    <w:rsid w:val="00946809"/>
    <w:rsid w:val="00952DED"/>
    <w:rsid w:val="009725ED"/>
    <w:rsid w:val="00977999"/>
    <w:rsid w:val="00993EA1"/>
    <w:rsid w:val="00995A1B"/>
    <w:rsid w:val="009A0A3B"/>
    <w:rsid w:val="009D6D69"/>
    <w:rsid w:val="009E7CB9"/>
    <w:rsid w:val="009F7ACE"/>
    <w:rsid w:val="00A0407A"/>
    <w:rsid w:val="00A049EE"/>
    <w:rsid w:val="00A11C5C"/>
    <w:rsid w:val="00A12807"/>
    <w:rsid w:val="00A17E1F"/>
    <w:rsid w:val="00A32BA7"/>
    <w:rsid w:val="00A35BEB"/>
    <w:rsid w:val="00A61265"/>
    <w:rsid w:val="00A64359"/>
    <w:rsid w:val="00A72003"/>
    <w:rsid w:val="00A81237"/>
    <w:rsid w:val="00AC78B5"/>
    <w:rsid w:val="00AC7BF2"/>
    <w:rsid w:val="00AD131C"/>
    <w:rsid w:val="00AF3522"/>
    <w:rsid w:val="00AF4685"/>
    <w:rsid w:val="00B05F40"/>
    <w:rsid w:val="00B232BD"/>
    <w:rsid w:val="00B64DA2"/>
    <w:rsid w:val="00B65120"/>
    <w:rsid w:val="00B80451"/>
    <w:rsid w:val="00B80D3F"/>
    <w:rsid w:val="00B810DE"/>
    <w:rsid w:val="00B9419F"/>
    <w:rsid w:val="00BA06FB"/>
    <w:rsid w:val="00BA1BE6"/>
    <w:rsid w:val="00BB2A7F"/>
    <w:rsid w:val="00BB6C42"/>
    <w:rsid w:val="00BC0FE3"/>
    <w:rsid w:val="00BC2D5C"/>
    <w:rsid w:val="00BD23A3"/>
    <w:rsid w:val="00BE25A9"/>
    <w:rsid w:val="00C01B48"/>
    <w:rsid w:val="00C07832"/>
    <w:rsid w:val="00C27A88"/>
    <w:rsid w:val="00C433C8"/>
    <w:rsid w:val="00C54CAD"/>
    <w:rsid w:val="00C63F18"/>
    <w:rsid w:val="00C8355B"/>
    <w:rsid w:val="00C9291A"/>
    <w:rsid w:val="00C94A39"/>
    <w:rsid w:val="00CA21DC"/>
    <w:rsid w:val="00CA3242"/>
    <w:rsid w:val="00CA6514"/>
    <w:rsid w:val="00CB31AD"/>
    <w:rsid w:val="00CC3F44"/>
    <w:rsid w:val="00CE5FD2"/>
    <w:rsid w:val="00D02919"/>
    <w:rsid w:val="00D0662A"/>
    <w:rsid w:val="00D1309E"/>
    <w:rsid w:val="00D21DC3"/>
    <w:rsid w:val="00D23DA4"/>
    <w:rsid w:val="00D47C7C"/>
    <w:rsid w:val="00D64D5B"/>
    <w:rsid w:val="00D75FE7"/>
    <w:rsid w:val="00DA103C"/>
    <w:rsid w:val="00DA4FC8"/>
    <w:rsid w:val="00DC0179"/>
    <w:rsid w:val="00DD3105"/>
    <w:rsid w:val="00DD6ED4"/>
    <w:rsid w:val="00DE69E1"/>
    <w:rsid w:val="00DF7DBB"/>
    <w:rsid w:val="00E10445"/>
    <w:rsid w:val="00E37E9E"/>
    <w:rsid w:val="00E75B81"/>
    <w:rsid w:val="00E810C8"/>
    <w:rsid w:val="00E820FA"/>
    <w:rsid w:val="00EB791D"/>
    <w:rsid w:val="00ED028C"/>
    <w:rsid w:val="00EE5245"/>
    <w:rsid w:val="00F03762"/>
    <w:rsid w:val="00F20096"/>
    <w:rsid w:val="00F34607"/>
    <w:rsid w:val="00F4614D"/>
    <w:rsid w:val="00F67A63"/>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B6EB8"/>
  <w15:chartTrackingRefBased/>
  <w15:docId w15:val="{A6FBB8D9-88CE-416D-9B7D-D4195827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995A1B"/>
    <w:rPr>
      <w:color w:val="FE5000" w:themeColor="hyperlink"/>
      <w:u w:val="single"/>
    </w:rPr>
  </w:style>
  <w:style w:type="character" w:styleId="NichtaufgelsteErwhnung">
    <w:name w:val="Unresolved Mention"/>
    <w:basedOn w:val="Absatz-Standardschriftart"/>
    <w:uiPriority w:val="99"/>
    <w:semiHidden/>
    <w:unhideWhenUsed/>
    <w:rsid w:val="00995A1B"/>
    <w:rPr>
      <w:color w:val="605E5C"/>
      <w:shd w:val="clear" w:color="auto" w:fill="E1DFDD"/>
    </w:rPr>
  </w:style>
  <w:style w:type="paragraph" w:styleId="berarbeitung">
    <w:name w:val="Revision"/>
    <w:hidden/>
    <w:uiPriority w:val="99"/>
    <w:semiHidden/>
    <w:rsid w:val="00C01B48"/>
    <w:rPr>
      <w:rFonts w:ascii="Nunito Sans Light" w:hAnsi="Nunito Sans Light" w:cs="Times New Roman (Textkörper CS)"/>
      <w:color w:val="000C19" w:themeColor="text1"/>
      <w:spacing w:val="4"/>
      <w:sz w:val="20"/>
    </w:rPr>
  </w:style>
  <w:style w:type="character" w:styleId="Kommentarzeichen">
    <w:name w:val="annotation reference"/>
    <w:basedOn w:val="Absatz-Standardschriftart"/>
    <w:uiPriority w:val="99"/>
    <w:semiHidden/>
    <w:unhideWhenUsed/>
    <w:rsid w:val="00C01B48"/>
    <w:rPr>
      <w:sz w:val="16"/>
      <w:szCs w:val="16"/>
    </w:rPr>
  </w:style>
  <w:style w:type="paragraph" w:styleId="Kommentartext">
    <w:name w:val="annotation text"/>
    <w:basedOn w:val="Standard"/>
    <w:link w:val="KommentartextZchn"/>
    <w:uiPriority w:val="99"/>
    <w:unhideWhenUsed/>
    <w:rsid w:val="00C01B48"/>
    <w:pPr>
      <w:spacing w:line="240" w:lineRule="auto"/>
    </w:pPr>
    <w:rPr>
      <w:szCs w:val="20"/>
    </w:rPr>
  </w:style>
  <w:style w:type="character" w:customStyle="1" w:styleId="KommentartextZchn">
    <w:name w:val="Kommentartext Zchn"/>
    <w:basedOn w:val="Absatz-Standardschriftart"/>
    <w:link w:val="Kommentartext"/>
    <w:uiPriority w:val="99"/>
    <w:rsid w:val="00C01B48"/>
    <w:rPr>
      <w:rFonts w:ascii="Nunito Sans Light" w:hAnsi="Nunito Sans Light" w:cs="Times New Roman (Textkörper CS)"/>
      <w:color w:val="000C19"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C01B48"/>
    <w:rPr>
      <w:b/>
      <w:bCs/>
    </w:rPr>
  </w:style>
  <w:style w:type="character" w:customStyle="1" w:styleId="KommentarthemaZchn">
    <w:name w:val="Kommentarthema Zchn"/>
    <w:basedOn w:val="KommentartextZchn"/>
    <w:link w:val="Kommentarthema"/>
    <w:uiPriority w:val="99"/>
    <w:semiHidden/>
    <w:rsid w:val="00C01B48"/>
    <w:rPr>
      <w:rFonts w:ascii="Nunito Sans Light" w:hAnsi="Nunito Sans Light" w:cs="Times New Roman (Textkörper CS)"/>
      <w:b/>
      <w:bCs/>
      <w:color w:val="000C19" w:themeColor="text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3836">
      <w:bodyDiv w:val="1"/>
      <w:marLeft w:val="0"/>
      <w:marRight w:val="0"/>
      <w:marTop w:val="0"/>
      <w:marBottom w:val="0"/>
      <w:divBdr>
        <w:top w:val="none" w:sz="0" w:space="0" w:color="auto"/>
        <w:left w:val="none" w:sz="0" w:space="0" w:color="auto"/>
        <w:bottom w:val="none" w:sz="0" w:space="0" w:color="auto"/>
        <w:right w:val="none" w:sz="0" w:space="0" w:color="auto"/>
      </w:divBdr>
    </w:div>
    <w:div w:id="303386863">
      <w:bodyDiv w:val="1"/>
      <w:marLeft w:val="0"/>
      <w:marRight w:val="0"/>
      <w:marTop w:val="0"/>
      <w:marBottom w:val="0"/>
      <w:divBdr>
        <w:top w:val="none" w:sz="0" w:space="0" w:color="auto"/>
        <w:left w:val="none" w:sz="0" w:space="0" w:color="auto"/>
        <w:bottom w:val="none" w:sz="0" w:space="0" w:color="auto"/>
        <w:right w:val="none" w:sz="0" w:space="0" w:color="auto"/>
      </w:divBdr>
    </w:div>
    <w:div w:id="437482082">
      <w:bodyDiv w:val="1"/>
      <w:marLeft w:val="0"/>
      <w:marRight w:val="0"/>
      <w:marTop w:val="0"/>
      <w:marBottom w:val="0"/>
      <w:divBdr>
        <w:top w:val="none" w:sz="0" w:space="0" w:color="auto"/>
        <w:left w:val="none" w:sz="0" w:space="0" w:color="auto"/>
        <w:bottom w:val="none" w:sz="0" w:space="0" w:color="auto"/>
        <w:right w:val="none" w:sz="0" w:space="0" w:color="auto"/>
      </w:divBdr>
    </w:div>
    <w:div w:id="583563865">
      <w:bodyDiv w:val="1"/>
      <w:marLeft w:val="0"/>
      <w:marRight w:val="0"/>
      <w:marTop w:val="0"/>
      <w:marBottom w:val="0"/>
      <w:divBdr>
        <w:top w:val="none" w:sz="0" w:space="0" w:color="auto"/>
        <w:left w:val="none" w:sz="0" w:space="0" w:color="auto"/>
        <w:bottom w:val="none" w:sz="0" w:space="0" w:color="auto"/>
        <w:right w:val="none" w:sz="0" w:space="0" w:color="auto"/>
      </w:divBdr>
    </w:div>
    <w:div w:id="644892499">
      <w:bodyDiv w:val="1"/>
      <w:marLeft w:val="0"/>
      <w:marRight w:val="0"/>
      <w:marTop w:val="0"/>
      <w:marBottom w:val="0"/>
      <w:divBdr>
        <w:top w:val="none" w:sz="0" w:space="0" w:color="auto"/>
        <w:left w:val="none" w:sz="0" w:space="0" w:color="auto"/>
        <w:bottom w:val="none" w:sz="0" w:space="0" w:color="auto"/>
        <w:right w:val="none" w:sz="0" w:space="0" w:color="auto"/>
      </w:divBdr>
    </w:div>
    <w:div w:id="814030740">
      <w:bodyDiv w:val="1"/>
      <w:marLeft w:val="0"/>
      <w:marRight w:val="0"/>
      <w:marTop w:val="0"/>
      <w:marBottom w:val="0"/>
      <w:divBdr>
        <w:top w:val="none" w:sz="0" w:space="0" w:color="auto"/>
        <w:left w:val="none" w:sz="0" w:space="0" w:color="auto"/>
        <w:bottom w:val="none" w:sz="0" w:space="0" w:color="auto"/>
        <w:right w:val="none" w:sz="0" w:space="0" w:color="auto"/>
      </w:divBdr>
    </w:div>
    <w:div w:id="850879644">
      <w:bodyDiv w:val="1"/>
      <w:marLeft w:val="0"/>
      <w:marRight w:val="0"/>
      <w:marTop w:val="0"/>
      <w:marBottom w:val="0"/>
      <w:divBdr>
        <w:top w:val="none" w:sz="0" w:space="0" w:color="auto"/>
        <w:left w:val="none" w:sz="0" w:space="0" w:color="auto"/>
        <w:bottom w:val="none" w:sz="0" w:space="0" w:color="auto"/>
        <w:right w:val="none" w:sz="0" w:space="0" w:color="auto"/>
      </w:divBdr>
    </w:div>
    <w:div w:id="981348962">
      <w:bodyDiv w:val="1"/>
      <w:marLeft w:val="0"/>
      <w:marRight w:val="0"/>
      <w:marTop w:val="0"/>
      <w:marBottom w:val="0"/>
      <w:divBdr>
        <w:top w:val="none" w:sz="0" w:space="0" w:color="auto"/>
        <w:left w:val="none" w:sz="0" w:space="0" w:color="auto"/>
        <w:bottom w:val="none" w:sz="0" w:space="0" w:color="auto"/>
        <w:right w:val="none" w:sz="0" w:space="0" w:color="auto"/>
      </w:divBdr>
    </w:div>
    <w:div w:id="1263032615">
      <w:bodyDiv w:val="1"/>
      <w:marLeft w:val="0"/>
      <w:marRight w:val="0"/>
      <w:marTop w:val="0"/>
      <w:marBottom w:val="0"/>
      <w:divBdr>
        <w:top w:val="none" w:sz="0" w:space="0" w:color="auto"/>
        <w:left w:val="none" w:sz="0" w:space="0" w:color="auto"/>
        <w:bottom w:val="none" w:sz="0" w:space="0" w:color="auto"/>
        <w:right w:val="none" w:sz="0" w:space="0" w:color="auto"/>
      </w:divBdr>
    </w:div>
    <w:div w:id="1327898194">
      <w:bodyDiv w:val="1"/>
      <w:marLeft w:val="0"/>
      <w:marRight w:val="0"/>
      <w:marTop w:val="0"/>
      <w:marBottom w:val="0"/>
      <w:divBdr>
        <w:top w:val="none" w:sz="0" w:space="0" w:color="auto"/>
        <w:left w:val="none" w:sz="0" w:space="0" w:color="auto"/>
        <w:bottom w:val="none" w:sz="0" w:space="0" w:color="auto"/>
        <w:right w:val="none" w:sz="0" w:space="0" w:color="auto"/>
      </w:divBdr>
    </w:div>
    <w:div w:id="1860703402">
      <w:bodyDiv w:val="1"/>
      <w:marLeft w:val="0"/>
      <w:marRight w:val="0"/>
      <w:marTop w:val="0"/>
      <w:marBottom w:val="0"/>
      <w:divBdr>
        <w:top w:val="none" w:sz="0" w:space="0" w:color="auto"/>
        <w:left w:val="none" w:sz="0" w:space="0" w:color="auto"/>
        <w:bottom w:val="none" w:sz="0" w:space="0" w:color="auto"/>
        <w:right w:val="none" w:sz="0" w:space="0" w:color="auto"/>
      </w:divBdr>
    </w:div>
    <w:div w:id="19328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i.de/energie-und-umwelt/wasserstof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themen/zukunft-deutschland-205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esse@vdi.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i.de/fileadmin/pages/mein_vdi/redakteure/publikationen/Wasserstoffhochlauf_-_Zukunftsdialo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2.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3.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4.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3</Pages>
  <Words>819</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43</cp:revision>
  <cp:lastPrinted>2022-05-31T16:46:00Z</cp:lastPrinted>
  <dcterms:created xsi:type="dcterms:W3CDTF">2025-04-11T15:09:00Z</dcterms:created>
  <dcterms:modified xsi:type="dcterms:W3CDTF">2025-04-21T17:39:00Z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