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95E5E" w14:textId="54FE69C5" w:rsidR="00323DDC" w:rsidRPr="00323DDC" w:rsidRDefault="008E3C66" w:rsidP="00D36E5B">
      <w:pPr>
        <w:jc w:val="both"/>
        <w:rPr>
          <w:b/>
        </w:rPr>
      </w:pPr>
      <w:r>
        <w:rPr>
          <w:b/>
        </w:rPr>
        <w:t>10.12.2025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p>
    <w:p w14:paraId="70410CD4" w14:textId="77777777" w:rsidR="008E3C66" w:rsidRPr="00443D80" w:rsidRDefault="008E3C66" w:rsidP="008E3C66">
      <w:pPr>
        <w:jc w:val="both"/>
        <w:rPr>
          <w:b/>
          <w:sz w:val="28"/>
          <w:szCs w:val="28"/>
        </w:rPr>
      </w:pPr>
      <w:r w:rsidRPr="00443D80">
        <w:rPr>
          <w:b/>
          <w:sz w:val="28"/>
          <w:szCs w:val="28"/>
        </w:rPr>
        <w:t>Digitale Technologien zur Prävention von Gesundheitsschäden</w:t>
      </w:r>
    </w:p>
    <w:p w14:paraId="0057B86C" w14:textId="2AFE2005" w:rsidR="00443D80" w:rsidRPr="00443D80" w:rsidRDefault="00443D80" w:rsidP="008E3C66">
      <w:pPr>
        <w:jc w:val="both"/>
        <w:rPr>
          <w:b/>
        </w:rPr>
      </w:pPr>
      <w:r w:rsidRPr="00443D80">
        <w:rPr>
          <w:b/>
        </w:rPr>
        <w:t>Das Zukunftslabor Gesundheit untersucht</w:t>
      </w:r>
      <w:r w:rsidRPr="00443D80">
        <w:rPr>
          <w:b/>
        </w:rPr>
        <w:t>e</w:t>
      </w:r>
      <w:r w:rsidRPr="00443D80">
        <w:rPr>
          <w:b/>
        </w:rPr>
        <w:t>, wie digitale Technologien Bewegungen von Patient*innen in Klinik, Reha und zuhause genau erfassen können. Zehn Systeme wurden anhand praxisnaher Anwendungsszenarien bewertet, um Potenziale, Grenzen und konkrete Einsatzmöglichkeiten für Prävention und Gesundheitsversorgung aufzuzeigen.</w:t>
      </w:r>
    </w:p>
    <w:p w14:paraId="4EFEB210" w14:textId="77777777" w:rsidR="008E3C66" w:rsidRDefault="008E3C66" w:rsidP="008E3C66">
      <w:pPr>
        <w:jc w:val="both"/>
      </w:pPr>
      <w:r>
        <w:t xml:space="preserve">Die Belastungen in der Pflege führen zu hohen Ausfallquoten. Eine </w:t>
      </w:r>
      <w:hyperlink r:id="rId7" w:tooltip="https://www.aok.de/pp/bv/pm/krankenstand-pflege-2022/" w:history="1">
        <w:r>
          <w:rPr>
            <w:rStyle w:val="Hyperlink"/>
          </w:rPr>
          <w:t>Studie</w:t>
        </w:r>
      </w:hyperlink>
      <w:r>
        <w:t xml:space="preserve"> der AOK zeigte, dass Pflegekräfte 2022 an 32 Kalendertagen krankheitsbedingt ausfielen. Das waren im Durchschnitt acht Fehltage mehr als in anderen Berufsgruppen. Eine weitere </w:t>
      </w:r>
      <w:hyperlink r:id="rId8" w:tooltip="https://www.aok.de/fk/betriebliche-gesundheit/grundlagen/fehlzeiten/ueberblick-fehlzeiten-report/" w:history="1">
        <w:r>
          <w:rPr>
            <w:rStyle w:val="Hyperlink"/>
          </w:rPr>
          <w:t>Studie</w:t>
        </w:r>
      </w:hyperlink>
      <w:r>
        <w:t xml:space="preserve"> der AOK aus dem Jahr 2023 gibt Aufschluss über die Gründe, die zu den Krankheitstagen führen: Knapp 20 % der Fehlzeiten waren bedingt durch Muskel- und Skelett-Erkrankungen – über alle Berufsgruppen hinweg. Dies verdeutlicht die Relevanz innovativer Lösungen zur Prävention von Muskel- und Skelett-Erkrankungen, die insbesondere in der Pflege durch schwere körperliche Arbeit vermehrt auftreten können.</w:t>
      </w:r>
    </w:p>
    <w:p w14:paraId="0C71BF13" w14:textId="72B4BDF5" w:rsidR="008E3C66" w:rsidRDefault="008E3C66" w:rsidP="008E3C66">
      <w:pPr>
        <w:jc w:val="both"/>
      </w:pPr>
      <w:r>
        <w:t>Die Wissenschaftler*innen des Zukunftslabors Gesundheit beschäftigen sich in ihrer Forschung mit dem Einsatz digitaler Technologien zur Prävention von Gesundheitsschäden.</w:t>
      </w:r>
      <w:r w:rsidR="00B47E2C">
        <w:t xml:space="preserve"> Sie</w:t>
      </w:r>
      <w:r>
        <w:t xml:space="preserve"> </w:t>
      </w:r>
      <w:r w:rsidR="00B47E2C">
        <w:t xml:space="preserve">analysierten verschiedene </w:t>
      </w:r>
      <w:r>
        <w:t xml:space="preserve">Technologien zur Bewegungserfassung in drei Anwendungsbereichen: stationärer Bereich (z. B. Krankenhaus, Pflegeeinrichtung), Rehabilitationszentrum und private Wohnung. </w:t>
      </w:r>
    </w:p>
    <w:p w14:paraId="686B39BB" w14:textId="77777777" w:rsidR="00B47E2C" w:rsidRDefault="008E3C66" w:rsidP="008E3C66">
      <w:pPr>
        <w:jc w:val="both"/>
      </w:pPr>
      <w:r>
        <w:t xml:space="preserve">Zunächst recherchierten die Wissenschaftler*innen im Rahmen einer Literaturanalyse, welche Technologien zur Bewegungserfassung im Gesundheitsbereich genutzt werden und wie etabliert diese bereits sind. </w:t>
      </w:r>
      <w:r w:rsidR="00B47E2C">
        <w:t>Daraufhin legten sie i</w:t>
      </w:r>
      <w:r>
        <w:t>nsgesamt zehn Technologien</w:t>
      </w:r>
      <w:r w:rsidR="00B47E2C">
        <w:t xml:space="preserve"> fest</w:t>
      </w:r>
      <w:r>
        <w:t xml:space="preserve">, die sie </w:t>
      </w:r>
      <w:r w:rsidR="00B47E2C">
        <w:t xml:space="preserve">näher </w:t>
      </w:r>
      <w:r>
        <w:t>untersuch</w:t>
      </w:r>
      <w:r w:rsidR="00B47E2C">
        <w:t>t</w:t>
      </w:r>
      <w:r>
        <w:t xml:space="preserve">en. Dazu zählen z. B. Thermalkameras, die Temperaturunterschiede zwischen Personen und der Umgebung feststellen und dadurch Umrisse von Bewegungen und Personen erkennen können. Ein weiteres Beispiel ist das Motion-Capture-System der Firma Vicon. Hierbei werden die Gelenke von Personen mit speziellen Punkten markiert, die von Kameras erfasst werden. Das Vicon-System gilt als äußerst präzise und zuverlässig, ist aber auch sehr kostenintensiv und nicht flexibel genug, da die Gelenke sehr präzise markiert werden müssen. Daher bezogen die Wissenschaftler*innen auch andere Varianten in ihre Überlegungen ein, z. B. ein kostengünstiges kinesiologisches Tape als Alternative zu den speziellen Vicon-Punkten. Anschließend definierten sie neun Evaluationskriterien, darunter Genauigkeit, Kosten, Mobilität der Technologie, Datenschutz, technologische Reife und Robustheit von Sensoren. </w:t>
      </w:r>
    </w:p>
    <w:p w14:paraId="7DDE394A" w14:textId="74929824" w:rsidR="008E3C66" w:rsidRDefault="008E3C66" w:rsidP="008E3C66">
      <w:pPr>
        <w:jc w:val="both"/>
      </w:pPr>
      <w:r>
        <w:t>Daraufhin erstellten die Wissenschaftler*innen für jeden Anwendungsfall eine Persona, also eine fiktive, aber realitätsnahe Darstellung typischer Nutzer*innen: Für den Anwendungsfall stationärer Bereich definierten sie eine Pflegefachkraft, die Patient*innen umbetten oder in Rollstühle heben muss. Ihre Bewegungen und körperlichen Belastungen werden mithilfe digitaler Technologien erfasst. Die Persona im Rehabilitationszentrum ist eine Physiotherapeutin, die eine Gruppe von mehr als zehn Patient*innen betreut. Sie nutzt digitale Technologien, die ihre Patient*innen bei der richtigen Ausführung der physiotherapeutischen Übungen unterstützen. Die Persona im Anwendungsfall der privaten Wohnung ist ein 78-jähriger Patient, dessen Bewegungsmuster mit digitalen Technologien erfasst werden. Er verfügt über sehr geringe digitale Kompetenzen und hat kaum familiäre Unterstützung. Abhängig von diesen Personas variiert die Einsetzbarkeit der Technologien. So kann für die Pflegekraft z. B. ein Shirt genutzt werden, in das ein Wirbelsäulensensor integriert ist, der die Bewegungen beim Umbetten erfasst. Zur Überprüfung, wie gut die Patient*innen ihre physiotherapeutischen Übungen ausführen, ist z. B. die Physiotherapie-App des Zukunftslabors Gesundheit hilfreich.</w:t>
      </w:r>
    </w:p>
    <w:p w14:paraId="195BCAA0" w14:textId="0DF2C8AB" w:rsidR="008E3C66" w:rsidRDefault="00443D80" w:rsidP="008E3C66">
      <w:pPr>
        <w:jc w:val="both"/>
      </w:pPr>
      <w:r>
        <w:t>Anschließend</w:t>
      </w:r>
      <w:r w:rsidR="008E3C66">
        <w:t xml:space="preserve"> bewerteten die Wissenschaftler*innen die Relevanz der Evaluationskriterien für die drei Anwendungsfälle: Wie wichtig ist Evaluationskriterium X für Anwendungsfall Y? So ist z. B. </w:t>
      </w:r>
      <w:r>
        <w:t xml:space="preserve">der </w:t>
      </w:r>
      <w:r w:rsidR="008E3C66">
        <w:t xml:space="preserve">Datenschutz in der Wohnung (kontinuierliche Datenerfassung) kritischer als im Rehabilitationszentrum (eine Messung pro Woche). Dagegen ist die Genauigkeit in der Wohnung nicht so wichtig wie im Rehabilitationszentrum, weil die Daten in der Wohnung kontinuierlich und im Rehabilitationszentrum deutlich seltener erfasst werden. </w:t>
      </w:r>
    </w:p>
    <w:p w14:paraId="7179191D" w14:textId="07B64043" w:rsidR="008E3C66" w:rsidRDefault="008E3C66" w:rsidP="008E3C66">
      <w:pPr>
        <w:jc w:val="both"/>
      </w:pPr>
      <w:r>
        <w:t>Um einen Einblick in die Ergebnisse zu geben, werden im Folgenden</w:t>
      </w:r>
      <w:r w:rsidR="00220EE4">
        <w:t xml:space="preserve"> einige Beispiele</w:t>
      </w:r>
      <w:r>
        <w:t xml:space="preserve"> vorgestellt: Das System von Vicon erfasst die Bewegungen sehr präzise und zuverlässig, der Aufbau ist aber sehr langwierig und der Messbereich erfolgt nur stationär zwischen den Kameras. Die kostengünstigere Variante mit dem kinesiologischen Tape lieferte im Anwendungsfall des Rehabilitationszentrums gute Ergebnisse, ist aber für den stationären Bereich und in der privaten Wohnung zu aufwendig. Der Wirbelsäulensensor eignet sich sehr gut zur Erfassung der Rückenhaltung, ist aber nicht für andere Körperteile nutzbar. Die Thermalkamera hat viel Potenzial für die Datenerfassung in der privaten Wohnung.</w:t>
      </w:r>
    </w:p>
    <w:p w14:paraId="17FD0040" w14:textId="179D05E5" w:rsidR="00443D80" w:rsidRDefault="00443D80" w:rsidP="008E3C66">
      <w:pPr>
        <w:jc w:val="both"/>
      </w:pPr>
      <w:r w:rsidRPr="00443D80">
        <w:t>Insgesamt zeigt die Untersuchung, dass keine Technologie universell einsetzbar ist. Jede Lösung bringt spezifische Stärken und Einschränkungen mit sich, die vom Einsatzort, den Bedürfnissen der Nutzer*innen und den Anforderungen an Präzision oder Datenschutz abhängen. Die gewonnenen Erkenntnisse unterstützen zukünftige Entscheidungen darüber, welche digitalen Technologien in welchem Kontext den größten Mehrwert für Prävention und Versorgung bieten.</w:t>
      </w:r>
    </w:p>
    <w:p w14:paraId="0E1A0DE4" w14:textId="1454451D" w:rsidR="008E3C66" w:rsidRPr="00443D80" w:rsidRDefault="00443D80" w:rsidP="00443D80">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Am OFFIS – Institut für Informatik, Escherweg 2, 26121 Oldenburg – Germany</w:t>
      </w:r>
      <w:r>
        <w:br/>
        <w:t>Tel: 0441 9722-435</w:t>
      </w:r>
      <w:r>
        <w:br/>
        <w:t xml:space="preserve">E-Mail: </w:t>
      </w:r>
      <w:r w:rsidRPr="00A4057B">
        <w:t>kira.konrad@zdin.de</w:t>
      </w:r>
      <w:r>
        <w:br/>
      </w:r>
      <w:r w:rsidRPr="00A4057B">
        <w:rPr>
          <w:b/>
          <w:color w:val="10069F"/>
          <w:u w:val="single"/>
        </w:rPr>
        <w:t>www.zdin.de</w:t>
      </w:r>
    </w:p>
    <w:sectPr w:rsidR="008E3C66" w:rsidRPr="00443D80">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23504"/>
      <w:docPartObj>
        <w:docPartGallery w:val="Page Numbers (Bottom of Page)"/>
        <w:docPartUnique/>
      </w:docPartObj>
    </w:sdtPr>
    <w:sdtEndPr/>
    <w:sdtContent>
      <w:p w14:paraId="2DC25334" w14:textId="27B9B058"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154F35">
          <w:rPr>
            <w:rFonts w:eastAsia="Times New Roman" w:cstheme="minorHAnsi"/>
            <w:noProof/>
            <w:lang w:eastAsia="de-DE"/>
          </w:rPr>
          <w:t>1</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0076467">
    <w:abstractNumId w:val="9"/>
  </w:num>
  <w:num w:numId="2" w16cid:durableId="1897930782">
    <w:abstractNumId w:val="14"/>
  </w:num>
  <w:num w:numId="3" w16cid:durableId="2047371974">
    <w:abstractNumId w:val="12"/>
  </w:num>
  <w:num w:numId="4" w16cid:durableId="1139690423">
    <w:abstractNumId w:val="0"/>
  </w:num>
  <w:num w:numId="5" w16cid:durableId="214050200">
    <w:abstractNumId w:val="3"/>
  </w:num>
  <w:num w:numId="6" w16cid:durableId="1633443017">
    <w:abstractNumId w:val="19"/>
  </w:num>
  <w:num w:numId="7" w16cid:durableId="879586086">
    <w:abstractNumId w:val="16"/>
  </w:num>
  <w:num w:numId="8" w16cid:durableId="149712322">
    <w:abstractNumId w:val="20"/>
  </w:num>
  <w:num w:numId="9" w16cid:durableId="451945154">
    <w:abstractNumId w:val="4"/>
  </w:num>
  <w:num w:numId="10" w16cid:durableId="250823307">
    <w:abstractNumId w:val="0"/>
  </w:num>
  <w:num w:numId="11" w16cid:durableId="982927358">
    <w:abstractNumId w:val="16"/>
  </w:num>
  <w:num w:numId="12" w16cid:durableId="1487239733">
    <w:abstractNumId w:val="2"/>
  </w:num>
  <w:num w:numId="13" w16cid:durableId="2107538619">
    <w:abstractNumId w:val="5"/>
  </w:num>
  <w:num w:numId="14" w16cid:durableId="1675836913">
    <w:abstractNumId w:val="22"/>
  </w:num>
  <w:num w:numId="15" w16cid:durableId="606931013">
    <w:abstractNumId w:val="7"/>
  </w:num>
  <w:num w:numId="16" w16cid:durableId="912588987">
    <w:abstractNumId w:val="18"/>
  </w:num>
  <w:num w:numId="17" w16cid:durableId="797146429">
    <w:abstractNumId w:val="17"/>
  </w:num>
  <w:num w:numId="18" w16cid:durableId="990476597">
    <w:abstractNumId w:val="6"/>
  </w:num>
  <w:num w:numId="19" w16cid:durableId="570695867">
    <w:abstractNumId w:val="11"/>
  </w:num>
  <w:num w:numId="20" w16cid:durableId="1691831969">
    <w:abstractNumId w:val="1"/>
  </w:num>
  <w:num w:numId="21" w16cid:durableId="796534838">
    <w:abstractNumId w:val="15"/>
  </w:num>
  <w:num w:numId="22" w16cid:durableId="1430347735">
    <w:abstractNumId w:val="10"/>
  </w:num>
  <w:num w:numId="23" w16cid:durableId="919604889">
    <w:abstractNumId w:val="13"/>
  </w:num>
  <w:num w:numId="24" w16cid:durableId="828595533">
    <w:abstractNumId w:val="23"/>
  </w:num>
  <w:num w:numId="25" w16cid:durableId="1303462760">
    <w:abstractNumId w:val="8"/>
  </w:num>
  <w:num w:numId="26" w16cid:durableId="12360869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5772F"/>
    <w:rsid w:val="001D6C5B"/>
    <w:rsid w:val="001D7B45"/>
    <w:rsid w:val="001E735D"/>
    <w:rsid w:val="001F4553"/>
    <w:rsid w:val="00220EE4"/>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43D80"/>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50066"/>
    <w:rsid w:val="00884A5B"/>
    <w:rsid w:val="00885C03"/>
    <w:rsid w:val="00895EF9"/>
    <w:rsid w:val="008B1365"/>
    <w:rsid w:val="008E3C66"/>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AD0C15"/>
    <w:rsid w:val="00B34A16"/>
    <w:rsid w:val="00B47E2C"/>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 w:type="paragraph" w:styleId="Beschriftung">
    <w:name w:val="caption"/>
    <w:basedOn w:val="Standard"/>
    <w:next w:val="Standard"/>
    <w:uiPriority w:val="35"/>
    <w:unhideWhenUsed/>
    <w:qFormat/>
    <w:rsid w:val="008E3C6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k.de/fk/betriebliche-gesundheit/grundlagen/fehlzeiten/ueberblick-fehlzeiten-report/" TargetMode="External"/><Relationship Id="rId3" Type="http://schemas.openxmlformats.org/officeDocument/2006/relationships/settings" Target="settings.xml"/><Relationship Id="rId7" Type="http://schemas.openxmlformats.org/officeDocument/2006/relationships/hyperlink" Target="https://www.aok.de/pp/bv/pm/krankenstand-pflege-20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844</Words>
  <Characters>5323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5</cp:revision>
  <dcterms:created xsi:type="dcterms:W3CDTF">2021-06-01T07:47:00Z</dcterms:created>
  <dcterms:modified xsi:type="dcterms:W3CDTF">2025-12-10T07:49:00Z</dcterms:modified>
</cp:coreProperties>
</file>